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B47" w:rsidRDefault="00342B47" w:rsidP="00342B47">
      <w:pPr>
        <w:spacing w:line="560" w:lineRule="exact"/>
        <w:rPr>
          <w:rFonts w:ascii="黑体" w:eastAsia="黑体" w:hAnsi="黑体" w:cs="黑体" w:hint="eastAsia"/>
          <w:szCs w:val="32"/>
        </w:rPr>
      </w:pPr>
      <w:r>
        <w:rPr>
          <w:rFonts w:ascii="黑体" w:eastAsia="黑体" w:hAnsi="黑体" w:cs="黑体" w:hint="eastAsia"/>
          <w:szCs w:val="32"/>
        </w:rPr>
        <w:t>附件1</w:t>
      </w:r>
    </w:p>
    <w:p w:rsidR="00342B47" w:rsidRDefault="00342B47" w:rsidP="00342B47">
      <w:pPr>
        <w:spacing w:line="78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24"/>
        </w:rPr>
        <w:t>四川省入境游奖励“2017年入境游客人天数排名奖”审计项目比选评分标准</w:t>
      </w:r>
    </w:p>
    <w:tbl>
      <w:tblPr>
        <w:tblpPr w:leftFromText="180" w:rightFromText="180" w:vertAnchor="page" w:horzAnchor="page" w:tblpXSpec="center" w:tblpY="3628"/>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3"/>
        <w:gridCol w:w="975"/>
        <w:gridCol w:w="555"/>
        <w:gridCol w:w="5887"/>
        <w:gridCol w:w="2160"/>
      </w:tblGrid>
      <w:tr w:rsidR="00342B47" w:rsidTr="009C215B">
        <w:trPr>
          <w:cantSplit/>
          <w:trHeight w:val="90"/>
          <w:jc w:val="center"/>
        </w:trPr>
        <w:tc>
          <w:tcPr>
            <w:tcW w:w="423" w:type="dxa"/>
            <w:vAlign w:val="center"/>
          </w:tcPr>
          <w:p w:rsidR="00342B47" w:rsidRDefault="00342B47" w:rsidP="009C215B">
            <w:pPr>
              <w:ind w:firstLine="28"/>
              <w:rPr>
                <w:rFonts w:ascii="黑体" w:eastAsia="黑体" w:hint="eastAsia"/>
                <w:b/>
                <w:color w:val="000000"/>
                <w:sz w:val="22"/>
                <w:szCs w:val="21"/>
              </w:rPr>
            </w:pPr>
            <w:r>
              <w:rPr>
                <w:rFonts w:ascii="黑体" w:eastAsia="黑体" w:hint="eastAsia"/>
                <w:b/>
                <w:color w:val="000000"/>
                <w:sz w:val="22"/>
                <w:szCs w:val="21"/>
              </w:rPr>
              <w:t>序号</w:t>
            </w:r>
          </w:p>
        </w:tc>
        <w:tc>
          <w:tcPr>
            <w:tcW w:w="975" w:type="dxa"/>
            <w:vAlign w:val="center"/>
          </w:tcPr>
          <w:p w:rsidR="00342B47" w:rsidRDefault="00342B47" w:rsidP="009C215B">
            <w:pPr>
              <w:rPr>
                <w:rFonts w:ascii="黑体" w:eastAsia="黑体" w:hint="eastAsia"/>
                <w:b/>
                <w:color w:val="000000"/>
                <w:sz w:val="22"/>
                <w:szCs w:val="21"/>
              </w:rPr>
            </w:pPr>
            <w:r>
              <w:rPr>
                <w:rFonts w:ascii="黑体" w:eastAsia="黑体" w:hint="eastAsia"/>
                <w:b/>
                <w:color w:val="000000"/>
                <w:sz w:val="22"/>
                <w:szCs w:val="21"/>
              </w:rPr>
              <w:t>评分</w:t>
            </w:r>
          </w:p>
          <w:p w:rsidR="00342B47" w:rsidRDefault="00342B47" w:rsidP="009C215B">
            <w:pPr>
              <w:rPr>
                <w:rFonts w:ascii="黑体" w:eastAsia="黑体" w:hint="eastAsia"/>
                <w:b/>
                <w:color w:val="000000"/>
                <w:sz w:val="22"/>
                <w:szCs w:val="21"/>
              </w:rPr>
            </w:pPr>
            <w:r>
              <w:rPr>
                <w:rFonts w:ascii="黑体" w:eastAsia="黑体" w:hint="eastAsia"/>
                <w:b/>
                <w:color w:val="000000"/>
                <w:sz w:val="22"/>
                <w:szCs w:val="21"/>
              </w:rPr>
              <w:t>因素</w:t>
            </w:r>
          </w:p>
        </w:tc>
        <w:tc>
          <w:tcPr>
            <w:tcW w:w="555" w:type="dxa"/>
            <w:vAlign w:val="center"/>
          </w:tcPr>
          <w:p w:rsidR="00342B47" w:rsidRDefault="00342B47" w:rsidP="009C215B">
            <w:pPr>
              <w:ind w:firstLine="28"/>
              <w:jc w:val="center"/>
              <w:rPr>
                <w:rFonts w:ascii="黑体" w:eastAsia="黑体" w:hint="eastAsia"/>
                <w:b/>
                <w:color w:val="000000"/>
                <w:sz w:val="22"/>
                <w:szCs w:val="21"/>
              </w:rPr>
            </w:pPr>
            <w:r>
              <w:rPr>
                <w:rFonts w:ascii="黑体" w:eastAsia="黑体" w:hint="eastAsia"/>
                <w:b/>
                <w:color w:val="000000"/>
                <w:sz w:val="22"/>
                <w:szCs w:val="21"/>
              </w:rPr>
              <w:t>分值</w:t>
            </w:r>
          </w:p>
        </w:tc>
        <w:tc>
          <w:tcPr>
            <w:tcW w:w="5887" w:type="dxa"/>
            <w:vAlign w:val="center"/>
          </w:tcPr>
          <w:p w:rsidR="00342B47" w:rsidRDefault="00342B47" w:rsidP="009C215B">
            <w:pPr>
              <w:ind w:firstLine="28"/>
              <w:jc w:val="center"/>
              <w:rPr>
                <w:rFonts w:ascii="黑体" w:eastAsia="黑体" w:hint="eastAsia"/>
                <w:b/>
                <w:color w:val="000000"/>
                <w:sz w:val="22"/>
                <w:szCs w:val="21"/>
              </w:rPr>
            </w:pPr>
            <w:r>
              <w:rPr>
                <w:rFonts w:ascii="黑体" w:eastAsia="黑体" w:hint="eastAsia"/>
                <w:b/>
                <w:color w:val="000000"/>
                <w:sz w:val="22"/>
                <w:szCs w:val="21"/>
              </w:rPr>
              <w:t>评分标准</w:t>
            </w:r>
          </w:p>
        </w:tc>
        <w:tc>
          <w:tcPr>
            <w:tcW w:w="2160" w:type="dxa"/>
            <w:vAlign w:val="center"/>
          </w:tcPr>
          <w:p w:rsidR="00342B47" w:rsidRDefault="00342B47" w:rsidP="009C215B">
            <w:pPr>
              <w:jc w:val="center"/>
              <w:rPr>
                <w:rFonts w:ascii="黑体" w:eastAsia="黑体" w:hint="eastAsia"/>
                <w:b/>
                <w:color w:val="000000"/>
                <w:sz w:val="22"/>
                <w:szCs w:val="21"/>
              </w:rPr>
            </w:pPr>
            <w:r>
              <w:rPr>
                <w:rFonts w:ascii="黑体" w:eastAsia="黑体" w:hint="eastAsia"/>
                <w:b/>
                <w:color w:val="000000"/>
                <w:sz w:val="22"/>
                <w:szCs w:val="21"/>
              </w:rPr>
              <w:t>说明</w:t>
            </w:r>
          </w:p>
        </w:tc>
      </w:tr>
      <w:tr w:rsidR="00342B47" w:rsidTr="009C215B">
        <w:trPr>
          <w:cantSplit/>
          <w:trHeight w:val="90"/>
          <w:jc w:val="center"/>
        </w:trPr>
        <w:tc>
          <w:tcPr>
            <w:tcW w:w="423" w:type="dxa"/>
            <w:vAlign w:val="center"/>
          </w:tcPr>
          <w:p w:rsidR="00342B47" w:rsidRDefault="00342B47" w:rsidP="009C215B">
            <w:pPr>
              <w:ind w:firstLine="28"/>
              <w:jc w:val="center"/>
              <w:rPr>
                <w:rFonts w:ascii="仿宋_GB2312" w:eastAsia="仿宋_GB2312"/>
                <w:color w:val="000000"/>
                <w:sz w:val="20"/>
                <w:szCs w:val="20"/>
              </w:rPr>
            </w:pPr>
            <w:r>
              <w:rPr>
                <w:rFonts w:ascii="仿宋_GB2312" w:eastAsia="仿宋_GB2312" w:hint="eastAsia"/>
                <w:color w:val="000000"/>
                <w:sz w:val="20"/>
                <w:szCs w:val="20"/>
              </w:rPr>
              <w:t>一</w:t>
            </w:r>
          </w:p>
        </w:tc>
        <w:tc>
          <w:tcPr>
            <w:tcW w:w="975" w:type="dxa"/>
            <w:vAlign w:val="center"/>
          </w:tcPr>
          <w:p w:rsidR="00342B47" w:rsidRDefault="00342B47" w:rsidP="009C215B">
            <w:pPr>
              <w:ind w:firstLine="28"/>
              <w:jc w:val="center"/>
              <w:rPr>
                <w:rFonts w:ascii="仿宋_GB2312" w:eastAsia="仿宋_GB2312"/>
                <w:color w:val="000000"/>
                <w:sz w:val="20"/>
                <w:szCs w:val="20"/>
              </w:rPr>
            </w:pPr>
            <w:r>
              <w:rPr>
                <w:rFonts w:ascii="仿宋_GB2312" w:eastAsia="仿宋_GB2312" w:hint="eastAsia"/>
                <w:color w:val="000000"/>
                <w:sz w:val="20"/>
                <w:szCs w:val="20"/>
              </w:rPr>
              <w:t>报价（15）</w:t>
            </w:r>
          </w:p>
        </w:tc>
        <w:tc>
          <w:tcPr>
            <w:tcW w:w="555" w:type="dxa"/>
            <w:vAlign w:val="center"/>
          </w:tcPr>
          <w:p w:rsidR="00342B47" w:rsidRDefault="00342B47" w:rsidP="009C215B">
            <w:pPr>
              <w:ind w:firstLine="28"/>
              <w:jc w:val="center"/>
              <w:rPr>
                <w:rFonts w:ascii="仿宋_GB2312" w:eastAsia="仿宋_GB2312" w:hint="eastAsia"/>
                <w:color w:val="000000"/>
                <w:sz w:val="20"/>
                <w:szCs w:val="20"/>
              </w:rPr>
            </w:pPr>
            <w:r>
              <w:rPr>
                <w:rFonts w:ascii="仿宋_GB2312" w:eastAsia="仿宋_GB2312" w:hint="eastAsia"/>
                <w:color w:val="000000"/>
                <w:sz w:val="20"/>
                <w:szCs w:val="20"/>
              </w:rPr>
              <w:t>15</w:t>
            </w:r>
          </w:p>
        </w:tc>
        <w:tc>
          <w:tcPr>
            <w:tcW w:w="5887" w:type="dxa"/>
            <w:vAlign w:val="center"/>
          </w:tcPr>
          <w:p w:rsidR="00342B47" w:rsidRDefault="00342B47" w:rsidP="009C215B">
            <w:pPr>
              <w:ind w:firstLine="28"/>
              <w:jc w:val="left"/>
              <w:rPr>
                <w:rFonts w:ascii="仿宋_GB2312" w:eastAsia="仿宋_GB2312"/>
                <w:color w:val="000000"/>
                <w:sz w:val="20"/>
                <w:szCs w:val="20"/>
              </w:rPr>
            </w:pPr>
            <w:r>
              <w:rPr>
                <w:rFonts w:ascii="仿宋_GB2312" w:eastAsia="仿宋_GB2312" w:hint="eastAsia"/>
                <w:color w:val="000000"/>
                <w:sz w:val="20"/>
                <w:szCs w:val="20"/>
              </w:rPr>
              <w:t>综合评分法中的价格分统一采用低价优先法计算，即满足招标文件要求且投标价格最低的投标报价为评标基准价。其他投标人的价格分统一按照下列公式计算：</w:t>
            </w:r>
          </w:p>
          <w:p w:rsidR="00342B47" w:rsidRDefault="00342B47" w:rsidP="009C215B">
            <w:pPr>
              <w:ind w:firstLine="28"/>
              <w:jc w:val="left"/>
              <w:rPr>
                <w:rFonts w:ascii="仿宋_GB2312" w:eastAsia="仿宋_GB2312"/>
                <w:color w:val="000000"/>
                <w:sz w:val="20"/>
                <w:szCs w:val="20"/>
              </w:rPr>
            </w:pPr>
            <w:r>
              <w:rPr>
                <w:rFonts w:ascii="仿宋_GB2312" w:eastAsia="仿宋_GB2312" w:hint="eastAsia"/>
                <w:color w:val="000000"/>
                <w:sz w:val="20"/>
                <w:szCs w:val="20"/>
              </w:rPr>
              <w:t>投标报价得分（小数点后取2位）</w:t>
            </w:r>
            <w:r>
              <w:rPr>
                <w:rFonts w:ascii="仿宋_GB2312" w:eastAsia="仿宋_GB2312"/>
                <w:color w:val="000000"/>
                <w:sz w:val="20"/>
                <w:szCs w:val="20"/>
              </w:rPr>
              <w:t>=(</w:t>
            </w:r>
            <w:r>
              <w:rPr>
                <w:rFonts w:ascii="仿宋_GB2312" w:eastAsia="仿宋_GB2312" w:hint="eastAsia"/>
                <w:color w:val="000000"/>
                <w:sz w:val="20"/>
                <w:szCs w:val="20"/>
              </w:rPr>
              <w:t>评标基准价／投标报价</w:t>
            </w:r>
            <w:r>
              <w:rPr>
                <w:rFonts w:ascii="仿宋_GB2312" w:eastAsia="仿宋_GB2312"/>
                <w:color w:val="000000"/>
                <w:sz w:val="20"/>
                <w:szCs w:val="20"/>
              </w:rPr>
              <w:t>)</w:t>
            </w:r>
            <w:r>
              <w:rPr>
                <w:rFonts w:ascii="仿宋_GB2312" w:eastAsia="仿宋_GB2312" w:hint="eastAsia"/>
                <w:color w:val="000000"/>
                <w:sz w:val="20"/>
                <w:szCs w:val="20"/>
              </w:rPr>
              <w:t>×15；</w:t>
            </w:r>
          </w:p>
        </w:tc>
        <w:tc>
          <w:tcPr>
            <w:tcW w:w="2160" w:type="dxa"/>
            <w:vAlign w:val="center"/>
          </w:tcPr>
          <w:p w:rsidR="00342B47" w:rsidRDefault="00342B47" w:rsidP="009C215B">
            <w:pPr>
              <w:ind w:left="-38" w:firstLine="28"/>
              <w:jc w:val="center"/>
              <w:rPr>
                <w:rFonts w:ascii="仿宋_GB2312" w:eastAsia="仿宋_GB2312"/>
                <w:color w:val="000000"/>
                <w:sz w:val="20"/>
                <w:szCs w:val="20"/>
              </w:rPr>
            </w:pPr>
          </w:p>
        </w:tc>
      </w:tr>
      <w:tr w:rsidR="00342B47" w:rsidTr="009C215B">
        <w:trPr>
          <w:cantSplit/>
          <w:trHeight w:val="1388"/>
          <w:jc w:val="center"/>
        </w:trPr>
        <w:tc>
          <w:tcPr>
            <w:tcW w:w="423" w:type="dxa"/>
            <w:vMerge w:val="restart"/>
            <w:vAlign w:val="center"/>
          </w:tcPr>
          <w:p w:rsidR="00342B47" w:rsidRDefault="00342B47" w:rsidP="009C215B">
            <w:pPr>
              <w:ind w:firstLine="28"/>
              <w:jc w:val="center"/>
              <w:rPr>
                <w:rFonts w:ascii="仿宋_GB2312" w:eastAsia="仿宋_GB2312"/>
                <w:color w:val="000000"/>
                <w:sz w:val="20"/>
                <w:szCs w:val="20"/>
              </w:rPr>
            </w:pPr>
            <w:r>
              <w:rPr>
                <w:rFonts w:ascii="仿宋_GB2312" w:eastAsia="仿宋_GB2312" w:hint="eastAsia"/>
                <w:color w:val="000000"/>
                <w:sz w:val="20"/>
                <w:szCs w:val="20"/>
              </w:rPr>
              <w:t>二</w:t>
            </w:r>
          </w:p>
        </w:tc>
        <w:tc>
          <w:tcPr>
            <w:tcW w:w="975" w:type="dxa"/>
            <w:vMerge w:val="restart"/>
            <w:vAlign w:val="center"/>
          </w:tcPr>
          <w:p w:rsidR="00342B47" w:rsidRDefault="00342B47" w:rsidP="009C215B">
            <w:pPr>
              <w:jc w:val="center"/>
              <w:rPr>
                <w:rFonts w:ascii="仿宋_GB2312" w:eastAsia="仿宋_GB2312"/>
                <w:color w:val="000000"/>
                <w:sz w:val="20"/>
                <w:szCs w:val="20"/>
              </w:rPr>
            </w:pPr>
            <w:r>
              <w:rPr>
                <w:rFonts w:ascii="仿宋_GB2312" w:eastAsia="仿宋_GB2312" w:hint="eastAsia"/>
                <w:color w:val="000000"/>
                <w:sz w:val="20"/>
                <w:szCs w:val="20"/>
              </w:rPr>
              <w:t>方案（65）</w:t>
            </w:r>
          </w:p>
        </w:tc>
        <w:tc>
          <w:tcPr>
            <w:tcW w:w="555" w:type="dxa"/>
            <w:vAlign w:val="center"/>
          </w:tcPr>
          <w:p w:rsidR="00342B47" w:rsidRDefault="00342B47" w:rsidP="009C215B">
            <w:pPr>
              <w:jc w:val="center"/>
              <w:rPr>
                <w:rFonts w:ascii="仿宋_GB2312" w:eastAsia="仿宋_GB2312" w:hint="eastAsia"/>
                <w:color w:val="000000"/>
                <w:sz w:val="20"/>
                <w:szCs w:val="20"/>
              </w:rPr>
            </w:pPr>
            <w:r>
              <w:rPr>
                <w:rFonts w:ascii="仿宋_GB2312" w:hint="eastAsia"/>
                <w:color w:val="000000"/>
                <w:sz w:val="20"/>
                <w:szCs w:val="20"/>
              </w:rPr>
              <w:t>3</w:t>
            </w:r>
            <w:r>
              <w:rPr>
                <w:rFonts w:ascii="仿宋_GB2312" w:eastAsia="仿宋_GB2312" w:hint="eastAsia"/>
                <w:color w:val="000000"/>
                <w:sz w:val="20"/>
                <w:szCs w:val="20"/>
              </w:rPr>
              <w:t>5</w:t>
            </w:r>
          </w:p>
        </w:tc>
        <w:tc>
          <w:tcPr>
            <w:tcW w:w="5887" w:type="dxa"/>
            <w:vAlign w:val="center"/>
          </w:tcPr>
          <w:p w:rsidR="00342B47" w:rsidRDefault="00342B47" w:rsidP="009C215B">
            <w:pPr>
              <w:rPr>
                <w:rFonts w:ascii="仿宋_GB2312" w:eastAsia="仿宋_GB2312" w:hint="eastAsia"/>
                <w:color w:val="000000"/>
                <w:sz w:val="20"/>
                <w:szCs w:val="20"/>
              </w:rPr>
            </w:pPr>
            <w:r>
              <w:rPr>
                <w:rFonts w:ascii="仿宋_GB2312" w:eastAsia="仿宋_GB2312" w:hint="eastAsia"/>
                <w:color w:val="000000"/>
                <w:sz w:val="20"/>
                <w:szCs w:val="20"/>
              </w:rPr>
              <w:t>根据投标人对比选文响应、审计方案的可执行性、人员分工分组、时间进度、保证措施等进行综合评分。</w:t>
            </w:r>
          </w:p>
          <w:p w:rsidR="00342B47" w:rsidRDefault="00342B47" w:rsidP="009C215B">
            <w:pPr>
              <w:rPr>
                <w:rFonts w:ascii="仿宋_GB2312" w:eastAsia="仿宋_GB2312" w:hint="eastAsia"/>
                <w:color w:val="000000"/>
                <w:sz w:val="20"/>
                <w:szCs w:val="20"/>
              </w:rPr>
            </w:pPr>
            <w:r>
              <w:rPr>
                <w:rFonts w:ascii="仿宋_GB2312" w:eastAsia="仿宋_GB2312" w:hint="eastAsia"/>
                <w:color w:val="000000"/>
                <w:sz w:val="20"/>
                <w:szCs w:val="20"/>
              </w:rPr>
              <w:t>对比选文响应到位、审计方案的可执行性强、人员分工分组合理、时间进度最短、保证措施得当的得</w:t>
            </w:r>
            <w:r>
              <w:rPr>
                <w:rFonts w:ascii="仿宋_GB2312" w:hint="eastAsia"/>
                <w:color w:val="000000"/>
                <w:sz w:val="20"/>
                <w:szCs w:val="20"/>
              </w:rPr>
              <w:t>3</w:t>
            </w:r>
            <w:r>
              <w:rPr>
                <w:rFonts w:ascii="仿宋_GB2312" w:eastAsia="仿宋_GB2312" w:hint="eastAsia"/>
                <w:color w:val="000000"/>
                <w:sz w:val="20"/>
                <w:szCs w:val="20"/>
              </w:rPr>
              <w:t>5分；</w:t>
            </w:r>
          </w:p>
          <w:p w:rsidR="00342B47" w:rsidRDefault="00342B47" w:rsidP="009C215B">
            <w:pPr>
              <w:rPr>
                <w:rFonts w:ascii="仿宋_GB2312" w:eastAsia="仿宋_GB2312" w:hint="eastAsia"/>
                <w:color w:val="000000"/>
                <w:sz w:val="20"/>
                <w:szCs w:val="20"/>
              </w:rPr>
            </w:pPr>
            <w:r>
              <w:rPr>
                <w:rFonts w:ascii="仿宋_GB2312" w:eastAsia="仿宋_GB2312" w:hint="eastAsia"/>
                <w:color w:val="000000"/>
                <w:sz w:val="20"/>
                <w:szCs w:val="20"/>
              </w:rPr>
              <w:t>对比选文响应较好、审计方案的可执行性较强、人员分工分组较合理、时间进度较短、保证措施较好的得</w:t>
            </w:r>
            <w:r>
              <w:rPr>
                <w:rFonts w:ascii="仿宋_GB2312" w:hint="eastAsia"/>
                <w:color w:val="000000"/>
                <w:sz w:val="20"/>
                <w:szCs w:val="20"/>
              </w:rPr>
              <w:t>30</w:t>
            </w:r>
            <w:r>
              <w:rPr>
                <w:rFonts w:ascii="仿宋_GB2312" w:eastAsia="仿宋_GB2312" w:hint="eastAsia"/>
                <w:color w:val="000000"/>
                <w:sz w:val="20"/>
                <w:szCs w:val="20"/>
              </w:rPr>
              <w:t>分；</w:t>
            </w:r>
          </w:p>
          <w:p w:rsidR="00342B47" w:rsidRDefault="00342B47" w:rsidP="009C215B">
            <w:pPr>
              <w:rPr>
                <w:rFonts w:ascii="仿宋_GB2312" w:eastAsia="仿宋_GB2312" w:hint="eastAsia"/>
                <w:color w:val="000000"/>
                <w:sz w:val="20"/>
                <w:szCs w:val="20"/>
              </w:rPr>
            </w:pPr>
            <w:r>
              <w:rPr>
                <w:rFonts w:ascii="仿宋_GB2312" w:eastAsia="仿宋_GB2312" w:hint="eastAsia"/>
                <w:color w:val="000000"/>
                <w:sz w:val="20"/>
                <w:szCs w:val="20"/>
              </w:rPr>
              <w:t>对比选文响应一般、审计方案的可执行性一般、人员分工分组一般、时间进度一般、保证措施一般的得25分；</w:t>
            </w:r>
          </w:p>
          <w:p w:rsidR="00342B47" w:rsidRDefault="00342B47" w:rsidP="009C215B">
            <w:pPr>
              <w:rPr>
                <w:rFonts w:ascii="仿宋_GB2312" w:eastAsia="仿宋_GB2312" w:hint="eastAsia"/>
                <w:color w:val="000000"/>
                <w:sz w:val="20"/>
                <w:szCs w:val="20"/>
              </w:rPr>
            </w:pPr>
            <w:r>
              <w:rPr>
                <w:rFonts w:ascii="仿宋_GB2312" w:eastAsia="仿宋_GB2312" w:hint="eastAsia"/>
                <w:color w:val="000000"/>
                <w:sz w:val="20"/>
                <w:szCs w:val="20"/>
              </w:rPr>
              <w:t>对比选文响应不到位、审计方案的可执行性差、人员分工分组不合理、时间进度长、无保证措施的得</w:t>
            </w:r>
            <w:r>
              <w:rPr>
                <w:rFonts w:ascii="仿宋_GB2312" w:hint="eastAsia"/>
                <w:color w:val="000000"/>
                <w:sz w:val="20"/>
                <w:szCs w:val="20"/>
              </w:rPr>
              <w:t>2</w:t>
            </w:r>
            <w:r>
              <w:rPr>
                <w:rFonts w:ascii="仿宋_GB2312" w:eastAsia="仿宋_GB2312" w:hint="eastAsia"/>
                <w:color w:val="000000"/>
                <w:sz w:val="20"/>
                <w:szCs w:val="20"/>
              </w:rPr>
              <w:t>0分。</w:t>
            </w:r>
          </w:p>
          <w:p w:rsidR="00342B47" w:rsidRDefault="00342B47" w:rsidP="009C215B">
            <w:pPr>
              <w:rPr>
                <w:rFonts w:ascii="仿宋_GB2312" w:eastAsia="仿宋_GB2312" w:hint="eastAsia"/>
                <w:color w:val="000000"/>
                <w:sz w:val="20"/>
                <w:szCs w:val="20"/>
                <w:shd w:val="clear" w:color="auto" w:fill="FFFFFF"/>
              </w:rPr>
            </w:pPr>
            <w:r>
              <w:rPr>
                <w:rFonts w:ascii="仿宋_GB2312" w:eastAsia="仿宋_GB2312" w:hint="eastAsia"/>
                <w:color w:val="000000"/>
                <w:sz w:val="20"/>
                <w:szCs w:val="20"/>
              </w:rPr>
              <w:t>未提供审计方案的不得分。</w:t>
            </w:r>
          </w:p>
        </w:tc>
        <w:tc>
          <w:tcPr>
            <w:tcW w:w="2160" w:type="dxa"/>
            <w:vMerge w:val="restart"/>
            <w:vAlign w:val="center"/>
          </w:tcPr>
          <w:p w:rsidR="00342B47" w:rsidRDefault="00342B47" w:rsidP="009C215B">
            <w:pPr>
              <w:rPr>
                <w:rFonts w:ascii="仿宋_GB2312" w:eastAsia="仿宋_GB2312"/>
                <w:color w:val="000000"/>
                <w:sz w:val="20"/>
                <w:szCs w:val="20"/>
              </w:rPr>
            </w:pPr>
            <w:r>
              <w:rPr>
                <w:rFonts w:ascii="仿宋_GB2312" w:eastAsia="仿宋_GB2312" w:hint="eastAsia"/>
                <w:color w:val="000000"/>
                <w:sz w:val="20"/>
                <w:szCs w:val="20"/>
              </w:rPr>
              <w:t>提供服务方案和项目组人员资历证明文件复印件及项目负责人员近3年来参与2个以上行政事业单位审计项目的证明资料</w:t>
            </w:r>
          </w:p>
        </w:tc>
      </w:tr>
      <w:tr w:rsidR="00342B47" w:rsidTr="009C215B">
        <w:trPr>
          <w:cantSplit/>
          <w:trHeight w:val="1091"/>
          <w:jc w:val="center"/>
        </w:trPr>
        <w:tc>
          <w:tcPr>
            <w:tcW w:w="423" w:type="dxa"/>
            <w:vMerge/>
            <w:vAlign w:val="center"/>
          </w:tcPr>
          <w:p w:rsidR="00342B47" w:rsidRDefault="00342B47" w:rsidP="009C215B">
            <w:pPr>
              <w:ind w:firstLine="28"/>
              <w:jc w:val="center"/>
              <w:rPr>
                <w:rFonts w:ascii="仿宋_GB2312" w:eastAsia="仿宋_GB2312" w:hint="eastAsia"/>
                <w:color w:val="000000"/>
                <w:sz w:val="20"/>
                <w:szCs w:val="20"/>
              </w:rPr>
            </w:pPr>
          </w:p>
        </w:tc>
        <w:tc>
          <w:tcPr>
            <w:tcW w:w="975" w:type="dxa"/>
            <w:vMerge/>
            <w:vAlign w:val="center"/>
          </w:tcPr>
          <w:p w:rsidR="00342B47" w:rsidRDefault="00342B47" w:rsidP="009C215B">
            <w:pPr>
              <w:jc w:val="center"/>
              <w:rPr>
                <w:rFonts w:ascii="仿宋_GB2312" w:eastAsia="仿宋_GB2312" w:hint="eastAsia"/>
                <w:color w:val="000000"/>
                <w:sz w:val="20"/>
                <w:szCs w:val="20"/>
              </w:rPr>
            </w:pPr>
          </w:p>
        </w:tc>
        <w:tc>
          <w:tcPr>
            <w:tcW w:w="555" w:type="dxa"/>
            <w:vAlign w:val="center"/>
          </w:tcPr>
          <w:p w:rsidR="00342B47" w:rsidRDefault="00342B47" w:rsidP="009C215B">
            <w:pPr>
              <w:jc w:val="center"/>
              <w:rPr>
                <w:rFonts w:ascii="仿宋_GB2312" w:eastAsia="仿宋_GB2312" w:hint="eastAsia"/>
                <w:color w:val="000000"/>
                <w:sz w:val="20"/>
                <w:szCs w:val="20"/>
              </w:rPr>
            </w:pPr>
            <w:r>
              <w:rPr>
                <w:rFonts w:ascii="仿宋_GB2312" w:hint="eastAsia"/>
                <w:color w:val="000000"/>
                <w:sz w:val="20"/>
                <w:szCs w:val="20"/>
              </w:rPr>
              <w:t>20</w:t>
            </w:r>
          </w:p>
        </w:tc>
        <w:tc>
          <w:tcPr>
            <w:tcW w:w="5887" w:type="dxa"/>
            <w:vAlign w:val="center"/>
          </w:tcPr>
          <w:p w:rsidR="00342B47" w:rsidRDefault="00342B47" w:rsidP="009C215B">
            <w:pPr>
              <w:rPr>
                <w:rFonts w:ascii="仿宋_GB2312" w:eastAsia="仿宋_GB2312" w:hint="eastAsia"/>
                <w:color w:val="000000"/>
                <w:sz w:val="20"/>
                <w:szCs w:val="20"/>
              </w:rPr>
            </w:pPr>
            <w:r>
              <w:rPr>
                <w:rFonts w:ascii="仿宋_GB2312" w:eastAsia="仿宋_GB2312" w:hint="eastAsia"/>
                <w:color w:val="000000"/>
                <w:sz w:val="20"/>
                <w:szCs w:val="20"/>
              </w:rPr>
              <w:t>根据投标人提供的拟委派为本项目审计总负责人和审计组长及其他人员的资历、执业经验及项目参与度进行综合评分。</w:t>
            </w:r>
          </w:p>
          <w:p w:rsidR="00342B47" w:rsidRDefault="00342B47" w:rsidP="009C215B">
            <w:pPr>
              <w:rPr>
                <w:rFonts w:ascii="仿宋_GB2312" w:eastAsia="仿宋_GB2312" w:hint="eastAsia"/>
                <w:color w:val="000000"/>
                <w:sz w:val="20"/>
                <w:szCs w:val="20"/>
              </w:rPr>
            </w:pPr>
            <w:r>
              <w:rPr>
                <w:rFonts w:ascii="仿宋_GB2312" w:eastAsia="仿宋_GB2312" w:hint="eastAsia"/>
                <w:color w:val="000000"/>
                <w:sz w:val="20"/>
                <w:szCs w:val="20"/>
              </w:rPr>
              <w:t>拟委派为本项目审计总负责人和审计组长及其他人员的资历高、执业经验丰富，项目参与度高的得20分；</w:t>
            </w:r>
          </w:p>
          <w:p w:rsidR="00342B47" w:rsidRDefault="00342B47" w:rsidP="009C215B">
            <w:pPr>
              <w:rPr>
                <w:rFonts w:ascii="仿宋_GB2312" w:eastAsia="仿宋_GB2312" w:hint="eastAsia"/>
                <w:color w:val="000000"/>
                <w:sz w:val="20"/>
                <w:szCs w:val="20"/>
              </w:rPr>
            </w:pPr>
            <w:r>
              <w:rPr>
                <w:rFonts w:ascii="仿宋_GB2312" w:eastAsia="仿宋_GB2312" w:hint="eastAsia"/>
                <w:color w:val="000000"/>
                <w:sz w:val="20"/>
                <w:szCs w:val="20"/>
              </w:rPr>
              <w:t>拟委派为本项目审计总负责人和审计组长及其他人员的资历较高、执业经验较丰富，项目参与度较高的得15分；</w:t>
            </w:r>
          </w:p>
          <w:p w:rsidR="00342B47" w:rsidRDefault="00342B47" w:rsidP="009C215B">
            <w:pPr>
              <w:rPr>
                <w:rFonts w:ascii="仿宋_GB2312" w:eastAsia="仿宋_GB2312" w:hint="eastAsia"/>
                <w:color w:val="000000"/>
                <w:sz w:val="20"/>
                <w:szCs w:val="20"/>
              </w:rPr>
            </w:pPr>
            <w:r>
              <w:rPr>
                <w:rFonts w:ascii="仿宋_GB2312" w:eastAsia="仿宋_GB2312" w:hint="eastAsia"/>
                <w:color w:val="000000"/>
                <w:sz w:val="20"/>
                <w:szCs w:val="20"/>
              </w:rPr>
              <w:t>拟委派为本项目审计总负责人和审计组长及其他人员的资历一般、执业经验一般，项目参与度一般的得10分；</w:t>
            </w:r>
          </w:p>
          <w:p w:rsidR="00342B47" w:rsidRDefault="00342B47" w:rsidP="009C215B">
            <w:pPr>
              <w:rPr>
                <w:rFonts w:ascii="仿宋_GB2312" w:eastAsia="仿宋_GB2312" w:hint="eastAsia"/>
                <w:color w:val="000000"/>
                <w:sz w:val="20"/>
                <w:szCs w:val="20"/>
              </w:rPr>
            </w:pPr>
            <w:r>
              <w:rPr>
                <w:rFonts w:ascii="仿宋_GB2312" w:eastAsia="仿宋_GB2312" w:hint="eastAsia"/>
                <w:color w:val="000000"/>
                <w:sz w:val="20"/>
                <w:szCs w:val="20"/>
              </w:rPr>
              <w:t>拟委派为本项目审计总负责人和审计组长及其他人员的资历浅、无执业经验，项目参与度低的得5分。</w:t>
            </w:r>
          </w:p>
          <w:p w:rsidR="00342B47" w:rsidRDefault="00342B47" w:rsidP="009C215B">
            <w:pPr>
              <w:rPr>
                <w:rFonts w:ascii="仿宋_GB2312" w:eastAsia="仿宋_GB2312" w:hint="eastAsia"/>
                <w:color w:val="000000"/>
                <w:sz w:val="20"/>
                <w:szCs w:val="20"/>
              </w:rPr>
            </w:pPr>
            <w:r>
              <w:rPr>
                <w:rFonts w:ascii="仿宋_GB2312" w:eastAsia="仿宋_GB2312" w:hint="eastAsia"/>
                <w:color w:val="000000"/>
                <w:sz w:val="20"/>
                <w:szCs w:val="20"/>
              </w:rPr>
              <w:t>未提供拟委派为本项目审计总负责人和审计组长及其他人员的资历、执业经验及项目参与度的不得分。</w:t>
            </w:r>
          </w:p>
        </w:tc>
        <w:tc>
          <w:tcPr>
            <w:tcW w:w="2160" w:type="dxa"/>
            <w:vMerge/>
            <w:vAlign w:val="center"/>
          </w:tcPr>
          <w:p w:rsidR="00342B47" w:rsidRDefault="00342B47" w:rsidP="009C215B">
            <w:pPr>
              <w:rPr>
                <w:rFonts w:ascii="仿宋_GB2312" w:eastAsia="仿宋_GB2312" w:hint="eastAsia"/>
                <w:color w:val="000000"/>
                <w:sz w:val="20"/>
                <w:szCs w:val="20"/>
              </w:rPr>
            </w:pPr>
          </w:p>
        </w:tc>
      </w:tr>
      <w:tr w:rsidR="00342B47" w:rsidTr="009C215B">
        <w:trPr>
          <w:cantSplit/>
          <w:trHeight w:val="1016"/>
          <w:jc w:val="center"/>
        </w:trPr>
        <w:tc>
          <w:tcPr>
            <w:tcW w:w="423" w:type="dxa"/>
            <w:vMerge/>
            <w:vAlign w:val="center"/>
          </w:tcPr>
          <w:p w:rsidR="00342B47" w:rsidRDefault="00342B47" w:rsidP="009C215B">
            <w:pPr>
              <w:ind w:firstLine="28"/>
              <w:jc w:val="center"/>
              <w:rPr>
                <w:rFonts w:ascii="仿宋_GB2312" w:eastAsia="仿宋_GB2312"/>
                <w:color w:val="000000"/>
                <w:sz w:val="20"/>
                <w:szCs w:val="20"/>
              </w:rPr>
            </w:pPr>
          </w:p>
        </w:tc>
        <w:tc>
          <w:tcPr>
            <w:tcW w:w="975" w:type="dxa"/>
            <w:vMerge/>
            <w:vAlign w:val="center"/>
          </w:tcPr>
          <w:p w:rsidR="00342B47" w:rsidRDefault="00342B47" w:rsidP="009C215B">
            <w:pPr>
              <w:jc w:val="center"/>
              <w:rPr>
                <w:rFonts w:ascii="仿宋_GB2312" w:eastAsia="仿宋_GB2312"/>
                <w:color w:val="000000"/>
                <w:sz w:val="20"/>
                <w:szCs w:val="20"/>
              </w:rPr>
            </w:pPr>
          </w:p>
        </w:tc>
        <w:tc>
          <w:tcPr>
            <w:tcW w:w="555" w:type="dxa"/>
            <w:vAlign w:val="center"/>
          </w:tcPr>
          <w:p w:rsidR="00342B47" w:rsidRDefault="00342B47" w:rsidP="009C215B">
            <w:pPr>
              <w:jc w:val="center"/>
              <w:rPr>
                <w:rFonts w:ascii="仿宋_GB2312" w:eastAsia="仿宋_GB2312" w:hint="eastAsia"/>
                <w:color w:val="000000"/>
                <w:sz w:val="20"/>
                <w:szCs w:val="20"/>
              </w:rPr>
            </w:pPr>
            <w:r>
              <w:rPr>
                <w:rFonts w:ascii="仿宋_GB2312" w:eastAsia="仿宋_GB2312" w:hint="eastAsia"/>
                <w:color w:val="000000"/>
                <w:sz w:val="20"/>
                <w:szCs w:val="20"/>
              </w:rPr>
              <w:t>10</w:t>
            </w:r>
          </w:p>
        </w:tc>
        <w:tc>
          <w:tcPr>
            <w:tcW w:w="5887" w:type="dxa"/>
            <w:vAlign w:val="center"/>
          </w:tcPr>
          <w:p w:rsidR="00342B47" w:rsidRDefault="00342B47" w:rsidP="009C215B">
            <w:pPr>
              <w:ind w:left="200" w:hangingChars="100" w:hanging="200"/>
              <w:rPr>
                <w:rFonts w:ascii="仿宋_GB2312" w:eastAsia="仿宋_GB2312" w:hint="eastAsia"/>
                <w:color w:val="000000"/>
                <w:sz w:val="20"/>
                <w:szCs w:val="20"/>
                <w:shd w:val="clear" w:color="auto" w:fill="FFFFFF"/>
              </w:rPr>
            </w:pPr>
            <w:r>
              <w:rPr>
                <w:rFonts w:ascii="仿宋_GB2312" w:eastAsia="仿宋_GB2312" w:hint="eastAsia"/>
                <w:color w:val="000000"/>
                <w:sz w:val="20"/>
                <w:szCs w:val="20"/>
                <w:shd w:val="clear" w:color="auto" w:fill="FFFFFF"/>
              </w:rPr>
              <w:t>根据比较四川省注册会计师协会官网上公布的“四川省2017年度</w:t>
            </w:r>
          </w:p>
          <w:p w:rsidR="00342B47" w:rsidRDefault="00342B47" w:rsidP="009C215B">
            <w:pPr>
              <w:ind w:left="200" w:hangingChars="100" w:hanging="200"/>
              <w:rPr>
                <w:rFonts w:ascii="仿宋_GB2312" w:eastAsia="仿宋_GB2312" w:hint="eastAsia"/>
                <w:color w:val="000000"/>
                <w:sz w:val="20"/>
                <w:szCs w:val="20"/>
                <w:shd w:val="clear" w:color="auto" w:fill="FFFFFF"/>
              </w:rPr>
            </w:pPr>
            <w:r>
              <w:rPr>
                <w:rFonts w:ascii="仿宋_GB2312" w:eastAsia="仿宋_GB2312" w:hint="eastAsia"/>
                <w:color w:val="000000"/>
                <w:sz w:val="20"/>
                <w:szCs w:val="20"/>
                <w:shd w:val="clear" w:color="auto" w:fill="FFFFFF"/>
              </w:rPr>
              <w:t>会计师事务所综合评价排名”情况评分。</w:t>
            </w:r>
          </w:p>
          <w:p w:rsidR="00342B47" w:rsidRDefault="00342B47" w:rsidP="009C215B">
            <w:pPr>
              <w:ind w:left="200" w:hangingChars="100" w:hanging="200"/>
              <w:rPr>
                <w:rFonts w:ascii="仿宋_GB2312" w:eastAsia="仿宋_GB2312" w:hint="eastAsia"/>
                <w:color w:val="000000"/>
                <w:sz w:val="20"/>
                <w:szCs w:val="20"/>
                <w:shd w:val="clear" w:color="auto" w:fill="FFFFFF"/>
              </w:rPr>
            </w:pPr>
            <w:r>
              <w:rPr>
                <w:rFonts w:ascii="仿宋_GB2312" w:eastAsia="仿宋_GB2312" w:hint="eastAsia"/>
                <w:color w:val="000000"/>
                <w:sz w:val="20"/>
                <w:szCs w:val="20"/>
                <w:shd w:val="clear" w:color="auto" w:fill="FFFFFF"/>
              </w:rPr>
              <w:t>四川省2017年度会计师事务所综合评价排名最靠前的得10分；</w:t>
            </w:r>
          </w:p>
          <w:p w:rsidR="00342B47" w:rsidRDefault="00342B47" w:rsidP="009C215B">
            <w:pPr>
              <w:ind w:left="200" w:hangingChars="100" w:hanging="200"/>
              <w:rPr>
                <w:rFonts w:ascii="仿宋_GB2312" w:eastAsia="仿宋_GB2312" w:hint="eastAsia"/>
                <w:color w:val="000000"/>
                <w:sz w:val="20"/>
                <w:szCs w:val="20"/>
                <w:shd w:val="clear" w:color="auto" w:fill="FFFFFF"/>
              </w:rPr>
            </w:pPr>
            <w:r>
              <w:rPr>
                <w:rFonts w:ascii="仿宋_GB2312" w:eastAsia="仿宋_GB2312" w:hint="eastAsia"/>
                <w:color w:val="000000"/>
                <w:sz w:val="20"/>
                <w:szCs w:val="20"/>
                <w:shd w:val="clear" w:color="auto" w:fill="FFFFFF"/>
              </w:rPr>
              <w:t>四川省2017年度会计师事务所综合评价排名较靠前的得8分；</w:t>
            </w:r>
          </w:p>
          <w:p w:rsidR="00342B47" w:rsidRDefault="00342B47" w:rsidP="009C215B">
            <w:pPr>
              <w:ind w:left="200" w:hangingChars="100" w:hanging="200"/>
              <w:rPr>
                <w:rFonts w:ascii="仿宋_GB2312" w:eastAsia="仿宋_GB2312" w:hint="eastAsia"/>
                <w:color w:val="000000"/>
                <w:sz w:val="20"/>
                <w:szCs w:val="20"/>
                <w:shd w:val="clear" w:color="auto" w:fill="FFFFFF"/>
              </w:rPr>
            </w:pPr>
            <w:r>
              <w:rPr>
                <w:rFonts w:ascii="仿宋_GB2312" w:eastAsia="仿宋_GB2312" w:hint="eastAsia"/>
                <w:color w:val="000000"/>
                <w:sz w:val="20"/>
                <w:szCs w:val="20"/>
                <w:shd w:val="clear" w:color="auto" w:fill="FFFFFF"/>
              </w:rPr>
              <w:t>四川省2017年度会计师事务所综合评价排名中靠后的得6分；</w:t>
            </w:r>
          </w:p>
          <w:p w:rsidR="00342B47" w:rsidRDefault="00342B47" w:rsidP="009C215B">
            <w:pPr>
              <w:ind w:left="200" w:hangingChars="100" w:hanging="200"/>
              <w:rPr>
                <w:rFonts w:ascii="仿宋_GB2312" w:eastAsia="仿宋_GB2312" w:hint="eastAsia"/>
                <w:color w:val="000000"/>
                <w:sz w:val="20"/>
                <w:szCs w:val="20"/>
                <w:shd w:val="clear" w:color="auto" w:fill="FFFFFF"/>
              </w:rPr>
            </w:pPr>
            <w:r>
              <w:rPr>
                <w:rFonts w:ascii="仿宋_GB2312" w:eastAsia="仿宋_GB2312" w:hint="eastAsia"/>
                <w:color w:val="000000"/>
                <w:sz w:val="20"/>
                <w:szCs w:val="20"/>
                <w:shd w:val="clear" w:color="auto" w:fill="FFFFFF"/>
              </w:rPr>
              <w:t>四川省2017年度会计师事务所综合评价排名最后的得4分。</w:t>
            </w:r>
          </w:p>
          <w:p w:rsidR="00342B47" w:rsidRDefault="00342B47" w:rsidP="009C215B">
            <w:pPr>
              <w:ind w:left="200" w:hangingChars="100" w:hanging="200"/>
              <w:rPr>
                <w:rFonts w:ascii="仿宋_GB2312" w:eastAsia="仿宋_GB2312" w:hint="eastAsia"/>
                <w:color w:val="000000"/>
                <w:sz w:val="20"/>
                <w:szCs w:val="20"/>
              </w:rPr>
            </w:pPr>
            <w:r>
              <w:rPr>
                <w:rFonts w:ascii="仿宋_GB2312" w:eastAsia="仿宋_GB2312" w:hint="eastAsia"/>
                <w:color w:val="000000"/>
                <w:sz w:val="20"/>
                <w:szCs w:val="20"/>
                <w:shd w:val="clear" w:color="auto" w:fill="FFFFFF"/>
              </w:rPr>
              <w:t>未提供</w:t>
            </w:r>
            <w:r>
              <w:rPr>
                <w:rFonts w:ascii="仿宋_GB2312" w:eastAsia="仿宋_GB2312" w:hint="eastAsia"/>
                <w:color w:val="000000"/>
                <w:sz w:val="20"/>
                <w:szCs w:val="20"/>
              </w:rPr>
              <w:t>四川省2017年度会计师事务所综合评价排名情况一览表的</w:t>
            </w:r>
          </w:p>
          <w:p w:rsidR="00342B47" w:rsidRDefault="00342B47" w:rsidP="009C215B">
            <w:pPr>
              <w:ind w:left="200" w:hangingChars="100" w:hanging="200"/>
              <w:rPr>
                <w:rFonts w:ascii="仿宋_GB2312" w:eastAsia="仿宋_GB2312" w:hint="eastAsia"/>
                <w:color w:val="000000"/>
                <w:sz w:val="20"/>
                <w:szCs w:val="20"/>
                <w:shd w:val="clear" w:color="auto" w:fill="FFFFFF"/>
              </w:rPr>
            </w:pPr>
            <w:r>
              <w:rPr>
                <w:rFonts w:ascii="仿宋_GB2312" w:eastAsia="仿宋_GB2312" w:hint="eastAsia"/>
                <w:color w:val="000000"/>
                <w:sz w:val="20"/>
                <w:szCs w:val="20"/>
              </w:rPr>
              <w:t>不得分。</w:t>
            </w:r>
          </w:p>
        </w:tc>
        <w:tc>
          <w:tcPr>
            <w:tcW w:w="2160" w:type="dxa"/>
            <w:vAlign w:val="center"/>
          </w:tcPr>
          <w:p w:rsidR="00342B47" w:rsidRDefault="00342B47" w:rsidP="009C215B">
            <w:pPr>
              <w:rPr>
                <w:rFonts w:ascii="仿宋_GB2312" w:eastAsia="仿宋_GB2312"/>
                <w:color w:val="000000"/>
                <w:sz w:val="20"/>
                <w:szCs w:val="20"/>
              </w:rPr>
            </w:pPr>
            <w:r>
              <w:rPr>
                <w:rFonts w:ascii="仿宋_GB2312" w:eastAsia="仿宋_GB2312" w:hint="eastAsia"/>
                <w:color w:val="000000"/>
                <w:sz w:val="20"/>
                <w:szCs w:val="20"/>
              </w:rPr>
              <w:t>提供四川省2017年度会计师事务所综合评价排名情况一览表，并标注出自己排名的位置。</w:t>
            </w:r>
          </w:p>
        </w:tc>
      </w:tr>
      <w:tr w:rsidR="00342B47" w:rsidTr="009C215B">
        <w:trPr>
          <w:cantSplit/>
          <w:trHeight w:val="1280"/>
          <w:jc w:val="center"/>
        </w:trPr>
        <w:tc>
          <w:tcPr>
            <w:tcW w:w="423" w:type="dxa"/>
            <w:vAlign w:val="center"/>
          </w:tcPr>
          <w:p w:rsidR="00342B47" w:rsidRDefault="00342B47" w:rsidP="009C215B">
            <w:pPr>
              <w:ind w:firstLine="28"/>
              <w:jc w:val="center"/>
              <w:rPr>
                <w:rFonts w:ascii="仿宋_GB2312" w:eastAsia="仿宋_GB2312"/>
                <w:color w:val="000000"/>
                <w:sz w:val="20"/>
                <w:szCs w:val="20"/>
              </w:rPr>
            </w:pPr>
            <w:r>
              <w:rPr>
                <w:rFonts w:ascii="仿宋_GB2312" w:eastAsia="仿宋_GB2312" w:hint="eastAsia"/>
                <w:color w:val="000000"/>
                <w:sz w:val="20"/>
                <w:szCs w:val="20"/>
              </w:rPr>
              <w:lastRenderedPageBreak/>
              <w:t>三</w:t>
            </w:r>
          </w:p>
        </w:tc>
        <w:tc>
          <w:tcPr>
            <w:tcW w:w="975" w:type="dxa"/>
            <w:vAlign w:val="center"/>
          </w:tcPr>
          <w:p w:rsidR="00342B47" w:rsidRDefault="00342B47" w:rsidP="009C215B">
            <w:pPr>
              <w:jc w:val="center"/>
              <w:rPr>
                <w:rFonts w:ascii="仿宋_GB2312" w:eastAsia="仿宋_GB2312"/>
                <w:color w:val="000000"/>
                <w:sz w:val="20"/>
                <w:szCs w:val="20"/>
              </w:rPr>
            </w:pPr>
            <w:r>
              <w:rPr>
                <w:rFonts w:ascii="仿宋_GB2312" w:eastAsia="仿宋_GB2312" w:hint="eastAsia"/>
                <w:color w:val="000000"/>
                <w:sz w:val="20"/>
                <w:szCs w:val="20"/>
              </w:rPr>
              <w:t>参选单位实力（8）</w:t>
            </w:r>
          </w:p>
        </w:tc>
        <w:tc>
          <w:tcPr>
            <w:tcW w:w="555" w:type="dxa"/>
            <w:vAlign w:val="center"/>
          </w:tcPr>
          <w:p w:rsidR="00342B47" w:rsidRDefault="00342B47" w:rsidP="009C215B">
            <w:pPr>
              <w:ind w:firstLine="28"/>
              <w:jc w:val="center"/>
              <w:rPr>
                <w:rFonts w:ascii="仿宋_GB2312" w:eastAsia="仿宋_GB2312"/>
                <w:color w:val="000000"/>
                <w:sz w:val="20"/>
                <w:szCs w:val="20"/>
              </w:rPr>
            </w:pPr>
            <w:r>
              <w:rPr>
                <w:rFonts w:ascii="仿宋_GB2312" w:eastAsia="仿宋_GB2312" w:hint="eastAsia"/>
                <w:color w:val="000000"/>
                <w:sz w:val="20"/>
                <w:szCs w:val="20"/>
              </w:rPr>
              <w:t>8</w:t>
            </w:r>
          </w:p>
        </w:tc>
        <w:tc>
          <w:tcPr>
            <w:tcW w:w="5887" w:type="dxa"/>
          </w:tcPr>
          <w:p w:rsidR="00342B47" w:rsidRDefault="00342B47" w:rsidP="009C215B">
            <w:pPr>
              <w:rPr>
                <w:rFonts w:ascii="仿宋_GB2312" w:eastAsia="仿宋_GB2312" w:hint="eastAsia"/>
                <w:color w:val="000000"/>
                <w:sz w:val="20"/>
                <w:szCs w:val="20"/>
              </w:rPr>
            </w:pPr>
            <w:r>
              <w:rPr>
                <w:rFonts w:ascii="仿宋_GB2312" w:eastAsia="仿宋_GB2312" w:hint="eastAsia"/>
                <w:color w:val="000000"/>
                <w:sz w:val="20"/>
                <w:szCs w:val="20"/>
              </w:rPr>
              <w:t>根据投标人近3年来对行政事业单位等类似项目进行审计的实施经验及业绩情况进行综合评定。一个相关业绩得2分，每增加一个加2分，最多得8分。同一业绩不重复计分。</w:t>
            </w:r>
          </w:p>
          <w:p w:rsidR="00342B47" w:rsidRDefault="00342B47" w:rsidP="009C215B">
            <w:pPr>
              <w:rPr>
                <w:rFonts w:ascii="仿宋_GB2312" w:eastAsia="仿宋_GB2312"/>
                <w:color w:val="000000"/>
                <w:sz w:val="20"/>
                <w:szCs w:val="20"/>
              </w:rPr>
            </w:pPr>
          </w:p>
        </w:tc>
        <w:tc>
          <w:tcPr>
            <w:tcW w:w="2160" w:type="dxa"/>
            <w:vAlign w:val="center"/>
          </w:tcPr>
          <w:p w:rsidR="00342B47" w:rsidRDefault="00342B47" w:rsidP="009C215B">
            <w:pPr>
              <w:rPr>
                <w:rFonts w:ascii="仿宋_GB2312" w:eastAsia="仿宋_GB2312" w:hint="eastAsia"/>
                <w:color w:val="000000"/>
                <w:sz w:val="20"/>
                <w:szCs w:val="20"/>
              </w:rPr>
            </w:pPr>
            <w:r>
              <w:rPr>
                <w:rFonts w:ascii="仿宋_GB2312" w:eastAsia="仿宋_GB2312" w:hint="eastAsia"/>
                <w:color w:val="000000"/>
                <w:sz w:val="20"/>
                <w:szCs w:val="20"/>
              </w:rPr>
              <w:t>需提供合同、中标通知书复印件，或其他证明资料</w:t>
            </w:r>
          </w:p>
        </w:tc>
      </w:tr>
      <w:tr w:rsidR="00342B47" w:rsidTr="009C215B">
        <w:trPr>
          <w:cantSplit/>
          <w:trHeight w:val="796"/>
          <w:jc w:val="center"/>
        </w:trPr>
        <w:tc>
          <w:tcPr>
            <w:tcW w:w="423" w:type="dxa"/>
            <w:vAlign w:val="center"/>
          </w:tcPr>
          <w:p w:rsidR="00342B47" w:rsidRDefault="00342B47" w:rsidP="009C215B">
            <w:pPr>
              <w:ind w:firstLine="28"/>
              <w:jc w:val="center"/>
              <w:rPr>
                <w:rFonts w:ascii="仿宋_GB2312" w:eastAsia="仿宋_GB2312" w:hint="eastAsia"/>
                <w:color w:val="000000"/>
                <w:sz w:val="20"/>
                <w:szCs w:val="20"/>
              </w:rPr>
            </w:pPr>
            <w:r>
              <w:rPr>
                <w:rFonts w:ascii="仿宋_GB2312" w:eastAsia="仿宋_GB2312" w:hint="eastAsia"/>
                <w:color w:val="000000"/>
                <w:sz w:val="20"/>
                <w:szCs w:val="20"/>
              </w:rPr>
              <w:t>四</w:t>
            </w:r>
          </w:p>
        </w:tc>
        <w:tc>
          <w:tcPr>
            <w:tcW w:w="975" w:type="dxa"/>
            <w:vAlign w:val="center"/>
          </w:tcPr>
          <w:p w:rsidR="00342B47" w:rsidRDefault="00342B47" w:rsidP="009C215B">
            <w:pPr>
              <w:rPr>
                <w:rFonts w:ascii="仿宋_GB2312" w:eastAsia="仿宋_GB2312" w:hint="eastAsia"/>
                <w:color w:val="000000"/>
                <w:sz w:val="20"/>
                <w:szCs w:val="20"/>
              </w:rPr>
            </w:pPr>
            <w:r>
              <w:rPr>
                <w:rFonts w:ascii="仿宋_GB2312" w:eastAsia="仿宋_GB2312" w:hint="eastAsia"/>
                <w:color w:val="000000"/>
                <w:sz w:val="20"/>
                <w:szCs w:val="20"/>
              </w:rPr>
              <w:t>现场陈述（10）</w:t>
            </w:r>
          </w:p>
        </w:tc>
        <w:tc>
          <w:tcPr>
            <w:tcW w:w="555" w:type="dxa"/>
            <w:vAlign w:val="center"/>
          </w:tcPr>
          <w:p w:rsidR="00342B47" w:rsidRDefault="00342B47" w:rsidP="009C215B">
            <w:pPr>
              <w:ind w:firstLine="28"/>
              <w:jc w:val="center"/>
              <w:rPr>
                <w:rFonts w:ascii="仿宋_GB2312" w:eastAsia="仿宋_GB2312" w:hint="eastAsia"/>
                <w:color w:val="000000"/>
                <w:sz w:val="20"/>
                <w:szCs w:val="20"/>
              </w:rPr>
            </w:pPr>
            <w:r>
              <w:rPr>
                <w:rFonts w:ascii="仿宋_GB2312" w:eastAsia="仿宋_GB2312" w:hint="eastAsia"/>
                <w:color w:val="000000"/>
                <w:sz w:val="20"/>
                <w:szCs w:val="20"/>
              </w:rPr>
              <w:t>10</w:t>
            </w:r>
          </w:p>
        </w:tc>
        <w:tc>
          <w:tcPr>
            <w:tcW w:w="5887" w:type="dxa"/>
          </w:tcPr>
          <w:p w:rsidR="00342B47" w:rsidRDefault="00342B47" w:rsidP="009C215B">
            <w:pPr>
              <w:rPr>
                <w:rFonts w:ascii="仿宋_GB2312" w:eastAsia="仿宋_GB2312" w:hint="eastAsia"/>
                <w:color w:val="000000"/>
                <w:sz w:val="20"/>
                <w:szCs w:val="20"/>
              </w:rPr>
            </w:pPr>
            <w:r>
              <w:rPr>
                <w:rFonts w:ascii="仿宋_GB2312" w:eastAsia="仿宋_GB2312" w:hint="eastAsia"/>
                <w:color w:val="000000"/>
                <w:sz w:val="20"/>
                <w:szCs w:val="20"/>
              </w:rPr>
              <w:t>就项目策划设计和实施方案的现场解说；优得10分，良得7分，中得4分，差得3分。现场未解说的不得分。</w:t>
            </w:r>
          </w:p>
        </w:tc>
        <w:tc>
          <w:tcPr>
            <w:tcW w:w="2160" w:type="dxa"/>
            <w:vAlign w:val="center"/>
          </w:tcPr>
          <w:p w:rsidR="00342B47" w:rsidRDefault="00342B47" w:rsidP="009C215B">
            <w:pPr>
              <w:rPr>
                <w:rFonts w:ascii="仿宋_GB2312" w:eastAsia="仿宋_GB2312" w:hint="eastAsia"/>
                <w:color w:val="000000"/>
                <w:sz w:val="20"/>
                <w:szCs w:val="20"/>
              </w:rPr>
            </w:pPr>
            <w:r>
              <w:rPr>
                <w:rFonts w:ascii="仿宋_GB2312" w:eastAsia="仿宋_GB2312" w:hint="eastAsia"/>
                <w:color w:val="000000"/>
                <w:sz w:val="20"/>
                <w:szCs w:val="20"/>
              </w:rPr>
              <w:t>陈述时间不超过10分钟</w:t>
            </w:r>
          </w:p>
        </w:tc>
      </w:tr>
      <w:tr w:rsidR="00342B47" w:rsidTr="009C215B">
        <w:trPr>
          <w:cantSplit/>
          <w:trHeight w:val="789"/>
          <w:jc w:val="center"/>
        </w:trPr>
        <w:tc>
          <w:tcPr>
            <w:tcW w:w="423" w:type="dxa"/>
            <w:vAlign w:val="center"/>
          </w:tcPr>
          <w:p w:rsidR="00342B47" w:rsidRDefault="00342B47" w:rsidP="009C215B">
            <w:pPr>
              <w:jc w:val="center"/>
              <w:rPr>
                <w:rFonts w:ascii="仿宋_GB2312" w:eastAsia="仿宋_GB2312"/>
                <w:color w:val="000000"/>
                <w:sz w:val="20"/>
                <w:szCs w:val="20"/>
              </w:rPr>
            </w:pPr>
            <w:r>
              <w:rPr>
                <w:rFonts w:ascii="仿宋_GB2312" w:eastAsia="仿宋_GB2312" w:hint="eastAsia"/>
                <w:color w:val="000000"/>
                <w:sz w:val="20"/>
                <w:szCs w:val="20"/>
              </w:rPr>
              <w:t>五</w:t>
            </w:r>
          </w:p>
        </w:tc>
        <w:tc>
          <w:tcPr>
            <w:tcW w:w="975" w:type="dxa"/>
            <w:vAlign w:val="center"/>
          </w:tcPr>
          <w:p w:rsidR="00342B47" w:rsidRDefault="00342B47" w:rsidP="009C215B">
            <w:pPr>
              <w:jc w:val="center"/>
              <w:rPr>
                <w:rFonts w:ascii="仿宋_GB2312" w:eastAsia="仿宋_GB2312"/>
                <w:color w:val="000000"/>
                <w:sz w:val="20"/>
                <w:szCs w:val="20"/>
              </w:rPr>
            </w:pPr>
            <w:r>
              <w:rPr>
                <w:rFonts w:ascii="仿宋_GB2312" w:eastAsia="仿宋_GB2312" w:hint="eastAsia"/>
                <w:color w:val="000000"/>
                <w:sz w:val="20"/>
                <w:szCs w:val="20"/>
              </w:rPr>
              <w:t>比选文件规范性（2）</w:t>
            </w:r>
          </w:p>
        </w:tc>
        <w:tc>
          <w:tcPr>
            <w:tcW w:w="555" w:type="dxa"/>
            <w:vAlign w:val="center"/>
          </w:tcPr>
          <w:p w:rsidR="00342B47" w:rsidRDefault="00342B47" w:rsidP="009C215B">
            <w:pPr>
              <w:jc w:val="center"/>
              <w:rPr>
                <w:rFonts w:ascii="仿宋_GB2312" w:eastAsia="仿宋_GB2312"/>
                <w:color w:val="000000"/>
                <w:sz w:val="20"/>
                <w:szCs w:val="20"/>
              </w:rPr>
            </w:pPr>
            <w:r>
              <w:rPr>
                <w:rFonts w:ascii="仿宋_GB2312" w:eastAsia="仿宋_GB2312"/>
                <w:color w:val="000000"/>
                <w:sz w:val="20"/>
                <w:szCs w:val="20"/>
              </w:rPr>
              <w:t>2</w:t>
            </w:r>
          </w:p>
        </w:tc>
        <w:tc>
          <w:tcPr>
            <w:tcW w:w="5887" w:type="dxa"/>
            <w:vAlign w:val="center"/>
          </w:tcPr>
          <w:p w:rsidR="00342B47" w:rsidRDefault="00342B47" w:rsidP="009C215B">
            <w:pPr>
              <w:outlineLvl w:val="0"/>
              <w:rPr>
                <w:rFonts w:ascii="仿宋_GB2312" w:eastAsia="仿宋_GB2312"/>
                <w:color w:val="000000"/>
                <w:sz w:val="20"/>
                <w:szCs w:val="20"/>
              </w:rPr>
            </w:pPr>
            <w:r>
              <w:rPr>
                <w:rFonts w:ascii="仿宋_GB2312" w:eastAsia="仿宋_GB2312" w:hint="eastAsia"/>
                <w:color w:val="000000"/>
                <w:sz w:val="20"/>
                <w:szCs w:val="20"/>
              </w:rPr>
              <w:t>没有细微偏差情形的得</w:t>
            </w:r>
            <w:r>
              <w:rPr>
                <w:rFonts w:ascii="仿宋_GB2312" w:eastAsia="仿宋_GB2312"/>
                <w:color w:val="000000"/>
                <w:sz w:val="20"/>
                <w:szCs w:val="20"/>
              </w:rPr>
              <w:t>2</w:t>
            </w:r>
            <w:r>
              <w:rPr>
                <w:rFonts w:ascii="仿宋_GB2312" w:eastAsia="仿宋_GB2312" w:hint="eastAsia"/>
                <w:color w:val="000000"/>
                <w:sz w:val="20"/>
                <w:szCs w:val="20"/>
              </w:rPr>
              <w:t>分；有一项细微偏差扣</w:t>
            </w:r>
            <w:r>
              <w:rPr>
                <w:rFonts w:ascii="仿宋_GB2312" w:eastAsia="仿宋_GB2312"/>
                <w:color w:val="000000"/>
                <w:sz w:val="20"/>
                <w:szCs w:val="20"/>
              </w:rPr>
              <w:t>0.5</w:t>
            </w:r>
            <w:r>
              <w:rPr>
                <w:rFonts w:ascii="仿宋_GB2312" w:eastAsia="仿宋_GB2312" w:hint="eastAsia"/>
                <w:color w:val="000000"/>
                <w:sz w:val="20"/>
                <w:szCs w:val="20"/>
              </w:rPr>
              <w:t>分，直至该项分值扣完为止。</w:t>
            </w:r>
          </w:p>
        </w:tc>
        <w:tc>
          <w:tcPr>
            <w:tcW w:w="2160" w:type="dxa"/>
            <w:vAlign w:val="center"/>
          </w:tcPr>
          <w:p w:rsidR="00342B47" w:rsidRDefault="00342B47" w:rsidP="009C215B">
            <w:pPr>
              <w:rPr>
                <w:rFonts w:ascii="仿宋_GB2312" w:eastAsia="仿宋_GB2312"/>
                <w:color w:val="000000"/>
                <w:sz w:val="20"/>
                <w:szCs w:val="20"/>
              </w:rPr>
            </w:pPr>
          </w:p>
        </w:tc>
      </w:tr>
    </w:tbl>
    <w:p w:rsidR="00342B47" w:rsidRDefault="00342B47" w:rsidP="00342B47">
      <w:pPr>
        <w:spacing w:line="560" w:lineRule="exact"/>
        <w:rPr>
          <w:rFonts w:eastAsia="仿宋_GB2312"/>
          <w:szCs w:val="32"/>
        </w:rPr>
      </w:pPr>
    </w:p>
    <w:p w:rsidR="000F2793" w:rsidRPr="00342B47" w:rsidRDefault="000F2793"/>
    <w:sectPr w:rsidR="000F2793" w:rsidRPr="00342B47" w:rsidSect="000F27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2B47"/>
    <w:rsid w:val="000F2793"/>
    <w:rsid w:val="00342B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B47"/>
    <w:pPr>
      <w:widowControl w:val="0"/>
      <w:jc w:val="both"/>
    </w:pPr>
    <w:rPr>
      <w:rFonts w:ascii="Times New Roman" w:eastAsia="仿宋"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1116</Characters>
  <Application>Microsoft Office Word</Application>
  <DocSecurity>0</DocSecurity>
  <Lines>9</Lines>
  <Paragraphs>2</Paragraphs>
  <ScaleCrop>false</ScaleCrop>
  <Company>china</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2018-06-12T06:26:00Z</dcterms:created>
  <dcterms:modified xsi:type="dcterms:W3CDTF">2018-06-12T06:26:00Z</dcterms:modified>
</cp:coreProperties>
</file>