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7 -->
  <w:body>
    <w:p>
      <w:pPr>
        <w:ind w:right="15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四川省简政放权放管结合优化服务</w:t>
      </w:r>
      <w:r>
        <w:rPr>
          <w:rFonts w:ascii="Times New Roman" w:eastAsia="方正小标宋简体" w:hAnsi="Times New Roman" w:hint="eastAsia"/>
          <w:sz w:val="36"/>
          <w:szCs w:val="36"/>
        </w:rPr>
        <w:t>重点工作任务表</w:t>
      </w:r>
    </w:p>
    <w:p>
      <w:pPr>
        <w:ind w:right="750"/>
        <w:jc w:val="right"/>
        <w:rPr>
          <w:rFonts w:ascii="Times New Roman" w:eastAsia="楷体" w:hAnsi="Times New Roman"/>
          <w:sz w:val="13"/>
          <w:szCs w:val="13"/>
        </w:rPr>
      </w:pPr>
    </w:p>
    <w:tbl>
      <w:tblPr>
        <w:tblW w:w="13983" w:type="dxa"/>
        <w:jc w:val="center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11"/>
        <w:gridCol w:w="6899"/>
        <w:gridCol w:w="1559"/>
        <w:gridCol w:w="2268"/>
        <w:gridCol w:w="2346"/>
      </w:tblGrid>
      <w:tr>
        <w:tblPrEx>
          <w:tblW w:w="13983" w:type="dxa"/>
          <w:jc w:val="center"/>
          <w:tblInd w:w="-8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8"/>
          <w:jc w:val="center"/>
        </w:trPr>
        <w:tc>
          <w:tcPr>
            <w:tcW w:w="91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689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工作任务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牵头单位</w:t>
            </w:r>
          </w:p>
        </w:tc>
        <w:tc>
          <w:tcPr>
            <w:tcW w:w="2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时间进度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983" w:type="dxa"/>
            <w:gridSpan w:val="5"/>
            <w:vAlign w:val="top"/>
          </w:tcPr>
          <w:p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一、深入推进行政审批改革工作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对照国务院行政许可事项清单，对应清理我省已公布的省、市、县三级行政许可目录。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行政审批</w:t>
            </w:r>
          </w:p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改革组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省法制办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按国家统一部署推进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公布《取消、调整和保留的省市县联审事项目录》、《取消、保留的省市县许可限额事项目录》、《取消、调整和保留的市（州）行政审批前置条件目录》和《取消、调整和保留的县（市、区）行政审批前置条件目录》。</w:t>
            </w:r>
          </w:p>
        </w:tc>
        <w:tc>
          <w:tcPr>
            <w:tcW w:w="1559" w:type="dxa"/>
            <w:vMerge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省政务服务管理办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3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color w:val="FF0000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按照创新和改进公共服务等相关工作要求，编制全省统一的办事指南。</w:t>
            </w:r>
          </w:p>
        </w:tc>
        <w:tc>
          <w:tcPr>
            <w:tcW w:w="1559" w:type="dxa"/>
            <w:vMerge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省政务服务管理办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8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4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指导、督促成都市武侯区、新津县、江油市、巴中市开展相对集中行政许可权试点，创新行政审批运行机制，逐步实现行政许可权相对集中运行，提升审批效率。</w:t>
            </w:r>
          </w:p>
        </w:tc>
        <w:tc>
          <w:tcPr>
            <w:tcW w:w="1559" w:type="dxa"/>
            <w:vMerge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省编办、省法制办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9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5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出台《全省性行业协会商会与行政机关脱钩试点方案》，完成全省性行业协会商会与行政机关脱钩第一批试点，启动第二批试点。</w:t>
            </w:r>
          </w:p>
        </w:tc>
        <w:tc>
          <w:tcPr>
            <w:tcW w:w="1559" w:type="dxa"/>
            <w:vMerge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民政厅、省发展改革委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983" w:type="dxa"/>
            <w:gridSpan w:val="5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二、深入推进投资审批改革工作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trHeight w:val="1145"/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6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再取消下放一批企业投资项目审批事项，同时按照国家统一部署，积极推进投资项目报建手续清理、规范工作，解决报建手续过多过繁问题，进一步落实企业和基层投资自主权。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kern w:val="0"/>
                <w:szCs w:val="21"/>
              </w:rPr>
              <w:t>投资审批</w:t>
            </w:r>
          </w:p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kern w:val="0"/>
                <w:szCs w:val="21"/>
              </w:rPr>
              <w:t>改革组</w:t>
            </w: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省发展改革委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按国家统一部署推进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trHeight w:val="1115"/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7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按照国家建立和完善负面清单、权力清单、责任清单制度，推行行政审批规范化、标准化的有关要求，在现行部门权力清单的基础上，加快形成并发布投资项目前置审批事项和中介服务事项清单。</w:t>
            </w:r>
          </w:p>
        </w:tc>
        <w:tc>
          <w:tcPr>
            <w:tcW w:w="1559" w:type="dxa"/>
            <w:vMerge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省发展改革委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8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完善全省投资项目在线审批监管平台，推进省、市、县三级投资项目在平台上全面运行，依托平台加强投资项目事中事后监管。</w:t>
            </w:r>
          </w:p>
        </w:tc>
        <w:tc>
          <w:tcPr>
            <w:tcW w:w="1559" w:type="dxa"/>
            <w:vMerge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省发展改革委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12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9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整合省、市、县三级公共资源交易平台，将工程建设项目招标投标、土地使用权和矿业权出让、国有产权交易、政府采购等纳入统一的平台体系。</w:t>
            </w:r>
          </w:p>
        </w:tc>
        <w:tc>
          <w:tcPr>
            <w:tcW w:w="1559" w:type="dxa"/>
            <w:vMerge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省政务服务管理办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10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建设终端覆盖全省各级公共资源交易平台的电子交易公共服务系统，与国家电子交易公共服务系统互联互通，实现资源共享。</w:t>
            </w:r>
          </w:p>
        </w:tc>
        <w:tc>
          <w:tcPr>
            <w:tcW w:w="1559" w:type="dxa"/>
            <w:vMerge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省政务服务管理办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9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trHeight w:val="90"/>
          <w:jc w:val="center"/>
        </w:trPr>
        <w:tc>
          <w:tcPr>
            <w:tcW w:w="13983" w:type="dxa"/>
            <w:gridSpan w:val="5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三、深入推进职业资格改革工作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trHeight w:val="1382"/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11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贯彻落实国务院和人力资源社会保障部工作部署，做好取消职业资格许可和认定事项贯彻落实工作。指导各地落实人力资源社会保障部《关于废止〈招用技术工种从业人员规定〉的通知》（人力资源和社会保障部令第</w:t>
            </w:r>
            <w:r>
              <w:rPr>
                <w:rFonts w:ascii="Times New Roman" w:eastAsia="方正仿宋简体" w:hAnsi="Times New Roman"/>
                <w:szCs w:val="21"/>
              </w:rPr>
              <w:t>26</w:t>
            </w:r>
            <w:r>
              <w:rPr>
                <w:rFonts w:ascii="Times New Roman" w:eastAsia="方正仿宋简体" w:hAnsi="Times New Roman" w:hint="eastAsia"/>
                <w:szCs w:val="21"/>
              </w:rPr>
              <w:t>号）。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职业资格</w:t>
            </w:r>
          </w:p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改革组</w:t>
            </w: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人力资源社会保障厅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按国家统一部署推进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trHeight w:val="692"/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12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继续推广使用技能鉴定在线考务系统和职业资格证书管理系统，加强对职业资格制度实施情况的监管。</w:t>
            </w:r>
          </w:p>
        </w:tc>
        <w:tc>
          <w:tcPr>
            <w:tcW w:w="1559" w:type="dxa"/>
            <w:vMerge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人力资源社会保障厅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12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983" w:type="dxa"/>
            <w:gridSpan w:val="5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四、深入推进收费清理改革工作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trHeight w:val="751"/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13</w:t>
            </w:r>
          </w:p>
        </w:tc>
        <w:tc>
          <w:tcPr>
            <w:tcW w:w="6899" w:type="dxa"/>
            <w:vAlign w:val="center"/>
          </w:tcPr>
          <w:p>
            <w:pPr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继续清理规范行政事业性收费，适时调整偏高的收费标准，降低企业经营成本。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收费清理</w:t>
            </w:r>
          </w:p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改革组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财政厅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按国家统一部署推进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trHeight w:val="1001"/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14</w:t>
            </w:r>
          </w:p>
        </w:tc>
        <w:tc>
          <w:tcPr>
            <w:tcW w:w="6899" w:type="dxa"/>
            <w:vAlign w:val="center"/>
          </w:tcPr>
          <w:p>
            <w:pPr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清理公布全省政府性基金、行政事业性收费和涉企行政事业性收费三张目录清单。督促和检查相关部门和执收单位建立和完善收费基金公示制度。</w:t>
            </w:r>
          </w:p>
        </w:tc>
        <w:tc>
          <w:tcPr>
            <w:tcW w:w="1559" w:type="dxa"/>
            <w:vMerge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财政厅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12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15</w:t>
            </w:r>
          </w:p>
        </w:tc>
        <w:tc>
          <w:tcPr>
            <w:tcW w:w="6899" w:type="dxa"/>
            <w:vAlign w:val="top"/>
          </w:tcPr>
          <w:p>
            <w:pPr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根据国家和省关于价费改革新的任务和要求，继续深入做好经营服务性收费清理规范工作。</w:t>
            </w:r>
          </w:p>
        </w:tc>
        <w:tc>
          <w:tcPr>
            <w:tcW w:w="1559" w:type="dxa"/>
            <w:vMerge/>
            <w:vAlign w:val="top"/>
          </w:tcPr>
          <w:p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省发展改革委</w:t>
            </w:r>
          </w:p>
        </w:tc>
        <w:tc>
          <w:tcPr>
            <w:tcW w:w="2346" w:type="dxa"/>
            <w:vAlign w:val="top"/>
          </w:tcPr>
          <w:p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12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16</w:t>
            </w:r>
          </w:p>
        </w:tc>
        <w:tc>
          <w:tcPr>
            <w:tcW w:w="6899" w:type="dxa"/>
            <w:vAlign w:val="top"/>
          </w:tcPr>
          <w:p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落实政府定价的涉企经营服务性收费</w:t>
            </w:r>
            <w:r>
              <w:rPr>
                <w:rFonts w:ascii="Times New Roman" w:eastAsia="仿宋_GB2312" w:hAnsi="Times New Roman"/>
                <w:szCs w:val="21"/>
              </w:rPr>
              <w:t>“</w:t>
            </w:r>
            <w:r>
              <w:rPr>
                <w:rFonts w:ascii="Times New Roman" w:eastAsia="仿宋_GB2312" w:hAnsi="Times New Roman" w:hint="eastAsia"/>
                <w:szCs w:val="21"/>
              </w:rPr>
              <w:t>三项目录清单</w:t>
            </w:r>
            <w:r>
              <w:rPr>
                <w:rFonts w:ascii="Times New Roman" w:eastAsia="仿宋_GB2312" w:hAnsi="Times New Roman"/>
                <w:szCs w:val="21"/>
              </w:rPr>
              <w:t>”</w:t>
            </w:r>
            <w:r>
              <w:rPr>
                <w:rFonts w:ascii="Times New Roman" w:eastAsia="仿宋_GB2312" w:hAnsi="Times New Roman" w:hint="eastAsia"/>
                <w:szCs w:val="21"/>
              </w:rPr>
              <w:t>制度，加大对服务性收费市场监管力度，规范收费主体行为，优化市场环境，巩固清理规范成果。</w:t>
            </w:r>
          </w:p>
        </w:tc>
        <w:tc>
          <w:tcPr>
            <w:tcW w:w="1559" w:type="dxa"/>
            <w:vMerge/>
            <w:vAlign w:val="top"/>
          </w:tcPr>
          <w:p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省发展改革委</w:t>
            </w:r>
          </w:p>
        </w:tc>
        <w:tc>
          <w:tcPr>
            <w:tcW w:w="2346" w:type="dxa"/>
            <w:vAlign w:val="top"/>
          </w:tcPr>
          <w:p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12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983" w:type="dxa"/>
            <w:gridSpan w:val="5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五、深入推进商事制度改革工作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17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探索试点个体工商户“二证合一”、统一社会信用代码，切实构建方便快捷的市场主体准入通道。</w:t>
            </w:r>
          </w:p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商事制度</w:t>
            </w:r>
          </w:p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改革组</w:t>
            </w: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省工商局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12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18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探索完善市场主体便捷退出机制，推进简易注销登记改革试点，出台开展未开业企业和无债权债务企业简易注销的规定。</w:t>
            </w:r>
          </w:p>
        </w:tc>
        <w:tc>
          <w:tcPr>
            <w:tcW w:w="1559" w:type="dxa"/>
            <w:vMerge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省工商局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12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19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初步实现归集各政府部门在履行职责过程中产生的行政许可、行政处罚以及其他依法应当公示的企业信息，建立政府部门间企业信息公示联络员制度。</w:t>
            </w:r>
          </w:p>
        </w:tc>
        <w:tc>
          <w:tcPr>
            <w:tcW w:w="1559" w:type="dxa"/>
            <w:vMerge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省工商局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12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建立工商、行政审批、行业主管部门及行政权力平台、行政效能电子监察系统之间的信息共享机制。</w:t>
            </w:r>
          </w:p>
        </w:tc>
        <w:tc>
          <w:tcPr>
            <w:tcW w:w="1559" w:type="dxa"/>
            <w:vMerge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省工商局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12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21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初步建立、逐步健全跨部门联动响应机制和失信惩戒机制。</w:t>
            </w:r>
          </w:p>
        </w:tc>
        <w:tc>
          <w:tcPr>
            <w:tcW w:w="1559" w:type="dxa"/>
            <w:vMerge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省工商局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12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22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建立“双随机”抽查制度，制定管理办法，组织开展“双随机”抽查工作。</w:t>
            </w:r>
          </w:p>
        </w:tc>
        <w:tc>
          <w:tcPr>
            <w:tcW w:w="155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省工商局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 w:val="18"/>
                <w:szCs w:val="18"/>
              </w:rPr>
              <w:t>6</w:t>
            </w: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月底前完成制定管理办法，启动相关工作。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983" w:type="dxa"/>
            <w:gridSpan w:val="5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六、深入推进教科文卫体领域相关改革工作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trHeight w:val="1100"/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23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加强创新创业教育，制定出台高等教育综合改革专项方案、出国留学中介服务机构认定与监管办法、乡村教师支持计划及推动一流大学、一流学科建设实施意见。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教科文卫体</w:t>
            </w:r>
          </w:p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改革组</w:t>
            </w: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教育厅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12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trHeight w:val="1100"/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24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不断完善政策、融资、载体、环境等体制机制，制定科技计划管理改革方案，深化科研院所分类改革，出台《四川科研院所改革总体方案》和《深化科研院所改革试点推进方案》。</w:t>
            </w:r>
          </w:p>
        </w:tc>
        <w:tc>
          <w:tcPr>
            <w:tcW w:w="1559" w:type="dxa"/>
            <w:vMerge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科技厅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12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trHeight w:val="705"/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25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进一步规范文化市场行政审批行为，完善行政审批台账管理和审批信息公示制度。</w:t>
            </w:r>
          </w:p>
        </w:tc>
        <w:tc>
          <w:tcPr>
            <w:tcW w:w="1559" w:type="dxa"/>
            <w:vMerge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文化厅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12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trHeight w:val="743"/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26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深入推进“互联网</w:t>
            </w:r>
            <w:r>
              <w:rPr>
                <w:rFonts w:ascii="Times New Roman" w:eastAsia="方正仿宋简体" w:hAnsi="Times New Roman"/>
                <w:szCs w:val="21"/>
              </w:rPr>
              <w:t>+</w:t>
            </w:r>
            <w:r>
              <w:rPr>
                <w:rFonts w:ascii="Times New Roman" w:eastAsia="方正仿宋简体" w:hAnsi="Times New Roman" w:hint="eastAsia"/>
                <w:szCs w:val="21"/>
              </w:rPr>
              <w:t>医疗”，促进医疗与信息化的深度融合，搭建“互联网</w:t>
            </w:r>
            <w:r>
              <w:rPr>
                <w:rFonts w:ascii="Times New Roman" w:eastAsia="方正仿宋简体" w:hAnsi="Times New Roman"/>
                <w:szCs w:val="21"/>
              </w:rPr>
              <w:t>+</w:t>
            </w:r>
            <w:r>
              <w:rPr>
                <w:rFonts w:ascii="Times New Roman" w:eastAsia="方正仿宋简体" w:hAnsi="Times New Roman" w:hint="eastAsia"/>
                <w:szCs w:val="21"/>
              </w:rPr>
              <w:t>医疗”产业平台，进一步加强事中事后监督管理。</w:t>
            </w:r>
          </w:p>
        </w:tc>
        <w:tc>
          <w:tcPr>
            <w:tcW w:w="1559" w:type="dxa"/>
            <w:vMerge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省卫生计生委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12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27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探索行政审批承诺制，选取</w:t>
            </w:r>
            <w:r>
              <w:rPr>
                <w:rFonts w:ascii="Times New Roman" w:eastAsia="方正仿宋简体" w:hAnsi="Times New Roman"/>
                <w:szCs w:val="21"/>
              </w:rPr>
              <w:t>1-2</w:t>
            </w:r>
            <w:r>
              <w:rPr>
                <w:rFonts w:ascii="Times New Roman" w:eastAsia="方正仿宋简体" w:hAnsi="Times New Roman" w:hint="eastAsia"/>
                <w:szCs w:val="21"/>
              </w:rPr>
              <w:t>个行政许可事项试点，对部分准入条件由申请人书面承诺在一定期限内取得相关职</w:t>
            </w:r>
            <w:r>
              <w:rPr>
                <w:rFonts w:ascii="Times New Roman" w:eastAsia="方正仿宋简体" w:hAnsi="Times New Roman"/>
                <w:szCs w:val="21"/>
              </w:rPr>
              <w:t>(</w:t>
            </w:r>
            <w:r>
              <w:rPr>
                <w:rFonts w:ascii="Times New Roman" w:eastAsia="方正仿宋简体" w:hAnsi="Times New Roman" w:hint="eastAsia"/>
                <w:szCs w:val="21"/>
              </w:rPr>
              <w:t>执</w:t>
            </w:r>
            <w:r>
              <w:rPr>
                <w:rFonts w:ascii="Times New Roman" w:eastAsia="方正仿宋简体" w:hAnsi="Times New Roman"/>
                <w:szCs w:val="21"/>
              </w:rPr>
              <w:t>)</w:t>
            </w:r>
            <w:r>
              <w:rPr>
                <w:rFonts w:ascii="Times New Roman" w:eastAsia="方正仿宋简体" w:hAnsi="Times New Roman" w:hint="eastAsia"/>
                <w:szCs w:val="21"/>
              </w:rPr>
              <w:t>业资格条件后先予准入许可。</w:t>
            </w:r>
          </w:p>
        </w:tc>
        <w:tc>
          <w:tcPr>
            <w:tcW w:w="1559" w:type="dxa"/>
            <w:vMerge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省新闻出版广电局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12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28</w:t>
            </w:r>
          </w:p>
        </w:tc>
        <w:tc>
          <w:tcPr>
            <w:tcW w:w="6899" w:type="dxa"/>
            <w:vAlign w:val="top"/>
          </w:tcPr>
          <w:p>
            <w:pPr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推进足球管理体制改革，调整组建四川省足球协会，研究出台《四川省足球改革发展实施意见》。</w:t>
            </w:r>
          </w:p>
        </w:tc>
        <w:tc>
          <w:tcPr>
            <w:tcW w:w="1559" w:type="dxa"/>
            <w:vMerge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省体育局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12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983" w:type="dxa"/>
            <w:gridSpan w:val="5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七、深入推进行政权力清单制度建设工作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trHeight w:val="595"/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29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对行政权力清单进行动态调整，制定动态调整办法。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行政权力清单</w:t>
            </w:r>
          </w:p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制度建设组</w:t>
            </w: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省政务服务管理办、省法制办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12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30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修订行权平台建设运行管理办法，推进行政权力网上规范运行和数据运用。</w:t>
            </w:r>
          </w:p>
        </w:tc>
        <w:tc>
          <w:tcPr>
            <w:tcW w:w="1559" w:type="dxa"/>
            <w:vMerge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省政务服务管理办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12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983" w:type="dxa"/>
            <w:gridSpan w:val="5"/>
            <w:vAlign w:val="top"/>
          </w:tcPr>
          <w:p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八、深入推进责任清单清理改革工作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31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按照国家新的部署和要求，进一步完善责任清单框架体系，建立责任清单动态调整长效机制。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责任清单清理</w:t>
            </w:r>
          </w:p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改革组</w:t>
            </w: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省编办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12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32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指导市（州）、县（市、区）开展责任清单编制工作，公布市、县两级政府责任清单目录。</w:t>
            </w:r>
          </w:p>
        </w:tc>
        <w:tc>
          <w:tcPr>
            <w:tcW w:w="1559" w:type="dxa"/>
            <w:vMerge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省编办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12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983" w:type="dxa"/>
            <w:gridSpan w:val="5"/>
            <w:vAlign w:val="top"/>
          </w:tcPr>
          <w:p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九、深入推进依法行政工作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33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加快地方性法规和省政府规章的修改、废止工作进度，</w:t>
            </w: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年省政府立法计划中的修改废止项目占比力争达到</w:t>
            </w:r>
            <w:r>
              <w:rPr>
                <w:rFonts w:ascii="Times New Roman" w:eastAsia="方正仿宋简体" w:hAnsi="Times New Roman"/>
                <w:szCs w:val="21"/>
              </w:rPr>
              <w:t>50%</w:t>
            </w:r>
            <w:r>
              <w:rPr>
                <w:rFonts w:ascii="Times New Roman" w:eastAsia="方正仿宋简体" w:hAnsi="Times New Roman" w:hint="eastAsia"/>
                <w:szCs w:val="21"/>
              </w:rPr>
              <w:t>以上。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法制组</w:t>
            </w: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省法制办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12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  <w:tr>
        <w:tblPrEx>
          <w:tblW w:w="13983" w:type="dxa"/>
          <w:jc w:val="center"/>
          <w:tblInd w:w="-864" w:type="dxa"/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34</w:t>
            </w:r>
          </w:p>
        </w:tc>
        <w:tc>
          <w:tcPr>
            <w:tcW w:w="6899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在成都市、攀枝花市、泸州市、德阳市、绵阳市、乐山市、宜宾市、凉山州开展综合行政执法试点。</w:t>
            </w:r>
          </w:p>
        </w:tc>
        <w:tc>
          <w:tcPr>
            <w:tcW w:w="1559" w:type="dxa"/>
            <w:vMerge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省</w:t>
            </w:r>
            <w:bookmarkStart w:id="0" w:name="_GoBack"/>
            <w:bookmarkEnd w:id="0"/>
            <w:r>
              <w:rPr>
                <w:rFonts w:ascii="Times New Roman" w:eastAsia="方正仿宋简体" w:hAnsi="Times New Roman" w:hint="eastAsia"/>
                <w:szCs w:val="21"/>
              </w:rPr>
              <w:t>编办、省法制办</w:t>
            </w:r>
          </w:p>
        </w:tc>
        <w:tc>
          <w:tcPr>
            <w:tcW w:w="2346" w:type="dxa"/>
            <w:vAlign w:val="top"/>
          </w:tcPr>
          <w:p>
            <w:pPr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2016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>12</w:t>
            </w:r>
            <w:r>
              <w:rPr>
                <w:rFonts w:ascii="Times New Roman" w:eastAsia="方正仿宋简体" w:hAnsi="Times New Roman" w:hint="eastAsia"/>
                <w:szCs w:val="21"/>
              </w:rPr>
              <w:t>月底前完成</w:t>
            </w:r>
          </w:p>
        </w:tc>
      </w:tr>
    </w:tbl>
    <w:p/>
    <w:p>
      <w:pPr>
        <w:spacing w:line="540" w:lineRule="exact"/>
        <w:ind w:firstLine="640" w:firstLineChars="200"/>
        <w:rPr>
          <w:rFonts w:ascii="仿宋_GB2312" w:eastAsia="仿宋_GB2312" w:hAnsi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 w:hAnsi="Times New Roman"/>
          <w:color w:val="000000"/>
          <w:sz w:val="32"/>
          <w:szCs w:val="32"/>
        </w:rPr>
      </w:pPr>
    </w:p>
    <w:sectPr>
      <w:footerReference w:type="even" r:id="rId5"/>
      <w:footerReference w:type="default" r:id="rId6"/>
      <w:headerReference w:type="first" r:id="rId7"/>
      <w:footerReference w:type="first" r:id="rId8"/>
      <w:pgSz w:w="16838" w:h="11906" w:orient="landscape"/>
      <w:pgMar w:top="1570" w:right="1440" w:bottom="1570" w:left="1440" w:header="851" w:footer="1332" w:gutter="0"/>
      <w:paperSrc w:first="0" w:other="0"/>
      <w:pgNumType w:fmt="decimal" w:start="8"/>
      <w:cols w:num="1" w:space="720"/>
      <w:titlePg/>
      <w:docGrid w:type="linesAndChar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rPr>
        <w:rFonts w:ascii="宋体"/>
        <w:sz w:val="24"/>
        <w:szCs w:val="24"/>
      </w:rPr>
    </w:pPr>
    <w:r>
      <w:rPr>
        <w:rFonts w:ascii="Calibri" w:eastAsia="宋体" w:hAnsi="Calibri" w:cs="Times New Roman"/>
        <w:kern w:val="2"/>
        <w:sz w:val="24"/>
        <w:szCs w:val="18"/>
        <w:lang w:val="en-US"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2051" type="#_x0000_t202" style="width:2in;height:2in;margin-top:0;margin-left:0;mso-position-horizontal:center;mso-position-horizontal-relative:margin;mso-wrap-style:none;position:absolute;z-index:251658240" coordorigin="0,0" coordsize="21600,21600" o:preferrelative="t" filled="f" fillcolor="white" stroked="f">
          <v:fill color2="white" focus="0"/>
          <o:lock v:ext="edit" aspectratio="f"/>
          <v:textbox style="mso-fit-shape-to-text:t" inset="0,0,0,0">
            <w:txbxContent>
              <w:p>
                <w:pPr>
                  <w:pStyle w:val="Footer"/>
                  <w:rPr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ascii="宋体" w:hAnsi="宋体"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</w:rPr>
                  <w:fldChar w:fldCharType="separate"/>
                </w:r>
                <w:r>
                  <w:t>10</w: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ascii="宋体" w:hAnsi="宋体" w:hint="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  <w10:wrap anchorx="margin"/>
        </v:shape>
      </w:pict>
    </w:r>
  </w:p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rFonts w:ascii="宋体"/>
        <w:sz w:val="24"/>
        <w:szCs w:val="24"/>
      </w:rPr>
    </w:pPr>
    <w:r>
      <w:rPr>
        <w:rFonts w:ascii="Calibri" w:eastAsia="宋体" w:hAnsi="Calibri" w:cs="Times New Roman"/>
        <w:kern w:val="2"/>
        <w:sz w:val="24"/>
        <w:szCs w:val="18"/>
        <w:lang w:val="en-US"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4" o:spid="_x0000_s2050" type="#_x0000_t202" style="width:2in;height:2in;margin-top:0;margin-left:0;mso-position-horizontal:center;mso-position-horizontal-relative:margin;mso-wrap-style:none;position:absolute;z-index:251659264" coordorigin="0,0" coordsize="21600,21600" o:preferrelative="t" filled="f" fillcolor="white" stroked="f">
          <v:fill color2="white" focus="0"/>
          <o:lock v:ext="edit" aspectratio="f"/>
          <v:textbox style="mso-fit-shape-to-text:t" inset="0,0,0,0">
            <w:txbxContent>
              <w:p>
                <w:pPr>
                  <w:snapToGrid w:val="0"/>
                  <w:rPr>
                    <w:rFonts w:eastAsia="宋体" w:hint="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9</w: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  <w10:wrap anchorx="margin"/>
        </v:shape>
      </w:pict>
    </w:r>
  </w:p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rPr>
        <w:rFonts w:ascii="Calibri" w:eastAsia="宋体" w:hAnsi="Calibri" w:cs="Times New Roman"/>
        <w:kern w:val="2"/>
        <w:sz w:val="18"/>
        <w:szCs w:val="18"/>
        <w:lang w:val="en-US"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5" o:spid="_x0000_s2049" type="#_x0000_t202" style="width:2in;height:2in;margin-top:0;margin-left:0;mso-position-horizontal:center;mso-position-horizontal-relative:margin;mso-wrap-style:none;position:absolute;z-index:251660288" coordorigin="0,0" coordsize="21600,21600" o:preferrelative="t" filled="f" fillcolor="white" stroked="f">
          <v:fill color2="white" focus="0"/>
          <o:lock v:ext="edit" aspectratio="f"/>
          <v:textbox style="mso-fit-shape-to-text:t" inset="0,0,0,0">
            <w:txbxContent>
              <w:p>
                <w:pPr>
                  <w:snapToGrid w:val="0"/>
                  <w:rPr>
                    <w:rFonts w:eastAsia="宋体" w:hint="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8</w:t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cs="Times New Roman" w:hint="default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footnote text" w:uiPriority="0"/>
    <w:lsdException w:name="annotation text" w:uiPriority="0"/>
    <w:lsdException w:name="header" w:semiHidden="0" w:unhideWhenUsed="0"/>
    <w:lsdException w:name="footer" w:semiHidden="0" w:unhideWhenUsed="0"/>
    <w:lsdException w:name="index heading" w:uiPriority="0"/>
    <w:lsdException w:name="caption" w:locked="1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locked="1" w:semiHidden="0" w:uiPriority="0" w:unhideWhenUsed="0" w:qFormat="1"/>
    <w:lsdException w:name="Closing" w:uiPriority="0"/>
    <w:lsdException w:name="Signature" w:uiPriority="0"/>
    <w:lsdException w:name="Default Paragraph Font" w:unhideWhenUsed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locked="1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Balloon Text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1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12</Pages>
  <Words>908</Words>
  <Characters>5182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2016-03-04T10:59:32Z</cp:lastPrinted>
  <dcterms:created xsi:type="dcterms:W3CDTF">2016-02-19T07:19:00Z</dcterms:created>
  <dcterms:modified xsi:type="dcterms:W3CDTF">2016-03-04T10:59:39Z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