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7 -->
  <w:body>
    <w:p>
      <w:pPr>
        <w:topLinePunct/>
        <w:autoSpaceDE w:val="0"/>
        <w:autoSpaceDN w:val="0"/>
        <w:adjustRightInd w:val="0"/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>
      <w:pPr>
        <w:topLinePunct/>
        <w:autoSpaceDE w:val="0"/>
        <w:autoSpaceDN w:val="0"/>
        <w:adjustRightInd w:val="0"/>
        <w:spacing w:line="600" w:lineRule="exact"/>
        <w:rPr>
          <w:rFonts w:ascii="Times New Roman" w:eastAsia="黑体" w:hAnsi="Times New Roman"/>
          <w:sz w:val="32"/>
          <w:szCs w:val="32"/>
        </w:rPr>
      </w:pPr>
    </w:p>
    <w:p>
      <w:pPr>
        <w:widowControl/>
        <w:topLinePunct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各市（州）</w:t>
      </w:r>
      <w:r>
        <w:rPr>
          <w:rFonts w:ascii="Times New Roman" w:eastAsia="方正小标宋简体" w:hAnsi="Times New Roman"/>
          <w:sz w:val="44"/>
          <w:szCs w:val="44"/>
        </w:rPr>
        <w:t>2020</w:t>
      </w:r>
      <w:r>
        <w:rPr>
          <w:rFonts w:ascii="Times New Roman" w:eastAsia="方正小标宋简体" w:hAnsi="Times New Roman" w:hint="eastAsia"/>
          <w:sz w:val="44"/>
          <w:szCs w:val="44"/>
        </w:rPr>
        <w:t>年</w:t>
      </w:r>
      <w:r>
        <w:rPr>
          <w:rFonts w:ascii="Times New Roman" w:eastAsia="方正小标宋简体" w:hAnsi="Times New Roman"/>
          <w:sz w:val="44"/>
          <w:szCs w:val="44"/>
        </w:rPr>
        <w:t>PM</w:t>
      </w:r>
      <w:r>
        <w:rPr>
          <w:rFonts w:ascii="Times New Roman" w:eastAsia="方正小标宋简体" w:hAnsi="Times New Roman"/>
          <w:sz w:val="44"/>
          <w:szCs w:val="44"/>
          <w:vertAlign w:val="subscript"/>
        </w:rPr>
        <w:t>2.5</w:t>
      </w:r>
      <w:r>
        <w:rPr>
          <w:rFonts w:ascii="Times New Roman" w:eastAsia="方正小标宋简体" w:hAnsi="Times New Roman" w:hint="eastAsia"/>
          <w:sz w:val="44"/>
          <w:szCs w:val="44"/>
        </w:rPr>
        <w:t>年均浓度目标分解表</w:t>
      </w:r>
    </w:p>
    <w:p>
      <w:pPr>
        <w:widowControl/>
        <w:wordWrap w:val="0"/>
        <w:topLinePunct/>
        <w:spacing w:line="400" w:lineRule="exact"/>
        <w:jc w:val="righ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Cs w:val="21"/>
        </w:rPr>
        <w:t>单位：微克</w:t>
      </w:r>
      <w:r>
        <w:rPr>
          <w:rFonts w:ascii="Times New Roman" w:eastAsia="黑体" w:hAnsi="Times New Roman"/>
          <w:szCs w:val="21"/>
        </w:rPr>
        <w:t>/</w:t>
      </w:r>
      <w:r>
        <w:rPr>
          <w:rFonts w:ascii="Times New Roman" w:eastAsia="黑体" w:hAnsi="Times New Roman" w:hint="eastAsia"/>
          <w:szCs w:val="21"/>
        </w:rPr>
        <w:t>立方米</w:t>
      </w:r>
    </w:p>
    <w:tbl>
      <w:tblPr>
        <w:tblW w:w="9498" w:type="dxa"/>
        <w:jc w:val="center"/>
        <w:tblInd w:w="-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339"/>
        <w:gridCol w:w="1559"/>
        <w:gridCol w:w="1418"/>
        <w:gridCol w:w="1430"/>
        <w:gridCol w:w="1335"/>
        <w:gridCol w:w="1417"/>
      </w:tblGrid>
      <w:tr>
        <w:tblPrEx>
          <w:tblW w:w="9498" w:type="dxa"/>
          <w:jc w:val="center"/>
          <w:tblInd w:w="-24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  <w:jc w:val="center"/>
        </w:trPr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市（州）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考核基数</w:t>
            </w:r>
          </w:p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（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2015</w:t>
            </w: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年）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基本目标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奋斗目标</w:t>
            </w:r>
          </w:p>
        </w:tc>
      </w:tr>
      <w:tr>
        <w:tblPrEx>
          <w:tblW w:w="9498" w:type="dxa"/>
          <w:jc w:val="center"/>
          <w:tblInd w:w="-246" w:type="dxa"/>
          <w:tblLayout w:type="fixed"/>
          <w:tblCellMar>
            <w:left w:w="108" w:type="dxa"/>
            <w:right w:w="108" w:type="dxa"/>
          </w:tblCellMar>
        </w:tblPrEx>
        <w:trPr>
          <w:tblHeader/>
          <w:jc w:val="center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2020</w:t>
            </w: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下降幅度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2020</w:t>
            </w: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下降幅度</w:t>
            </w:r>
          </w:p>
        </w:tc>
      </w:tr>
      <w:tr>
        <w:tblPrEx>
          <w:tblW w:w="9498" w:type="dxa"/>
          <w:jc w:val="center"/>
          <w:tblInd w:w="-246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自贡市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≤52.8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27.9%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≤50.2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31.4%</w:t>
            </w:r>
          </w:p>
        </w:tc>
      </w:tr>
      <w:tr>
        <w:tblPrEx>
          <w:tblW w:w="9498" w:type="dxa"/>
          <w:jc w:val="center"/>
          <w:tblInd w:w="-246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眉山市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64.9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≤48.9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24.7%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≤46.8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27.9%</w:t>
            </w:r>
          </w:p>
        </w:tc>
      </w:tr>
      <w:tr>
        <w:tblPrEx>
          <w:tblW w:w="9498" w:type="dxa"/>
          <w:jc w:val="center"/>
          <w:tblInd w:w="-246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达州市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≤48.9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24.8%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≤46.8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28.0%</w:t>
            </w:r>
          </w:p>
        </w:tc>
      </w:tr>
      <w:tr>
        <w:tblPrEx>
          <w:tblW w:w="9498" w:type="dxa"/>
          <w:jc w:val="center"/>
          <w:tblInd w:w="-246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成都市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≤49.5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22.9%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≤47.3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26.9%</w:t>
            </w:r>
          </w:p>
        </w:tc>
      </w:tr>
      <w:tr>
        <w:tblPrEx>
          <w:tblW w:w="9498" w:type="dxa"/>
          <w:jc w:val="center"/>
          <w:tblInd w:w="-246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泸州市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61.5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≤47.9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22.1%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≤45.2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26.5%</w:t>
            </w:r>
          </w:p>
        </w:tc>
      </w:tr>
      <w:tr>
        <w:tblPrEx>
          <w:tblW w:w="9498" w:type="dxa"/>
          <w:jc w:val="center"/>
          <w:tblInd w:w="-246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南充市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≤48.0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21.3%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≤45.4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25.6%</w:t>
            </w:r>
          </w:p>
        </w:tc>
      </w:tr>
      <w:tr>
        <w:tblPrEx>
          <w:tblW w:w="9498" w:type="dxa"/>
          <w:jc w:val="center"/>
          <w:tblInd w:w="-246" w:type="dxa"/>
          <w:tblLayout w:type="fixed"/>
          <w:tblCellMar>
            <w:left w:w="108" w:type="dxa"/>
            <w:right w:w="108" w:type="dxa"/>
          </w:tblCellMar>
        </w:tblPrEx>
        <w:trPr>
          <w:trHeight w:val="90"/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内江市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≤47.7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21.3%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≤45.2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25.4%</w:t>
            </w:r>
          </w:p>
        </w:tc>
      </w:tr>
      <w:tr>
        <w:tblPrEx>
          <w:tblW w:w="9498" w:type="dxa"/>
          <w:jc w:val="center"/>
          <w:tblInd w:w="-246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宜宾市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≤46.6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19.8%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≤44.3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23.8%</w:t>
            </w:r>
          </w:p>
        </w:tc>
      </w:tr>
      <w:tr>
        <w:tblPrEx>
          <w:tblW w:w="9498" w:type="dxa"/>
          <w:jc w:val="center"/>
          <w:tblInd w:w="-246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乐山市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56.2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≤45.5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19.0%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≤43.3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23.0%</w:t>
            </w:r>
          </w:p>
        </w:tc>
      </w:tr>
      <w:tr>
        <w:tblPrEx>
          <w:tblW w:w="9498" w:type="dxa"/>
          <w:jc w:val="center"/>
          <w:tblInd w:w="-246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德阳市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53.4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≤43.4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18.7%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≤41.7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21.9%</w:t>
            </w:r>
          </w:p>
        </w:tc>
      </w:tr>
      <w:tr>
        <w:tblPrEx>
          <w:tblW w:w="9498" w:type="dxa"/>
          <w:jc w:val="center"/>
          <w:tblInd w:w="-246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广安市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47.9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≤40.1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16.3%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</w:tr>
      <w:tr>
        <w:tblPrEx>
          <w:tblW w:w="9498" w:type="dxa"/>
          <w:jc w:val="center"/>
          <w:tblInd w:w="-246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遂宁市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47.8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≤40.3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15.7%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</w:tr>
      <w:tr>
        <w:tblPrEx>
          <w:tblW w:w="9498" w:type="dxa"/>
          <w:jc w:val="center"/>
          <w:tblInd w:w="-246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绵阳市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46.5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≤39.4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15.3%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</w:tr>
      <w:tr>
        <w:tblPrEx>
          <w:tblW w:w="9498" w:type="dxa"/>
          <w:jc w:val="center"/>
          <w:tblInd w:w="-246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资阳市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42.9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≤36.8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14.2%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</w:tr>
      <w:tr>
        <w:tblPrEx>
          <w:tblW w:w="9498" w:type="dxa"/>
          <w:jc w:val="center"/>
          <w:tblInd w:w="-246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雅安市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＜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35.0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4.6%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＜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4.6%</w:t>
            </w:r>
          </w:p>
        </w:tc>
      </w:tr>
      <w:tr>
        <w:tblPrEx>
          <w:tblW w:w="9498" w:type="dxa"/>
          <w:jc w:val="center"/>
          <w:tblInd w:w="-246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巴中市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36.5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＜</w:t>
            </w:r>
            <w:r>
              <w:rPr>
                <w:rFonts w:ascii="Times New Roman" w:eastAsia="仿宋_GB2312" w:hAnsi="Times New Roman"/>
                <w:sz w:val="24"/>
              </w:rPr>
              <w:t>35.0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4.1%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＜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4.1%</w:t>
            </w:r>
          </w:p>
        </w:tc>
      </w:tr>
      <w:tr>
        <w:tblPrEx>
          <w:tblW w:w="9498" w:type="dxa"/>
          <w:jc w:val="center"/>
          <w:tblInd w:w="-246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攀枝花市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≤31.7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＜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>
        <w:tblPrEx>
          <w:tblW w:w="9498" w:type="dxa"/>
          <w:jc w:val="center"/>
          <w:tblInd w:w="-246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凉山州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27.1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≤27.1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＜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27.1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>
        <w:tblPrEx>
          <w:tblW w:w="9498" w:type="dxa"/>
          <w:jc w:val="center"/>
          <w:tblInd w:w="-246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广元市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23.0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≤23.0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＜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23.0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>
        <w:tblPrEx>
          <w:tblW w:w="9498" w:type="dxa"/>
          <w:jc w:val="center"/>
          <w:tblInd w:w="-246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甘孜州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≤19.7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＜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>
        <w:tblPrEx>
          <w:tblW w:w="9498" w:type="dxa"/>
          <w:jc w:val="center"/>
          <w:tblInd w:w="-246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阿坝州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≤19.4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＜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>
      <w:pPr>
        <w:topLinePunct/>
        <w:spacing w:line="360" w:lineRule="exact"/>
        <w:ind w:firstLine="549" w:firstLineChars="19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注：</w:t>
      </w:r>
      <w:r>
        <w:rPr>
          <w:rFonts w:ascii="Times New Roman" w:eastAsia="仿宋_GB2312" w:hAnsi="Times New Roman" w:hint="eastAsia"/>
          <w:bCs/>
          <w:sz w:val="28"/>
          <w:szCs w:val="28"/>
        </w:rPr>
        <w:t>已达标城市（攀枝花市、广元市、凉山州、甘孜州、阿坝州）</w:t>
      </w:r>
      <w:r>
        <w:rPr>
          <w:rFonts w:ascii="Times New Roman" w:eastAsia="仿宋_GB2312" w:hAnsi="Times New Roman"/>
          <w:bCs/>
          <w:sz w:val="28"/>
          <w:szCs w:val="28"/>
        </w:rPr>
        <w:t>PM</w:t>
      </w:r>
      <w:r>
        <w:rPr>
          <w:rFonts w:ascii="Times New Roman" w:eastAsia="仿宋_GB2312" w:hAnsi="Times New Roman"/>
          <w:bCs/>
          <w:sz w:val="28"/>
          <w:szCs w:val="28"/>
          <w:vertAlign w:val="subscript"/>
        </w:rPr>
        <w:t>2.5</w:t>
      </w:r>
      <w:r>
        <w:rPr>
          <w:rFonts w:ascii="Times New Roman" w:eastAsia="仿宋_GB2312" w:hAnsi="Times New Roman" w:hint="eastAsia"/>
          <w:bCs/>
          <w:sz w:val="28"/>
          <w:szCs w:val="28"/>
        </w:rPr>
        <w:t>平均浓度保持稳定达标，并持续优化。考虑到其浓度较低，允许其</w:t>
      </w:r>
      <w:r>
        <w:rPr>
          <w:rFonts w:ascii="Times New Roman" w:eastAsia="仿宋_GB2312" w:hAnsi="Times New Roman"/>
          <w:bCs/>
          <w:sz w:val="28"/>
          <w:szCs w:val="28"/>
        </w:rPr>
        <w:t>PM</w:t>
      </w:r>
      <w:r>
        <w:rPr>
          <w:rFonts w:ascii="Times New Roman" w:eastAsia="仿宋_GB2312" w:hAnsi="Times New Roman"/>
          <w:bCs/>
          <w:sz w:val="28"/>
          <w:szCs w:val="28"/>
          <w:vertAlign w:val="subscript"/>
        </w:rPr>
        <w:t>2.5</w:t>
      </w:r>
      <w:r>
        <w:rPr>
          <w:rFonts w:ascii="Times New Roman" w:eastAsia="仿宋_GB2312" w:hAnsi="Times New Roman" w:hint="eastAsia"/>
          <w:bCs/>
          <w:sz w:val="28"/>
          <w:szCs w:val="28"/>
        </w:rPr>
        <w:t>平均浓度在一定合理范围内波动，其中攀枝花市</w:t>
      </w:r>
      <w:r>
        <w:rPr>
          <w:rFonts w:ascii="Times New Roman" w:eastAsia="仿宋_GB2312" w:hAnsi="Times New Roman"/>
          <w:bCs/>
          <w:sz w:val="28"/>
          <w:szCs w:val="28"/>
        </w:rPr>
        <w:t>10%</w:t>
      </w:r>
      <w:r>
        <w:rPr>
          <w:rFonts w:ascii="Times New Roman" w:eastAsia="仿宋_GB2312" w:hAnsi="Times New Roman" w:hint="eastAsia"/>
          <w:bCs/>
          <w:sz w:val="28"/>
          <w:szCs w:val="28"/>
        </w:rPr>
        <w:t>、凉山州</w:t>
      </w:r>
      <w:r>
        <w:rPr>
          <w:rFonts w:ascii="Times New Roman" w:eastAsia="仿宋_GB2312" w:hAnsi="Times New Roman"/>
          <w:bCs/>
          <w:sz w:val="28"/>
          <w:szCs w:val="28"/>
        </w:rPr>
        <w:t>12%</w:t>
      </w:r>
      <w:r>
        <w:rPr>
          <w:rFonts w:ascii="Times New Roman" w:eastAsia="仿宋_GB2312" w:hAnsi="Times New Roman" w:hint="eastAsia"/>
          <w:bCs/>
          <w:sz w:val="28"/>
          <w:szCs w:val="28"/>
        </w:rPr>
        <w:t>、广元市</w:t>
      </w:r>
      <w:r>
        <w:rPr>
          <w:rFonts w:ascii="Times New Roman" w:eastAsia="仿宋_GB2312" w:hAnsi="Times New Roman"/>
          <w:bCs/>
          <w:sz w:val="28"/>
          <w:szCs w:val="28"/>
        </w:rPr>
        <w:t>15%</w:t>
      </w:r>
      <w:r>
        <w:rPr>
          <w:rFonts w:ascii="Times New Roman" w:eastAsia="仿宋_GB2312" w:hAnsi="Times New Roman" w:hint="eastAsia"/>
          <w:bCs/>
          <w:sz w:val="28"/>
          <w:szCs w:val="28"/>
        </w:rPr>
        <w:t>、甘孜州和阿坝州</w:t>
      </w:r>
      <w:r>
        <w:rPr>
          <w:rFonts w:ascii="Times New Roman" w:eastAsia="仿宋_GB2312" w:hAnsi="Times New Roman"/>
          <w:bCs/>
          <w:sz w:val="28"/>
          <w:szCs w:val="28"/>
        </w:rPr>
        <w:t>20%</w:t>
      </w:r>
      <w:r>
        <w:rPr>
          <w:rFonts w:ascii="Times New Roman" w:eastAsia="仿宋_GB2312" w:hAnsi="Times New Roman" w:hint="eastAsia"/>
          <w:bCs/>
          <w:sz w:val="28"/>
          <w:szCs w:val="28"/>
        </w:rPr>
        <w:t>。</w:t>
      </w:r>
    </w:p>
    <w:p>
      <w:pPr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>
      <w:pPr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</w:p>
    <w:p>
      <w:pPr>
        <w:widowControl/>
        <w:topLinePunct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各市（州）</w:t>
      </w:r>
      <w:r>
        <w:rPr>
          <w:rFonts w:ascii="Times New Roman" w:eastAsia="方正小标宋简体" w:hAnsi="Times New Roman"/>
          <w:sz w:val="44"/>
          <w:szCs w:val="44"/>
        </w:rPr>
        <w:t>PM</w:t>
      </w:r>
      <w:r>
        <w:rPr>
          <w:rFonts w:ascii="Times New Roman" w:eastAsia="方正小标宋简体" w:hAnsi="Times New Roman"/>
          <w:sz w:val="44"/>
          <w:szCs w:val="44"/>
          <w:vertAlign w:val="subscript"/>
        </w:rPr>
        <w:t>2.5</w:t>
      </w:r>
      <w:r>
        <w:rPr>
          <w:rFonts w:ascii="Times New Roman" w:eastAsia="方正小标宋简体" w:hAnsi="Times New Roman" w:hint="eastAsia"/>
          <w:sz w:val="44"/>
          <w:szCs w:val="44"/>
        </w:rPr>
        <w:t>年均浓度基本目标</w:t>
      </w:r>
    </w:p>
    <w:p>
      <w:pPr>
        <w:widowControl/>
        <w:topLinePunct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逐年分解表</w:t>
      </w:r>
    </w:p>
    <w:p>
      <w:pPr>
        <w:widowControl/>
        <w:topLinePunct/>
        <w:spacing w:line="400" w:lineRule="exact"/>
        <w:jc w:val="righ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Cs w:val="21"/>
        </w:rPr>
        <w:t>单位：微克</w:t>
      </w:r>
      <w:r>
        <w:rPr>
          <w:rFonts w:ascii="Times New Roman" w:eastAsia="黑体" w:hAnsi="Times New Roman"/>
          <w:szCs w:val="21"/>
        </w:rPr>
        <w:t>/</w:t>
      </w:r>
      <w:r>
        <w:rPr>
          <w:rFonts w:ascii="Times New Roman" w:eastAsia="黑体" w:hAnsi="Times New Roman" w:hint="eastAsia"/>
          <w:szCs w:val="21"/>
        </w:rPr>
        <w:t>立方米</w:t>
      </w:r>
    </w:p>
    <w:tbl>
      <w:tblPr>
        <w:tblW w:w="10574" w:type="dxa"/>
        <w:jc w:val="center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1130"/>
        <w:gridCol w:w="808"/>
        <w:gridCol w:w="1040"/>
        <w:gridCol w:w="879"/>
        <w:gridCol w:w="963"/>
        <w:gridCol w:w="1103"/>
        <w:gridCol w:w="992"/>
        <w:gridCol w:w="709"/>
        <w:gridCol w:w="1024"/>
        <w:gridCol w:w="960"/>
        <w:gridCol w:w="966"/>
      </w:tblGrid>
      <w:tr>
        <w:tblPrEx>
          <w:tblW w:w="10574" w:type="dxa"/>
          <w:jc w:val="center"/>
          <w:tblInd w:w="132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0" w:type="dxa"/>
            <w:right w:w="0" w:type="dxa"/>
          </w:tblCellMar>
        </w:tblPrEx>
        <w:trPr>
          <w:tblHeader/>
          <w:jc w:val="center"/>
        </w:trPr>
        <w:tc>
          <w:tcPr>
            <w:tcW w:w="1130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市（州）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黑体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黑体" w:hAnsi="Times New Roman"/>
                <w:w w:val="90"/>
                <w:kern w:val="0"/>
                <w:sz w:val="24"/>
              </w:rPr>
              <w:t>2016</w:t>
            </w:r>
            <w:r>
              <w:rPr>
                <w:rFonts w:ascii="Times New Roman" w:eastAsia="黑体" w:hAnsi="Times New Roman" w:hint="eastAsia"/>
                <w:w w:val="90"/>
                <w:kern w:val="0"/>
                <w:sz w:val="24"/>
              </w:rPr>
              <w:t>年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黑体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黑体" w:hAnsi="Times New Roman"/>
                <w:w w:val="90"/>
                <w:kern w:val="0"/>
                <w:sz w:val="24"/>
              </w:rPr>
              <w:t>2016</w:t>
            </w:r>
            <w:r>
              <w:rPr>
                <w:rFonts w:ascii="Times New Roman" w:eastAsia="黑体" w:hAnsi="Times New Roman" w:hint="eastAsia"/>
                <w:w w:val="90"/>
                <w:kern w:val="0"/>
                <w:sz w:val="24"/>
              </w:rPr>
              <w:t>年比</w:t>
            </w:r>
            <w:r>
              <w:rPr>
                <w:rFonts w:ascii="Times New Roman" w:eastAsia="黑体" w:hAnsi="Times New Roman"/>
                <w:w w:val="90"/>
                <w:kern w:val="0"/>
                <w:sz w:val="24"/>
              </w:rPr>
              <w:t>2015</w:t>
            </w:r>
            <w:r>
              <w:rPr>
                <w:rFonts w:ascii="Times New Roman" w:eastAsia="黑体" w:hAnsi="Times New Roman" w:hint="eastAsia"/>
                <w:w w:val="90"/>
                <w:kern w:val="0"/>
                <w:sz w:val="24"/>
              </w:rPr>
              <w:t>年</w:t>
            </w:r>
          </w:p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黑体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w w:val="90"/>
                <w:kern w:val="0"/>
                <w:sz w:val="24"/>
              </w:rPr>
              <w:t>降幅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黑体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黑体" w:hAnsi="Times New Roman"/>
                <w:w w:val="90"/>
                <w:kern w:val="0"/>
                <w:sz w:val="24"/>
              </w:rPr>
              <w:t>2017</w:t>
            </w:r>
            <w:r>
              <w:rPr>
                <w:rFonts w:ascii="Times New Roman" w:eastAsia="黑体" w:hAnsi="Times New Roman" w:hint="eastAsia"/>
                <w:w w:val="90"/>
                <w:kern w:val="0"/>
                <w:sz w:val="24"/>
              </w:rPr>
              <w:t>年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黑体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黑体" w:hAnsi="Times New Roman"/>
                <w:w w:val="90"/>
                <w:kern w:val="0"/>
                <w:sz w:val="24"/>
              </w:rPr>
              <w:t>2017</w:t>
            </w:r>
            <w:r>
              <w:rPr>
                <w:rFonts w:ascii="Times New Roman" w:eastAsia="黑体" w:hAnsi="Times New Roman" w:hint="eastAsia"/>
                <w:w w:val="90"/>
                <w:kern w:val="0"/>
                <w:sz w:val="24"/>
              </w:rPr>
              <w:t>年比</w:t>
            </w:r>
            <w:r>
              <w:rPr>
                <w:rFonts w:ascii="Times New Roman" w:eastAsia="黑体" w:hAnsi="Times New Roman"/>
                <w:w w:val="90"/>
                <w:kern w:val="0"/>
                <w:sz w:val="24"/>
              </w:rPr>
              <w:t>2015</w:t>
            </w:r>
            <w:r>
              <w:rPr>
                <w:rFonts w:ascii="Times New Roman" w:eastAsia="黑体" w:hAnsi="Times New Roman" w:hint="eastAsia"/>
                <w:w w:val="90"/>
                <w:kern w:val="0"/>
                <w:sz w:val="24"/>
              </w:rPr>
              <w:t>年</w:t>
            </w:r>
          </w:p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黑体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w w:val="90"/>
                <w:kern w:val="0"/>
                <w:sz w:val="24"/>
              </w:rPr>
              <w:t>降幅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黑体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黑体" w:hAnsi="Times New Roman"/>
                <w:w w:val="90"/>
                <w:kern w:val="0"/>
                <w:sz w:val="24"/>
              </w:rPr>
              <w:t>2018</w:t>
            </w:r>
            <w:r>
              <w:rPr>
                <w:rFonts w:ascii="Times New Roman" w:eastAsia="黑体" w:hAnsi="Times New Roman" w:hint="eastAsia"/>
                <w:w w:val="90"/>
                <w:kern w:val="0"/>
                <w:sz w:val="24"/>
              </w:rPr>
              <w:t>年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黑体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黑体" w:hAnsi="Times New Roman"/>
                <w:w w:val="90"/>
                <w:kern w:val="0"/>
                <w:sz w:val="24"/>
              </w:rPr>
              <w:t>2018</w:t>
            </w:r>
            <w:r>
              <w:rPr>
                <w:rFonts w:ascii="Times New Roman" w:eastAsia="黑体" w:hAnsi="Times New Roman" w:hint="eastAsia"/>
                <w:w w:val="90"/>
                <w:kern w:val="0"/>
                <w:sz w:val="24"/>
              </w:rPr>
              <w:t>年比</w:t>
            </w:r>
            <w:r>
              <w:rPr>
                <w:rFonts w:ascii="Times New Roman" w:eastAsia="黑体" w:hAnsi="Times New Roman"/>
                <w:w w:val="90"/>
                <w:kern w:val="0"/>
                <w:sz w:val="24"/>
              </w:rPr>
              <w:t>2015</w:t>
            </w:r>
            <w:r>
              <w:rPr>
                <w:rFonts w:ascii="Times New Roman" w:eastAsia="黑体" w:hAnsi="Times New Roman" w:hint="eastAsia"/>
                <w:w w:val="90"/>
                <w:kern w:val="0"/>
                <w:sz w:val="24"/>
              </w:rPr>
              <w:t>年</w:t>
            </w:r>
          </w:p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黑体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w w:val="90"/>
                <w:kern w:val="0"/>
                <w:sz w:val="24"/>
              </w:rPr>
              <w:t>降幅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黑体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黑体" w:hAnsi="Times New Roman"/>
                <w:w w:val="90"/>
                <w:kern w:val="0"/>
                <w:sz w:val="24"/>
              </w:rPr>
              <w:t>2019</w:t>
            </w:r>
            <w:r>
              <w:rPr>
                <w:rFonts w:ascii="Times New Roman" w:eastAsia="黑体" w:hAnsi="Times New Roman" w:hint="eastAsia"/>
                <w:w w:val="90"/>
                <w:kern w:val="0"/>
                <w:sz w:val="24"/>
              </w:rPr>
              <w:t>年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黑体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黑体" w:hAnsi="Times New Roman"/>
                <w:w w:val="90"/>
                <w:kern w:val="0"/>
                <w:sz w:val="24"/>
              </w:rPr>
              <w:t>2019</w:t>
            </w:r>
            <w:r>
              <w:rPr>
                <w:rFonts w:ascii="Times New Roman" w:eastAsia="黑体" w:hAnsi="Times New Roman" w:hint="eastAsia"/>
                <w:w w:val="90"/>
                <w:kern w:val="0"/>
                <w:sz w:val="24"/>
              </w:rPr>
              <w:t>年比</w:t>
            </w:r>
            <w:r>
              <w:rPr>
                <w:rFonts w:ascii="Times New Roman" w:eastAsia="黑体" w:hAnsi="Times New Roman"/>
                <w:w w:val="90"/>
                <w:kern w:val="0"/>
                <w:sz w:val="24"/>
              </w:rPr>
              <w:t>2015</w:t>
            </w:r>
            <w:r>
              <w:rPr>
                <w:rFonts w:ascii="Times New Roman" w:eastAsia="黑体" w:hAnsi="Times New Roman" w:hint="eastAsia"/>
                <w:w w:val="90"/>
                <w:kern w:val="0"/>
                <w:sz w:val="24"/>
              </w:rPr>
              <w:t>年</w:t>
            </w:r>
          </w:p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黑体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w w:val="90"/>
                <w:kern w:val="0"/>
                <w:sz w:val="24"/>
              </w:rPr>
              <w:t>降幅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黑体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黑体" w:hAnsi="Times New Roman"/>
                <w:w w:val="90"/>
                <w:kern w:val="0"/>
                <w:sz w:val="24"/>
              </w:rPr>
              <w:t>2020</w:t>
            </w:r>
            <w:r>
              <w:rPr>
                <w:rFonts w:ascii="Times New Roman" w:eastAsia="黑体" w:hAnsi="Times New Roman" w:hint="eastAsia"/>
                <w:w w:val="90"/>
                <w:kern w:val="0"/>
                <w:sz w:val="24"/>
              </w:rPr>
              <w:t>年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黑体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黑体" w:hAnsi="Times New Roman"/>
                <w:w w:val="90"/>
                <w:kern w:val="0"/>
                <w:sz w:val="24"/>
              </w:rPr>
              <w:t>2020</w:t>
            </w:r>
            <w:r>
              <w:rPr>
                <w:rFonts w:ascii="Times New Roman" w:eastAsia="黑体" w:hAnsi="Times New Roman" w:hint="eastAsia"/>
                <w:w w:val="90"/>
                <w:kern w:val="0"/>
                <w:sz w:val="24"/>
              </w:rPr>
              <w:t>年比</w:t>
            </w:r>
            <w:r>
              <w:rPr>
                <w:rFonts w:ascii="Times New Roman" w:eastAsia="黑体" w:hAnsi="Times New Roman"/>
                <w:w w:val="90"/>
                <w:kern w:val="0"/>
                <w:sz w:val="24"/>
              </w:rPr>
              <w:t>2015</w:t>
            </w:r>
            <w:r>
              <w:rPr>
                <w:rFonts w:ascii="Times New Roman" w:eastAsia="黑体" w:hAnsi="Times New Roman" w:hint="eastAsia"/>
                <w:w w:val="90"/>
                <w:kern w:val="0"/>
                <w:sz w:val="24"/>
              </w:rPr>
              <w:t>年</w:t>
            </w:r>
          </w:p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黑体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w w:val="90"/>
                <w:kern w:val="0"/>
                <w:sz w:val="24"/>
              </w:rPr>
              <w:t>降幅</w:t>
            </w:r>
          </w:p>
        </w:tc>
      </w:tr>
      <w:tr>
        <w:tblPrEx>
          <w:tblW w:w="10574" w:type="dxa"/>
          <w:jc w:val="center"/>
          <w:tblInd w:w="132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自贡市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69.1</w:t>
            </w:r>
          </w:p>
        </w:tc>
        <w:tc>
          <w:tcPr>
            <w:tcW w:w="104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5.6%</w:t>
            </w:r>
          </w:p>
        </w:tc>
        <w:tc>
          <w:tcPr>
            <w:tcW w:w="87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65.1</w:t>
            </w:r>
          </w:p>
        </w:tc>
        <w:tc>
          <w:tcPr>
            <w:tcW w:w="96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11.1%</w:t>
            </w:r>
          </w:p>
        </w:tc>
        <w:tc>
          <w:tcPr>
            <w:tcW w:w="110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61.0</w:t>
            </w:r>
          </w:p>
        </w:tc>
        <w:tc>
          <w:tcPr>
            <w:tcW w:w="992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16.7%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56.9</w:t>
            </w:r>
          </w:p>
        </w:tc>
        <w:tc>
          <w:tcPr>
            <w:tcW w:w="1024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22.3%</w:t>
            </w:r>
          </w:p>
        </w:tc>
        <w:tc>
          <w:tcPr>
            <w:tcW w:w="96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52.8</w:t>
            </w:r>
          </w:p>
        </w:tc>
        <w:tc>
          <w:tcPr>
            <w:tcW w:w="96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27.9%</w:t>
            </w:r>
          </w:p>
        </w:tc>
      </w:tr>
      <w:tr>
        <w:tblPrEx>
          <w:tblW w:w="10574" w:type="dxa"/>
          <w:jc w:val="center"/>
          <w:tblInd w:w="132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眉山市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61.7</w:t>
            </w:r>
          </w:p>
        </w:tc>
        <w:tc>
          <w:tcPr>
            <w:tcW w:w="104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4.9%</w:t>
            </w:r>
          </w:p>
        </w:tc>
        <w:tc>
          <w:tcPr>
            <w:tcW w:w="87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58.5</w:t>
            </w:r>
          </w:p>
        </w:tc>
        <w:tc>
          <w:tcPr>
            <w:tcW w:w="96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9.9%</w:t>
            </w:r>
          </w:p>
        </w:tc>
        <w:tc>
          <w:tcPr>
            <w:tcW w:w="110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55.3</w:t>
            </w:r>
          </w:p>
        </w:tc>
        <w:tc>
          <w:tcPr>
            <w:tcW w:w="992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14.8%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52.1</w:t>
            </w:r>
          </w:p>
        </w:tc>
        <w:tc>
          <w:tcPr>
            <w:tcW w:w="1024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19.7%</w:t>
            </w:r>
          </w:p>
        </w:tc>
        <w:tc>
          <w:tcPr>
            <w:tcW w:w="96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48.9</w:t>
            </w:r>
          </w:p>
        </w:tc>
        <w:tc>
          <w:tcPr>
            <w:tcW w:w="96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24.7%</w:t>
            </w:r>
          </w:p>
        </w:tc>
      </w:tr>
      <w:tr>
        <w:tblPrEx>
          <w:tblW w:w="10574" w:type="dxa"/>
          <w:jc w:val="center"/>
          <w:tblInd w:w="132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达州市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61.8</w:t>
            </w:r>
          </w:p>
        </w:tc>
        <w:tc>
          <w:tcPr>
            <w:tcW w:w="104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4.9%</w:t>
            </w:r>
          </w:p>
        </w:tc>
        <w:tc>
          <w:tcPr>
            <w:tcW w:w="87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58.6</w:t>
            </w:r>
          </w:p>
        </w:tc>
        <w:tc>
          <w:tcPr>
            <w:tcW w:w="96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9.8%</w:t>
            </w:r>
          </w:p>
        </w:tc>
        <w:tc>
          <w:tcPr>
            <w:tcW w:w="110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55.4</w:t>
            </w:r>
          </w:p>
        </w:tc>
        <w:tc>
          <w:tcPr>
            <w:tcW w:w="992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14.8%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52.2</w:t>
            </w:r>
          </w:p>
        </w:tc>
        <w:tc>
          <w:tcPr>
            <w:tcW w:w="1024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19.7%</w:t>
            </w:r>
          </w:p>
        </w:tc>
        <w:tc>
          <w:tcPr>
            <w:tcW w:w="96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48.9</w:t>
            </w:r>
          </w:p>
        </w:tc>
        <w:tc>
          <w:tcPr>
            <w:tcW w:w="96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24.8%</w:t>
            </w:r>
          </w:p>
        </w:tc>
      </w:tr>
      <w:tr>
        <w:tblPrEx>
          <w:tblW w:w="10574" w:type="dxa"/>
          <w:jc w:val="center"/>
          <w:tblInd w:w="132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成都市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61.2</w:t>
            </w:r>
          </w:p>
        </w:tc>
        <w:tc>
          <w:tcPr>
            <w:tcW w:w="104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4.7%</w:t>
            </w:r>
          </w:p>
        </w:tc>
        <w:tc>
          <w:tcPr>
            <w:tcW w:w="87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58.3</w:t>
            </w:r>
          </w:p>
        </w:tc>
        <w:tc>
          <w:tcPr>
            <w:tcW w:w="96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9.2%</w:t>
            </w:r>
          </w:p>
        </w:tc>
        <w:tc>
          <w:tcPr>
            <w:tcW w:w="110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55.3</w:t>
            </w:r>
          </w:p>
        </w:tc>
        <w:tc>
          <w:tcPr>
            <w:tcW w:w="992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13.9%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52.3</w:t>
            </w:r>
          </w:p>
        </w:tc>
        <w:tc>
          <w:tcPr>
            <w:tcW w:w="1024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18.5%</w:t>
            </w:r>
          </w:p>
        </w:tc>
        <w:tc>
          <w:tcPr>
            <w:tcW w:w="96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49.5</w:t>
            </w:r>
          </w:p>
        </w:tc>
        <w:tc>
          <w:tcPr>
            <w:tcW w:w="96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22.9%</w:t>
            </w:r>
          </w:p>
        </w:tc>
      </w:tr>
      <w:tr>
        <w:tblPrEx>
          <w:tblW w:w="10574" w:type="dxa"/>
          <w:jc w:val="center"/>
          <w:tblInd w:w="132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泸州市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58.8</w:t>
            </w:r>
          </w:p>
        </w:tc>
        <w:tc>
          <w:tcPr>
            <w:tcW w:w="104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4.4%</w:t>
            </w:r>
          </w:p>
        </w:tc>
        <w:tc>
          <w:tcPr>
            <w:tcW w:w="87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56.1</w:t>
            </w:r>
          </w:p>
        </w:tc>
        <w:tc>
          <w:tcPr>
            <w:tcW w:w="96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8.8%</w:t>
            </w:r>
          </w:p>
        </w:tc>
        <w:tc>
          <w:tcPr>
            <w:tcW w:w="110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53.3</w:t>
            </w:r>
          </w:p>
        </w:tc>
        <w:tc>
          <w:tcPr>
            <w:tcW w:w="992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13.3%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50.6</w:t>
            </w:r>
          </w:p>
        </w:tc>
        <w:tc>
          <w:tcPr>
            <w:tcW w:w="1024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17.7%</w:t>
            </w:r>
          </w:p>
        </w:tc>
        <w:tc>
          <w:tcPr>
            <w:tcW w:w="96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47.9</w:t>
            </w:r>
          </w:p>
        </w:tc>
        <w:tc>
          <w:tcPr>
            <w:tcW w:w="96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22.1%</w:t>
            </w:r>
          </w:p>
        </w:tc>
      </w:tr>
      <w:tr>
        <w:tblPrEx>
          <w:tblW w:w="10574" w:type="dxa"/>
          <w:jc w:val="center"/>
          <w:tblInd w:w="132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南充市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58.4</w:t>
            </w:r>
          </w:p>
        </w:tc>
        <w:tc>
          <w:tcPr>
            <w:tcW w:w="104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4.3%</w:t>
            </w:r>
          </w:p>
        </w:tc>
        <w:tc>
          <w:tcPr>
            <w:tcW w:w="87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55.8</w:t>
            </w:r>
          </w:p>
        </w:tc>
        <w:tc>
          <w:tcPr>
            <w:tcW w:w="96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8.5%</w:t>
            </w:r>
          </w:p>
        </w:tc>
        <w:tc>
          <w:tcPr>
            <w:tcW w:w="110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53.2</w:t>
            </w:r>
          </w:p>
        </w:tc>
        <w:tc>
          <w:tcPr>
            <w:tcW w:w="992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12.8%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50.6</w:t>
            </w:r>
          </w:p>
        </w:tc>
        <w:tc>
          <w:tcPr>
            <w:tcW w:w="1024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17.0%</w:t>
            </w:r>
          </w:p>
        </w:tc>
        <w:tc>
          <w:tcPr>
            <w:tcW w:w="96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48.0</w:t>
            </w:r>
          </w:p>
        </w:tc>
        <w:tc>
          <w:tcPr>
            <w:tcW w:w="96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21.3%</w:t>
            </w:r>
          </w:p>
        </w:tc>
      </w:tr>
      <w:tr>
        <w:tblPrEx>
          <w:tblW w:w="10574" w:type="dxa"/>
          <w:jc w:val="center"/>
          <w:tblInd w:w="132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内江市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58.0</w:t>
            </w:r>
          </w:p>
        </w:tc>
        <w:tc>
          <w:tcPr>
            <w:tcW w:w="104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4.3%</w:t>
            </w:r>
          </w:p>
        </w:tc>
        <w:tc>
          <w:tcPr>
            <w:tcW w:w="87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55.5</w:t>
            </w:r>
          </w:p>
        </w:tc>
        <w:tc>
          <w:tcPr>
            <w:tcW w:w="96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8.4%</w:t>
            </w:r>
          </w:p>
        </w:tc>
        <w:tc>
          <w:tcPr>
            <w:tcW w:w="110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52.9</w:t>
            </w:r>
          </w:p>
        </w:tc>
        <w:tc>
          <w:tcPr>
            <w:tcW w:w="992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12.7%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50.3</w:t>
            </w:r>
          </w:p>
        </w:tc>
        <w:tc>
          <w:tcPr>
            <w:tcW w:w="1024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17.0%</w:t>
            </w:r>
          </w:p>
        </w:tc>
        <w:tc>
          <w:tcPr>
            <w:tcW w:w="96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47.7</w:t>
            </w:r>
          </w:p>
        </w:tc>
        <w:tc>
          <w:tcPr>
            <w:tcW w:w="96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21.3%</w:t>
            </w:r>
          </w:p>
        </w:tc>
      </w:tr>
      <w:tr>
        <w:tblPrEx>
          <w:tblW w:w="10574" w:type="dxa"/>
          <w:jc w:val="center"/>
          <w:tblInd w:w="132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宜宾市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55.8</w:t>
            </w:r>
          </w:p>
        </w:tc>
        <w:tc>
          <w:tcPr>
            <w:tcW w:w="104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4.0%</w:t>
            </w:r>
          </w:p>
        </w:tc>
        <w:tc>
          <w:tcPr>
            <w:tcW w:w="87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53.5</w:t>
            </w:r>
          </w:p>
        </w:tc>
        <w:tc>
          <w:tcPr>
            <w:tcW w:w="96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7.9%</w:t>
            </w:r>
          </w:p>
        </w:tc>
        <w:tc>
          <w:tcPr>
            <w:tcW w:w="110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51.2</w:t>
            </w:r>
          </w:p>
        </w:tc>
        <w:tc>
          <w:tcPr>
            <w:tcW w:w="992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11.9%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48.9</w:t>
            </w:r>
          </w:p>
        </w:tc>
        <w:tc>
          <w:tcPr>
            <w:tcW w:w="1024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15.8%</w:t>
            </w:r>
          </w:p>
        </w:tc>
        <w:tc>
          <w:tcPr>
            <w:tcW w:w="96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46.6</w:t>
            </w:r>
          </w:p>
        </w:tc>
        <w:tc>
          <w:tcPr>
            <w:tcW w:w="96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19.8%</w:t>
            </w:r>
          </w:p>
        </w:tc>
      </w:tr>
      <w:tr>
        <w:tblPrEx>
          <w:tblW w:w="10574" w:type="dxa"/>
          <w:jc w:val="center"/>
          <w:tblInd w:w="132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乐山市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54.1</w:t>
            </w:r>
          </w:p>
        </w:tc>
        <w:tc>
          <w:tcPr>
            <w:tcW w:w="104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3.7%</w:t>
            </w:r>
          </w:p>
        </w:tc>
        <w:tc>
          <w:tcPr>
            <w:tcW w:w="87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51.9</w:t>
            </w:r>
          </w:p>
        </w:tc>
        <w:tc>
          <w:tcPr>
            <w:tcW w:w="96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7.7%</w:t>
            </w:r>
          </w:p>
        </w:tc>
        <w:tc>
          <w:tcPr>
            <w:tcW w:w="110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49.8</w:t>
            </w:r>
          </w:p>
        </w:tc>
        <w:tc>
          <w:tcPr>
            <w:tcW w:w="992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11.4%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47.6</w:t>
            </w:r>
          </w:p>
        </w:tc>
        <w:tc>
          <w:tcPr>
            <w:tcW w:w="1024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15.3%</w:t>
            </w:r>
          </w:p>
        </w:tc>
        <w:tc>
          <w:tcPr>
            <w:tcW w:w="96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45.5</w:t>
            </w:r>
          </w:p>
        </w:tc>
        <w:tc>
          <w:tcPr>
            <w:tcW w:w="96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19.0%</w:t>
            </w:r>
          </w:p>
        </w:tc>
      </w:tr>
      <w:tr>
        <w:tblPrEx>
          <w:tblW w:w="10574" w:type="dxa"/>
          <w:jc w:val="center"/>
          <w:tblInd w:w="132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德阳市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51.4</w:t>
            </w:r>
          </w:p>
        </w:tc>
        <w:tc>
          <w:tcPr>
            <w:tcW w:w="104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3.7%</w:t>
            </w:r>
          </w:p>
        </w:tc>
        <w:tc>
          <w:tcPr>
            <w:tcW w:w="87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49.4</w:t>
            </w:r>
          </w:p>
        </w:tc>
        <w:tc>
          <w:tcPr>
            <w:tcW w:w="96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7.5%</w:t>
            </w:r>
          </w:p>
        </w:tc>
        <w:tc>
          <w:tcPr>
            <w:tcW w:w="110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47.4</w:t>
            </w:r>
          </w:p>
        </w:tc>
        <w:tc>
          <w:tcPr>
            <w:tcW w:w="992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11.2%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45.4</w:t>
            </w:r>
          </w:p>
        </w:tc>
        <w:tc>
          <w:tcPr>
            <w:tcW w:w="1024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15.0%</w:t>
            </w:r>
          </w:p>
        </w:tc>
        <w:tc>
          <w:tcPr>
            <w:tcW w:w="96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43.4</w:t>
            </w:r>
          </w:p>
        </w:tc>
        <w:tc>
          <w:tcPr>
            <w:tcW w:w="96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18.7%</w:t>
            </w:r>
          </w:p>
        </w:tc>
      </w:tr>
      <w:tr>
        <w:tblPrEx>
          <w:tblW w:w="10574" w:type="dxa"/>
          <w:jc w:val="center"/>
          <w:tblInd w:w="132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广安市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46.3</w:t>
            </w:r>
          </w:p>
        </w:tc>
        <w:tc>
          <w:tcPr>
            <w:tcW w:w="104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3.3%</w:t>
            </w:r>
          </w:p>
        </w:tc>
        <w:tc>
          <w:tcPr>
            <w:tcW w:w="87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44.8</w:t>
            </w:r>
          </w:p>
        </w:tc>
        <w:tc>
          <w:tcPr>
            <w:tcW w:w="96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6.5%</w:t>
            </w:r>
          </w:p>
        </w:tc>
        <w:tc>
          <w:tcPr>
            <w:tcW w:w="110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43.2</w:t>
            </w:r>
          </w:p>
        </w:tc>
        <w:tc>
          <w:tcPr>
            <w:tcW w:w="992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9.8%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41.7</w:t>
            </w:r>
          </w:p>
        </w:tc>
        <w:tc>
          <w:tcPr>
            <w:tcW w:w="1024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12.9%</w:t>
            </w:r>
          </w:p>
        </w:tc>
        <w:tc>
          <w:tcPr>
            <w:tcW w:w="96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40.1</w:t>
            </w:r>
          </w:p>
        </w:tc>
        <w:tc>
          <w:tcPr>
            <w:tcW w:w="96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16.3%</w:t>
            </w:r>
          </w:p>
        </w:tc>
      </w:tr>
      <w:tr>
        <w:tblPrEx>
          <w:tblW w:w="10574" w:type="dxa"/>
          <w:jc w:val="center"/>
          <w:tblInd w:w="132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遂宁市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46.3</w:t>
            </w:r>
          </w:p>
        </w:tc>
        <w:tc>
          <w:tcPr>
            <w:tcW w:w="104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3.1%</w:t>
            </w:r>
          </w:p>
        </w:tc>
        <w:tc>
          <w:tcPr>
            <w:tcW w:w="87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44.8</w:t>
            </w:r>
          </w:p>
        </w:tc>
        <w:tc>
          <w:tcPr>
            <w:tcW w:w="96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6.3%</w:t>
            </w:r>
          </w:p>
        </w:tc>
        <w:tc>
          <w:tcPr>
            <w:tcW w:w="110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43.3</w:t>
            </w:r>
          </w:p>
        </w:tc>
        <w:tc>
          <w:tcPr>
            <w:tcW w:w="992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9.4%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41.8</w:t>
            </w:r>
          </w:p>
        </w:tc>
        <w:tc>
          <w:tcPr>
            <w:tcW w:w="1024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12.6%</w:t>
            </w:r>
          </w:p>
        </w:tc>
        <w:tc>
          <w:tcPr>
            <w:tcW w:w="96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40.3</w:t>
            </w:r>
          </w:p>
        </w:tc>
        <w:tc>
          <w:tcPr>
            <w:tcW w:w="96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15.7%</w:t>
            </w:r>
          </w:p>
        </w:tc>
      </w:tr>
      <w:tr>
        <w:tblPrEx>
          <w:tblW w:w="10574" w:type="dxa"/>
          <w:jc w:val="center"/>
          <w:tblInd w:w="132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绵阳市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45.1</w:t>
            </w:r>
          </w:p>
        </w:tc>
        <w:tc>
          <w:tcPr>
            <w:tcW w:w="104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3.0%</w:t>
            </w:r>
          </w:p>
        </w:tc>
        <w:tc>
          <w:tcPr>
            <w:tcW w:w="87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43.6</w:t>
            </w:r>
          </w:p>
        </w:tc>
        <w:tc>
          <w:tcPr>
            <w:tcW w:w="96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6.2%</w:t>
            </w:r>
          </w:p>
        </w:tc>
        <w:tc>
          <w:tcPr>
            <w:tcW w:w="110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42.2</w:t>
            </w:r>
          </w:p>
        </w:tc>
        <w:tc>
          <w:tcPr>
            <w:tcW w:w="992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9.2%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40.8</w:t>
            </w:r>
          </w:p>
        </w:tc>
        <w:tc>
          <w:tcPr>
            <w:tcW w:w="1024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12.3%</w:t>
            </w:r>
          </w:p>
        </w:tc>
        <w:tc>
          <w:tcPr>
            <w:tcW w:w="96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39.4</w:t>
            </w:r>
          </w:p>
        </w:tc>
        <w:tc>
          <w:tcPr>
            <w:tcW w:w="96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15.3%</w:t>
            </w:r>
          </w:p>
        </w:tc>
      </w:tr>
      <w:tr>
        <w:tblPrEx>
          <w:tblW w:w="10574" w:type="dxa"/>
          <w:jc w:val="center"/>
          <w:tblInd w:w="132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资阳市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41.7</w:t>
            </w:r>
          </w:p>
        </w:tc>
        <w:tc>
          <w:tcPr>
            <w:tcW w:w="104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2.8%</w:t>
            </w:r>
          </w:p>
        </w:tc>
        <w:tc>
          <w:tcPr>
            <w:tcW w:w="87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40.5</w:t>
            </w:r>
          </w:p>
        </w:tc>
        <w:tc>
          <w:tcPr>
            <w:tcW w:w="96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5.6%</w:t>
            </w:r>
          </w:p>
        </w:tc>
        <w:tc>
          <w:tcPr>
            <w:tcW w:w="110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39.3</w:t>
            </w:r>
          </w:p>
        </w:tc>
        <w:tc>
          <w:tcPr>
            <w:tcW w:w="992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8.4%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38.0</w:t>
            </w:r>
          </w:p>
        </w:tc>
        <w:tc>
          <w:tcPr>
            <w:tcW w:w="1024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11.4%</w:t>
            </w:r>
          </w:p>
        </w:tc>
        <w:tc>
          <w:tcPr>
            <w:tcW w:w="96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36.8</w:t>
            </w:r>
          </w:p>
        </w:tc>
        <w:tc>
          <w:tcPr>
            <w:tcW w:w="96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14.2%</w:t>
            </w:r>
          </w:p>
        </w:tc>
      </w:tr>
      <w:tr>
        <w:tblPrEx>
          <w:tblW w:w="10574" w:type="dxa"/>
          <w:jc w:val="center"/>
          <w:tblInd w:w="132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雅安市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35.8</w:t>
            </w:r>
          </w:p>
        </w:tc>
        <w:tc>
          <w:tcPr>
            <w:tcW w:w="104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2.5%</w:t>
            </w:r>
          </w:p>
        </w:tc>
        <w:tc>
          <w:tcPr>
            <w:tcW w:w="87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＜</w:t>
            </w:r>
            <w:r>
              <w:rPr>
                <w:rFonts w:ascii="Times New Roman" w:eastAsia="仿宋_GB2312" w:hAnsi="Times New Roman"/>
                <w:sz w:val="24"/>
              </w:rPr>
              <w:t>35.0</w:t>
            </w:r>
          </w:p>
        </w:tc>
        <w:tc>
          <w:tcPr>
            <w:tcW w:w="96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4.6%</w:t>
            </w:r>
          </w:p>
        </w:tc>
        <w:tc>
          <w:tcPr>
            <w:tcW w:w="110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＜</w:t>
            </w:r>
            <w:r>
              <w:rPr>
                <w:rFonts w:ascii="Times New Roman" w:eastAsia="仿宋_GB2312" w:hAnsi="Times New Roman"/>
                <w:sz w:val="24"/>
              </w:rPr>
              <w:t>35.0</w:t>
            </w:r>
          </w:p>
        </w:tc>
        <w:tc>
          <w:tcPr>
            <w:tcW w:w="992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＜</w:t>
            </w:r>
            <w:r>
              <w:rPr>
                <w:rFonts w:ascii="Times New Roman" w:eastAsia="仿宋_GB2312" w:hAnsi="Times New Roman"/>
                <w:sz w:val="24"/>
              </w:rPr>
              <w:t>35.0</w:t>
            </w:r>
          </w:p>
        </w:tc>
        <w:tc>
          <w:tcPr>
            <w:tcW w:w="1024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  <w:tc>
          <w:tcPr>
            <w:tcW w:w="96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＜</w:t>
            </w:r>
            <w:r>
              <w:rPr>
                <w:rFonts w:ascii="Times New Roman" w:eastAsia="仿宋_GB2312" w:hAnsi="Times New Roman"/>
                <w:sz w:val="24"/>
              </w:rPr>
              <w:t>35.0</w:t>
            </w:r>
          </w:p>
        </w:tc>
        <w:tc>
          <w:tcPr>
            <w:tcW w:w="96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</w:tr>
      <w:tr>
        <w:tblPrEx>
          <w:tblW w:w="10574" w:type="dxa"/>
          <w:jc w:val="center"/>
          <w:tblInd w:w="132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巴中市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35.7</w:t>
            </w:r>
          </w:p>
        </w:tc>
        <w:tc>
          <w:tcPr>
            <w:tcW w:w="104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2.2%</w:t>
            </w:r>
          </w:p>
        </w:tc>
        <w:tc>
          <w:tcPr>
            <w:tcW w:w="87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＜</w:t>
            </w:r>
            <w:r>
              <w:rPr>
                <w:rFonts w:ascii="Times New Roman" w:eastAsia="仿宋_GB2312" w:hAnsi="Times New Roman"/>
                <w:sz w:val="24"/>
              </w:rPr>
              <w:t>35.0</w:t>
            </w:r>
          </w:p>
        </w:tc>
        <w:tc>
          <w:tcPr>
            <w:tcW w:w="96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4.1%</w:t>
            </w:r>
          </w:p>
        </w:tc>
        <w:tc>
          <w:tcPr>
            <w:tcW w:w="110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＜</w:t>
            </w:r>
            <w:r>
              <w:rPr>
                <w:rFonts w:ascii="Times New Roman" w:eastAsia="仿宋_GB2312" w:hAnsi="Times New Roman"/>
                <w:sz w:val="24"/>
              </w:rPr>
              <w:t>35.0</w:t>
            </w:r>
          </w:p>
        </w:tc>
        <w:tc>
          <w:tcPr>
            <w:tcW w:w="992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＜</w:t>
            </w:r>
            <w:r>
              <w:rPr>
                <w:rFonts w:ascii="Times New Roman" w:eastAsia="仿宋_GB2312" w:hAnsi="Times New Roman"/>
                <w:sz w:val="24"/>
              </w:rPr>
              <w:t>35.0</w:t>
            </w:r>
          </w:p>
        </w:tc>
        <w:tc>
          <w:tcPr>
            <w:tcW w:w="1024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  <w:tc>
          <w:tcPr>
            <w:tcW w:w="96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＜</w:t>
            </w:r>
            <w:r>
              <w:rPr>
                <w:rFonts w:ascii="Times New Roman" w:eastAsia="仿宋_GB2312" w:hAnsi="Times New Roman"/>
                <w:sz w:val="24"/>
              </w:rPr>
              <w:t>35.0</w:t>
            </w:r>
          </w:p>
        </w:tc>
        <w:tc>
          <w:tcPr>
            <w:tcW w:w="96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</w:tr>
      <w:tr>
        <w:tblPrEx>
          <w:tblW w:w="10574" w:type="dxa"/>
          <w:jc w:val="center"/>
          <w:tblInd w:w="132" w:type="dxa"/>
          <w:tblLayout w:type="fixed"/>
          <w:tblCellMar>
            <w:left w:w="0" w:type="dxa"/>
            <w:right w:w="0" w:type="dxa"/>
          </w:tblCellMar>
        </w:tblPrEx>
        <w:trPr>
          <w:trHeight w:val="303"/>
          <w:jc w:val="center"/>
        </w:trPr>
        <w:tc>
          <w:tcPr>
            <w:tcW w:w="1130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攀枝花市</w:t>
            </w:r>
          </w:p>
        </w:tc>
        <w:tc>
          <w:tcPr>
            <w:tcW w:w="9444" w:type="dxa"/>
            <w:gridSpan w:val="10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≤31.7</w:t>
            </w:r>
          </w:p>
        </w:tc>
      </w:tr>
      <w:tr>
        <w:tblPrEx>
          <w:tblW w:w="10574" w:type="dxa"/>
          <w:jc w:val="center"/>
          <w:tblInd w:w="132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凉山州</w:t>
            </w:r>
          </w:p>
        </w:tc>
        <w:tc>
          <w:tcPr>
            <w:tcW w:w="9444" w:type="dxa"/>
            <w:gridSpan w:val="10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≤27.1</w:t>
            </w:r>
          </w:p>
        </w:tc>
      </w:tr>
      <w:tr>
        <w:tblPrEx>
          <w:tblW w:w="10574" w:type="dxa"/>
          <w:jc w:val="center"/>
          <w:tblInd w:w="132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广元市</w:t>
            </w:r>
          </w:p>
        </w:tc>
        <w:tc>
          <w:tcPr>
            <w:tcW w:w="9444" w:type="dxa"/>
            <w:gridSpan w:val="10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≤23.0</w:t>
            </w:r>
          </w:p>
        </w:tc>
      </w:tr>
      <w:tr>
        <w:tblPrEx>
          <w:tblW w:w="10574" w:type="dxa"/>
          <w:jc w:val="center"/>
          <w:tblInd w:w="132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甘孜州</w:t>
            </w:r>
          </w:p>
        </w:tc>
        <w:tc>
          <w:tcPr>
            <w:tcW w:w="9444" w:type="dxa"/>
            <w:gridSpan w:val="10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≤19.7</w:t>
            </w:r>
          </w:p>
        </w:tc>
      </w:tr>
      <w:tr>
        <w:tblPrEx>
          <w:tblW w:w="10574" w:type="dxa"/>
          <w:jc w:val="center"/>
          <w:tblInd w:w="132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阿坝州</w:t>
            </w:r>
          </w:p>
        </w:tc>
        <w:tc>
          <w:tcPr>
            <w:tcW w:w="9444" w:type="dxa"/>
            <w:gridSpan w:val="10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≤19.4</w:t>
            </w:r>
          </w:p>
        </w:tc>
      </w:tr>
    </w:tbl>
    <w:p>
      <w:pPr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</w:p>
    <w:p>
      <w:pPr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</w:p>
    <w:p>
      <w:pPr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</w:p>
    <w:p>
      <w:pPr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>
      <w:pPr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</w:p>
    <w:p>
      <w:pPr>
        <w:widowControl/>
        <w:topLinePunct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各市（州）</w:t>
      </w:r>
      <w:r>
        <w:rPr>
          <w:rFonts w:ascii="Times New Roman" w:eastAsia="方正小标宋简体" w:hAnsi="Times New Roman"/>
          <w:sz w:val="44"/>
          <w:szCs w:val="44"/>
        </w:rPr>
        <w:t>PM</w:t>
      </w:r>
      <w:r>
        <w:rPr>
          <w:rFonts w:ascii="Times New Roman" w:eastAsia="方正小标宋简体" w:hAnsi="Times New Roman"/>
          <w:sz w:val="44"/>
          <w:szCs w:val="44"/>
          <w:vertAlign w:val="subscript"/>
        </w:rPr>
        <w:t>2.5</w:t>
      </w:r>
      <w:r>
        <w:rPr>
          <w:rFonts w:ascii="Times New Roman" w:eastAsia="方正小标宋简体" w:hAnsi="Times New Roman" w:hint="eastAsia"/>
          <w:sz w:val="44"/>
          <w:szCs w:val="44"/>
        </w:rPr>
        <w:t>年均浓度奋斗目标</w:t>
      </w:r>
    </w:p>
    <w:p>
      <w:pPr>
        <w:widowControl/>
        <w:topLinePunct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逐年分解表</w:t>
      </w:r>
    </w:p>
    <w:p>
      <w:pPr>
        <w:widowControl/>
        <w:topLinePunct/>
        <w:spacing w:line="400" w:lineRule="exact"/>
        <w:jc w:val="righ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Cs w:val="21"/>
        </w:rPr>
        <w:t>单位：微克</w:t>
      </w:r>
      <w:r>
        <w:rPr>
          <w:rFonts w:ascii="Times New Roman" w:eastAsia="黑体" w:hAnsi="Times New Roman"/>
          <w:szCs w:val="21"/>
        </w:rPr>
        <w:t>/</w:t>
      </w:r>
      <w:r>
        <w:rPr>
          <w:rFonts w:ascii="Times New Roman" w:eastAsia="黑体" w:hAnsi="Times New Roman" w:hint="eastAsia"/>
          <w:szCs w:val="21"/>
        </w:rPr>
        <w:t>立方米</w:t>
      </w:r>
    </w:p>
    <w:tbl>
      <w:tblPr>
        <w:tblW w:w="9356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1376"/>
        <w:gridCol w:w="704"/>
        <w:gridCol w:w="808"/>
        <w:gridCol w:w="809"/>
        <w:gridCol w:w="869"/>
        <w:gridCol w:w="748"/>
        <w:gridCol w:w="808"/>
        <w:gridCol w:w="808"/>
        <w:gridCol w:w="809"/>
        <w:gridCol w:w="808"/>
        <w:gridCol w:w="809"/>
      </w:tblGrid>
      <w:tr>
        <w:tblPrEx>
          <w:tblW w:w="9356" w:type="dxa"/>
          <w:jc w:val="center"/>
          <w:tblInd w:w="-1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0" w:type="dxa"/>
            <w:right w:w="0" w:type="dxa"/>
          </w:tblCellMar>
        </w:tblPrEx>
        <w:trPr>
          <w:tblHeader/>
          <w:jc w:val="center"/>
        </w:trPr>
        <w:tc>
          <w:tcPr>
            <w:tcW w:w="1376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市（州）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2016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2016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年比</w:t>
            </w: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2015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</w:t>
            </w:r>
          </w:p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降幅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2017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2017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年比</w:t>
            </w: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2015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</w:t>
            </w:r>
          </w:p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降幅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2018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2018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年比</w:t>
            </w: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2015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</w:t>
            </w:r>
          </w:p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降幅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2019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2019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年比</w:t>
            </w: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2015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</w:t>
            </w:r>
          </w:p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降幅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2020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2020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年比</w:t>
            </w: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2015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</w:t>
            </w:r>
          </w:p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降幅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自贡市</w:t>
            </w:r>
          </w:p>
        </w:tc>
        <w:tc>
          <w:tcPr>
            <w:tcW w:w="704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68.6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6.3%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64.0</w:t>
            </w:r>
          </w:p>
        </w:tc>
        <w:tc>
          <w:tcPr>
            <w:tcW w:w="86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12.6%</w:t>
            </w:r>
          </w:p>
        </w:tc>
        <w:tc>
          <w:tcPr>
            <w:tcW w:w="74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59.4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18.9%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54.8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25.1%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50.2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31.4%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眉山市</w:t>
            </w:r>
          </w:p>
        </w:tc>
        <w:tc>
          <w:tcPr>
            <w:tcW w:w="704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61.3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5.5%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57.7</w:t>
            </w:r>
          </w:p>
        </w:tc>
        <w:tc>
          <w:tcPr>
            <w:tcW w:w="86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11.1%</w:t>
            </w:r>
          </w:p>
        </w:tc>
        <w:tc>
          <w:tcPr>
            <w:tcW w:w="74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54.0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16.8%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50.4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22.3%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46.8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27.9%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达州市</w:t>
            </w:r>
          </w:p>
        </w:tc>
        <w:tc>
          <w:tcPr>
            <w:tcW w:w="704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61.4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5.5%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57.7</w:t>
            </w:r>
          </w:p>
        </w:tc>
        <w:tc>
          <w:tcPr>
            <w:tcW w:w="86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11.2%</w:t>
            </w:r>
          </w:p>
        </w:tc>
        <w:tc>
          <w:tcPr>
            <w:tcW w:w="74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54.1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16.8%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50.5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22.3%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46.8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28.0%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成都市</w:t>
            </w:r>
          </w:p>
        </w:tc>
        <w:tc>
          <w:tcPr>
            <w:tcW w:w="704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60.8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5.3%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57.4</w:t>
            </w:r>
          </w:p>
        </w:tc>
        <w:tc>
          <w:tcPr>
            <w:tcW w:w="86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10.6%</w:t>
            </w:r>
          </w:p>
        </w:tc>
        <w:tc>
          <w:tcPr>
            <w:tcW w:w="74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54.1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15.7%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50.7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21.0%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47.3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26.3%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泸州市</w:t>
            </w:r>
          </w:p>
        </w:tc>
        <w:tc>
          <w:tcPr>
            <w:tcW w:w="704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58.2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5.4%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55.0</w:t>
            </w:r>
          </w:p>
        </w:tc>
        <w:tc>
          <w:tcPr>
            <w:tcW w:w="86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10.6%</w:t>
            </w:r>
          </w:p>
        </w:tc>
        <w:tc>
          <w:tcPr>
            <w:tcW w:w="74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51.7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15.9%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48.5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21.1%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45.2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26.5%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南充市</w:t>
            </w:r>
          </w:p>
        </w:tc>
        <w:tc>
          <w:tcPr>
            <w:tcW w:w="704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57.9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5.1%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54.7</w:t>
            </w:r>
          </w:p>
        </w:tc>
        <w:tc>
          <w:tcPr>
            <w:tcW w:w="86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10.3%</w:t>
            </w:r>
          </w:p>
        </w:tc>
        <w:tc>
          <w:tcPr>
            <w:tcW w:w="74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51.6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15.4%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48.5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20.5%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45.4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25.6%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内江市</w:t>
            </w:r>
          </w:p>
        </w:tc>
        <w:tc>
          <w:tcPr>
            <w:tcW w:w="704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57.5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5.1%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54.4</w:t>
            </w:r>
          </w:p>
        </w:tc>
        <w:tc>
          <w:tcPr>
            <w:tcW w:w="86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10.2%</w:t>
            </w:r>
          </w:p>
        </w:tc>
        <w:tc>
          <w:tcPr>
            <w:tcW w:w="74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51.3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15.3%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48.3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20.3%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45.2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25.4%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宜宾市</w:t>
            </w:r>
          </w:p>
        </w:tc>
        <w:tc>
          <w:tcPr>
            <w:tcW w:w="704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55.3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4.8%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52.6</w:t>
            </w:r>
          </w:p>
        </w:tc>
        <w:tc>
          <w:tcPr>
            <w:tcW w:w="86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9.5%</w:t>
            </w:r>
          </w:p>
        </w:tc>
        <w:tc>
          <w:tcPr>
            <w:tcW w:w="74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49.8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14.3%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47.0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19.1%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44.3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23.8%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乐山市</w:t>
            </w:r>
          </w:p>
        </w:tc>
        <w:tc>
          <w:tcPr>
            <w:tcW w:w="704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53.6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4.6%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51.0</w:t>
            </w:r>
          </w:p>
        </w:tc>
        <w:tc>
          <w:tcPr>
            <w:tcW w:w="86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9.3%</w:t>
            </w:r>
          </w:p>
        </w:tc>
        <w:tc>
          <w:tcPr>
            <w:tcW w:w="74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48.4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13.9%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45.8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18.5%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43.3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23.0%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德阳市</w:t>
            </w:r>
          </w:p>
        </w:tc>
        <w:tc>
          <w:tcPr>
            <w:tcW w:w="704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51.1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4.3%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48.7</w:t>
            </w:r>
          </w:p>
        </w:tc>
        <w:tc>
          <w:tcPr>
            <w:tcW w:w="86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8.8%</w:t>
            </w:r>
          </w:p>
        </w:tc>
        <w:tc>
          <w:tcPr>
            <w:tcW w:w="74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46.4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13.1%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44.0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17.6%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41.7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21.9%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广安市</w:t>
            </w:r>
          </w:p>
        </w:tc>
        <w:tc>
          <w:tcPr>
            <w:tcW w:w="704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46.1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3.8%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44.2</w:t>
            </w:r>
          </w:p>
        </w:tc>
        <w:tc>
          <w:tcPr>
            <w:tcW w:w="86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7.7%</w:t>
            </w:r>
          </w:p>
        </w:tc>
        <w:tc>
          <w:tcPr>
            <w:tcW w:w="74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42.4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11.5%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40.6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15.2%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35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遂宁市</w:t>
            </w:r>
          </w:p>
        </w:tc>
        <w:tc>
          <w:tcPr>
            <w:tcW w:w="704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46.0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3.8%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44.2</w:t>
            </w:r>
          </w:p>
        </w:tc>
        <w:tc>
          <w:tcPr>
            <w:tcW w:w="86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7.5%</w:t>
            </w:r>
          </w:p>
        </w:tc>
        <w:tc>
          <w:tcPr>
            <w:tcW w:w="74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42.5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11.1%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40.7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14.9%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35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绵阳市</w:t>
            </w:r>
          </w:p>
        </w:tc>
        <w:tc>
          <w:tcPr>
            <w:tcW w:w="704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44.8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3.7%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43.1</w:t>
            </w:r>
          </w:p>
        </w:tc>
        <w:tc>
          <w:tcPr>
            <w:tcW w:w="86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7.3%</w:t>
            </w:r>
          </w:p>
        </w:tc>
        <w:tc>
          <w:tcPr>
            <w:tcW w:w="74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41.4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11.0%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39.8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14.4%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35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资阳市</w:t>
            </w:r>
          </w:p>
        </w:tc>
        <w:tc>
          <w:tcPr>
            <w:tcW w:w="704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41.5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3.3%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40.0</w:t>
            </w:r>
          </w:p>
        </w:tc>
        <w:tc>
          <w:tcPr>
            <w:tcW w:w="86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6.8%</w:t>
            </w:r>
          </w:p>
        </w:tc>
        <w:tc>
          <w:tcPr>
            <w:tcW w:w="74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38.6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10.0%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37.2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13.3%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35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雅安市</w:t>
            </w:r>
          </w:p>
        </w:tc>
        <w:tc>
          <w:tcPr>
            <w:tcW w:w="704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35.7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2.7%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&lt;</w:t>
            </w:r>
            <w:r>
              <w:rPr>
                <w:rFonts w:ascii="Times New Roman" w:eastAsia="仿宋_GB2312" w:hAnsi="Times New Roman"/>
                <w:sz w:val="24"/>
              </w:rPr>
              <w:t>35.0</w:t>
            </w:r>
          </w:p>
        </w:tc>
        <w:tc>
          <w:tcPr>
            <w:tcW w:w="86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4.6%</w:t>
            </w:r>
          </w:p>
        </w:tc>
        <w:tc>
          <w:tcPr>
            <w:tcW w:w="74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&lt;</w:t>
            </w:r>
            <w:r>
              <w:rPr>
                <w:rFonts w:ascii="Times New Roman" w:eastAsia="仿宋_GB2312" w:hAnsi="Times New Roman"/>
                <w:sz w:val="24"/>
              </w:rPr>
              <w:t>35.0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&lt;</w:t>
            </w:r>
            <w:r>
              <w:rPr>
                <w:rFonts w:ascii="Times New Roman" w:eastAsia="仿宋_GB2312" w:hAnsi="Times New Roman"/>
                <w:sz w:val="24"/>
              </w:rPr>
              <w:t>35.0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&lt;</w:t>
            </w:r>
            <w:r>
              <w:rPr>
                <w:rFonts w:ascii="Times New Roman" w:eastAsia="仿宋_GB2312" w:hAnsi="Times New Roman"/>
                <w:sz w:val="24"/>
              </w:rPr>
              <w:t>35.0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巴中市</w:t>
            </w:r>
          </w:p>
        </w:tc>
        <w:tc>
          <w:tcPr>
            <w:tcW w:w="704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35.5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2.7%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&lt;</w:t>
            </w:r>
            <w:r>
              <w:rPr>
                <w:rFonts w:ascii="Times New Roman" w:eastAsia="仿宋_GB2312" w:hAnsi="Times New Roman"/>
                <w:sz w:val="24"/>
              </w:rPr>
              <w:t>35.0</w:t>
            </w:r>
          </w:p>
        </w:tc>
        <w:tc>
          <w:tcPr>
            <w:tcW w:w="86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4.1%</w:t>
            </w:r>
          </w:p>
        </w:tc>
        <w:tc>
          <w:tcPr>
            <w:tcW w:w="74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&lt;</w:t>
            </w:r>
            <w:r>
              <w:rPr>
                <w:rFonts w:ascii="Times New Roman" w:eastAsia="仿宋_GB2312" w:hAnsi="Times New Roman"/>
                <w:sz w:val="24"/>
              </w:rPr>
              <w:t>35.0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&lt;</w:t>
            </w:r>
            <w:r>
              <w:rPr>
                <w:rFonts w:ascii="Times New Roman" w:eastAsia="仿宋_GB2312" w:hAnsi="Times New Roman"/>
                <w:sz w:val="24"/>
              </w:rPr>
              <w:t>35.0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  <w:tc>
          <w:tcPr>
            <w:tcW w:w="808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&lt;</w:t>
            </w:r>
            <w:r>
              <w:rPr>
                <w:rFonts w:ascii="Times New Roman" w:eastAsia="仿宋_GB2312" w:hAnsi="Times New Roman"/>
                <w:sz w:val="24"/>
              </w:rPr>
              <w:t>35.0</w:t>
            </w:r>
          </w:p>
        </w:tc>
        <w:tc>
          <w:tcPr>
            <w:tcW w:w="809" w:type="dxa"/>
            <w:vAlign w:val="center"/>
          </w:tcPr>
          <w:p>
            <w:pPr>
              <w:topLinePunct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攀枝花市</w:t>
            </w:r>
          </w:p>
        </w:tc>
        <w:tc>
          <w:tcPr>
            <w:tcW w:w="7980" w:type="dxa"/>
            <w:gridSpan w:val="10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&lt;31.7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凉山州</w:t>
            </w:r>
          </w:p>
        </w:tc>
        <w:tc>
          <w:tcPr>
            <w:tcW w:w="7980" w:type="dxa"/>
            <w:gridSpan w:val="10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&lt;27.1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广元市</w:t>
            </w:r>
          </w:p>
        </w:tc>
        <w:tc>
          <w:tcPr>
            <w:tcW w:w="7980" w:type="dxa"/>
            <w:gridSpan w:val="10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&lt;23.0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甘孜州</w:t>
            </w:r>
          </w:p>
        </w:tc>
        <w:tc>
          <w:tcPr>
            <w:tcW w:w="7980" w:type="dxa"/>
            <w:gridSpan w:val="10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&lt;19.7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阿坝州</w:t>
            </w:r>
          </w:p>
        </w:tc>
        <w:tc>
          <w:tcPr>
            <w:tcW w:w="7980" w:type="dxa"/>
            <w:gridSpan w:val="10"/>
            <w:vAlign w:val="center"/>
          </w:tcPr>
          <w:p>
            <w:pPr>
              <w:widowControl/>
              <w:topLinePunct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&lt;19.4</w:t>
            </w:r>
          </w:p>
        </w:tc>
      </w:tr>
    </w:tbl>
    <w:p>
      <w:pPr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</w:p>
    <w:p>
      <w:pPr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</w:p>
    <w:p>
      <w:pPr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>
      <w:pPr>
        <w:topLinePunct/>
        <w:spacing w:line="200" w:lineRule="exact"/>
        <w:rPr>
          <w:rFonts w:ascii="Times New Roman" w:eastAsia="黑体" w:hAnsi="Times New Roman"/>
          <w:sz w:val="32"/>
          <w:szCs w:val="32"/>
        </w:rPr>
      </w:pPr>
    </w:p>
    <w:p>
      <w:pPr>
        <w:topLinePunct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各市（州）</w:t>
      </w:r>
      <w:r>
        <w:rPr>
          <w:rFonts w:ascii="Times New Roman" w:eastAsia="方正小标宋简体" w:hAnsi="Times New Roman"/>
          <w:sz w:val="44"/>
          <w:szCs w:val="44"/>
        </w:rPr>
        <w:t>2020</w:t>
      </w:r>
      <w:r>
        <w:rPr>
          <w:rFonts w:ascii="Times New Roman" w:eastAsia="方正小标宋简体" w:hAnsi="Times New Roman" w:hint="eastAsia"/>
          <w:sz w:val="44"/>
          <w:szCs w:val="44"/>
        </w:rPr>
        <w:t>年优良天数率目标任务分解表</w:t>
      </w:r>
    </w:p>
    <w:p>
      <w:pPr>
        <w:topLinePunct/>
        <w:spacing w:line="2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8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376"/>
        <w:gridCol w:w="2031"/>
        <w:gridCol w:w="1771"/>
        <w:gridCol w:w="2291"/>
      </w:tblGrid>
      <w:tr>
        <w:tblPrEx>
          <w:tblW w:w="8469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  <w:jc w:val="center"/>
        </w:trPr>
        <w:tc>
          <w:tcPr>
            <w:tcW w:w="2376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市（州）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2015</w:t>
            </w:r>
            <w:r>
              <w:rPr>
                <w:rFonts w:ascii="Times New Roman" w:eastAsia="黑体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2020</w:t>
            </w:r>
            <w:r>
              <w:rPr>
                <w:rFonts w:ascii="Times New Roman" w:eastAsia="黑体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优良天数率提高值</w:t>
            </w:r>
          </w:p>
        </w:tc>
      </w:tr>
      <w:tr>
        <w:tblPrEx>
          <w:tblW w:w="8469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成都市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58.3%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70.0%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</w:rPr>
              <w:t>11.7%</w:t>
            </w:r>
          </w:p>
        </w:tc>
      </w:tr>
      <w:tr>
        <w:tblPrEx>
          <w:tblW w:w="8469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眉山市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63.1%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71.2%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</w:rPr>
              <w:t>8.1%</w:t>
            </w:r>
          </w:p>
        </w:tc>
      </w:tr>
      <w:tr>
        <w:tblPrEx>
          <w:tblW w:w="8469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自贡市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64.2%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72.1%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</w:rPr>
              <w:t>7.9%</w:t>
            </w:r>
          </w:p>
        </w:tc>
      </w:tr>
      <w:tr>
        <w:tblPrEx>
          <w:tblW w:w="8469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内江市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71.3%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76.5%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</w:rPr>
              <w:t>5.2%</w:t>
            </w:r>
          </w:p>
        </w:tc>
      </w:tr>
      <w:tr>
        <w:tblPrEx>
          <w:tblW w:w="8469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德阳市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73.0%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77.9%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</w:rPr>
              <w:t>4.9%</w:t>
            </w:r>
          </w:p>
        </w:tc>
      </w:tr>
      <w:tr>
        <w:tblPrEx>
          <w:tblW w:w="8469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达州市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73.4%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78.2%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</w:rPr>
              <w:t>4.8%</w:t>
            </w:r>
          </w:p>
        </w:tc>
      </w:tr>
      <w:tr>
        <w:tblPrEx>
          <w:tblW w:w="8469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泸州市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74.3%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78.9%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</w:rPr>
              <w:t>4.6%</w:t>
            </w:r>
          </w:p>
        </w:tc>
      </w:tr>
      <w:tr>
        <w:tblPrEx>
          <w:tblW w:w="8469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南充市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74.4%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79.0%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</w:rPr>
              <w:t>4.6%</w:t>
            </w:r>
          </w:p>
        </w:tc>
      </w:tr>
      <w:tr>
        <w:tblPrEx>
          <w:tblW w:w="8469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遂宁市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74.7%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79.3%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</w:rPr>
              <w:t>4.5%</w:t>
            </w:r>
          </w:p>
        </w:tc>
      </w:tr>
      <w:tr>
        <w:tblPrEx>
          <w:tblW w:w="8469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乐山市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75.1%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79.1%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</w:rPr>
              <w:t>4.0%</w:t>
            </w:r>
          </w:p>
        </w:tc>
      </w:tr>
      <w:tr>
        <w:tblPrEx>
          <w:tblW w:w="8469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广安市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76.4%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80.2%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</w:rPr>
              <w:t>3.8%</w:t>
            </w:r>
          </w:p>
        </w:tc>
      </w:tr>
      <w:tr>
        <w:tblPrEx>
          <w:tblW w:w="8469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宜宾市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77.5%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81.1%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</w:rPr>
              <w:t>3.6%</w:t>
            </w:r>
          </w:p>
        </w:tc>
      </w:tr>
      <w:tr>
        <w:tblPrEx>
          <w:tblW w:w="8469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资阳市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78.6%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82.0%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</w:rPr>
              <w:t>3.4%</w:t>
            </w:r>
          </w:p>
        </w:tc>
      </w:tr>
      <w:tr>
        <w:tblPrEx>
          <w:tblW w:w="8469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绵阳市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83.2%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85.5%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</w:rPr>
              <w:t>2.4%</w:t>
            </w:r>
          </w:p>
        </w:tc>
      </w:tr>
      <w:tr>
        <w:tblPrEx>
          <w:tblW w:w="8469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巴中市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89.3%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90.6%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</w:rPr>
              <w:t>1.3%</w:t>
            </w:r>
          </w:p>
        </w:tc>
      </w:tr>
      <w:tr>
        <w:tblPrEx>
          <w:tblW w:w="8469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雅安市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92.7%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93.4%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</w:rPr>
              <w:t>0.7%</w:t>
            </w:r>
          </w:p>
        </w:tc>
      </w:tr>
      <w:tr>
        <w:tblPrEx>
          <w:tblW w:w="8469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广元市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94.8%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94.8%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>
        <w:tblPrEx>
          <w:tblW w:w="8469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凉山州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98.3%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98.3%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>
        <w:tblPrEx>
          <w:tblW w:w="8469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攀枝花市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98.6%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98.6%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>
        <w:tblPrEx>
          <w:tblW w:w="8469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甘孜州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99.7%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99.7%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>
        <w:tblPrEx>
          <w:tblW w:w="8469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阿坝州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100.0%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100.0%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>
      <w:pPr>
        <w:topLinePunct/>
        <w:spacing w:line="400" w:lineRule="exact"/>
        <w:ind w:firstLine="480" w:firstLineChars="20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b/>
          <w:bCs/>
          <w:sz w:val="24"/>
        </w:rPr>
        <w:t>注：</w:t>
      </w:r>
      <w:r>
        <w:rPr>
          <w:rFonts w:ascii="Times New Roman" w:eastAsia="仿宋_GB2312" w:hAnsi="Times New Roman" w:hint="eastAsia"/>
          <w:bCs/>
          <w:sz w:val="24"/>
        </w:rPr>
        <w:t>已达优良的（攀枝花市、凉山州、广元市、甘孜州、阿坝州）优良天数率保持稳定达标，并持续优化，考虑到气象因素的不可控性，允许其优良天数率在</w:t>
      </w:r>
      <w:r>
        <w:rPr>
          <w:rFonts w:ascii="Times New Roman" w:eastAsia="仿宋_GB2312" w:hAnsi="Times New Roman"/>
          <w:bCs/>
          <w:sz w:val="24"/>
        </w:rPr>
        <w:t>0.5%</w:t>
      </w:r>
      <w:r>
        <w:rPr>
          <w:rFonts w:ascii="Times New Roman" w:eastAsia="仿宋_GB2312" w:hAnsi="Times New Roman" w:hint="eastAsia"/>
          <w:bCs/>
          <w:sz w:val="24"/>
        </w:rPr>
        <w:t>范围内波动。</w:t>
      </w:r>
      <w:bookmarkStart w:id="0" w:name="_GoBack"/>
      <w:bookmarkEnd w:id="0"/>
    </w:p>
    <w:p>
      <w:pPr>
        <w:topLinePunct/>
        <w:spacing w:line="5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5</w:t>
      </w:r>
    </w:p>
    <w:p>
      <w:pPr>
        <w:topLinePunct/>
        <w:spacing w:line="200" w:lineRule="exact"/>
        <w:rPr>
          <w:rFonts w:ascii="Times New Roman" w:eastAsia="黑体" w:hAnsi="Times New Roman"/>
          <w:sz w:val="32"/>
          <w:szCs w:val="32"/>
        </w:rPr>
      </w:pPr>
    </w:p>
    <w:p>
      <w:pPr>
        <w:topLinePunct/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各市（州）优良天数率目标任务逐年分解表</w:t>
      </w:r>
    </w:p>
    <w:p>
      <w:pPr>
        <w:topLinePunct/>
        <w:spacing w:line="2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9356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1272"/>
        <w:gridCol w:w="808"/>
        <w:gridCol w:w="808"/>
        <w:gridCol w:w="809"/>
        <w:gridCol w:w="808"/>
        <w:gridCol w:w="809"/>
        <w:gridCol w:w="808"/>
        <w:gridCol w:w="808"/>
        <w:gridCol w:w="809"/>
        <w:gridCol w:w="808"/>
        <w:gridCol w:w="809"/>
      </w:tblGrid>
      <w:tr>
        <w:tblPrEx>
          <w:tblW w:w="9356" w:type="dxa"/>
          <w:jc w:val="center"/>
          <w:tblInd w:w="-1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0" w:type="dxa"/>
            <w:right w:w="0" w:type="dxa"/>
          </w:tblCellMar>
        </w:tblPrEx>
        <w:trPr>
          <w:tblHeader/>
          <w:jc w:val="center"/>
        </w:trPr>
        <w:tc>
          <w:tcPr>
            <w:tcW w:w="1272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市（州）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2016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2016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年比</w:t>
            </w: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2015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</w:t>
            </w:r>
          </w:p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提升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2017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2017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年比</w:t>
            </w: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2015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</w:t>
            </w:r>
          </w:p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提升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2018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2018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年比</w:t>
            </w: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2015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</w:t>
            </w:r>
          </w:p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提升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2019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2019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年比</w:t>
            </w: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2015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</w:t>
            </w:r>
          </w:p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提升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2020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2020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年比</w:t>
            </w:r>
            <w:r>
              <w:rPr>
                <w:rFonts w:ascii="Times New Roman" w:eastAsia="黑体" w:hAnsi="Times New Roman"/>
                <w:w w:val="90"/>
                <w:kern w:val="0"/>
                <w:szCs w:val="21"/>
              </w:rPr>
              <w:t>2015</w:t>
            </w: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年</w:t>
            </w:r>
          </w:p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w w:val="90"/>
                <w:kern w:val="0"/>
                <w:szCs w:val="21"/>
              </w:rPr>
              <w:t>提升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272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成都市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60.6%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2.3%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63.0%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4.7%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65.3%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7.0%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67.6%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9.3%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70.0%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11.7%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272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眉山市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64.7%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1.6%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66.3%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3.2%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68.0%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4.9%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69.6%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6.5%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71.2%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8.1%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272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自贡市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65.8%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1.6%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67.3%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3.2%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68.9%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4.7%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70.5%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6.3%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72.1%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7.9%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272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内江市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72.4%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1.0%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73.4%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2.1%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74.4%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3.1%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75.5%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4.1%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76.5%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5.2%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272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德阳市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74.0%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1.0%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75.0%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1.9%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75.9%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2.9%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76.9%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3.9%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77.9%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4.9%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272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达州市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74.4%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1.0%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75.3%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1.9%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76.3%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2.9%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77.2%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3.8%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78.2%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4.8%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272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泸州市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75.2%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0.9%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76.2%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1.9%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77.1%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2.8%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78.0%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3.7%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78.9%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4.6%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272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南充市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75.4%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0.9%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76.3%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1.8%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77.2%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2.8%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78.1%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3.7%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79.0%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4.6%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272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遂宁市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75.6%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0.9%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76.5%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1.8%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77.5%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2.7%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78.4%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3.6%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79.3%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4.5%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272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乐山市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75.9%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0.8%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76.7%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1.6%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77.5%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2.4%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78.3%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3.2%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79.1%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4.0%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272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广安市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77.1%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0.8%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77.9%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1.5%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78.6%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2.3%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79.4%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3.0%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80.2%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3.8%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272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宜宾市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78.2%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0.7%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78.9%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1.4%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79.6%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2.2%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80.4%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2.9%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81.1%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3.6%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272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资阳市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79.3%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0.7%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80.0%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1.4%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80.7%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2.1%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81.3%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2.7%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82.0%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3.4%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272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绵阳市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83.7%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0.5%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84.1%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0.9%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84.6%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1.4%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85.1%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1.9%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85.5%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2.4%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272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巴中市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89.5%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0.3%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89.8%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0.5%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90.1%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0.8%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90.3%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1.0%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90.6%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1.3%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272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雅安市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92.8%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0.1%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92.9%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0.3%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93.1%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0.4%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93.2%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0.6%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93.4%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0.7%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272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广元市</w:t>
            </w:r>
          </w:p>
        </w:tc>
        <w:tc>
          <w:tcPr>
            <w:tcW w:w="8084" w:type="dxa"/>
            <w:gridSpan w:val="10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94.8%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272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凉山州</w:t>
            </w:r>
          </w:p>
        </w:tc>
        <w:tc>
          <w:tcPr>
            <w:tcW w:w="8084" w:type="dxa"/>
            <w:gridSpan w:val="10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98.3%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272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攀枝花市</w:t>
            </w:r>
          </w:p>
        </w:tc>
        <w:tc>
          <w:tcPr>
            <w:tcW w:w="8084" w:type="dxa"/>
            <w:gridSpan w:val="10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98.6%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272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甘孜州</w:t>
            </w:r>
          </w:p>
        </w:tc>
        <w:tc>
          <w:tcPr>
            <w:tcW w:w="8084" w:type="dxa"/>
            <w:gridSpan w:val="10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99.7%</w:t>
            </w:r>
          </w:p>
        </w:tc>
      </w:tr>
      <w:tr>
        <w:tblPrEx>
          <w:tblW w:w="9356" w:type="dxa"/>
          <w:jc w:val="center"/>
          <w:tblInd w:w="-10" w:type="dxa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272" w:type="dxa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阿坝州</w:t>
            </w:r>
          </w:p>
        </w:tc>
        <w:tc>
          <w:tcPr>
            <w:tcW w:w="8084" w:type="dxa"/>
            <w:gridSpan w:val="10"/>
            <w:vAlign w:val="center"/>
          </w:tcPr>
          <w:p>
            <w:pPr>
              <w:widowControl/>
              <w:topLinePunct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100.0%</w:t>
            </w:r>
          </w:p>
        </w:tc>
      </w:tr>
    </w:tbl>
    <w:p>
      <w:pPr>
        <w:topLinePunct/>
        <w:spacing w:line="360" w:lineRule="exact"/>
        <w:ind w:firstLine="480" w:firstLineChars="200"/>
        <w:jc w:val="left"/>
        <w:rPr>
          <w:rFonts w:ascii="Times New Roman" w:eastAsia="仿宋_GB2312" w:hAnsi="Times New Roman"/>
          <w:bCs/>
          <w:sz w:val="24"/>
        </w:rPr>
      </w:pPr>
      <w:r>
        <w:rPr>
          <w:rFonts w:ascii="Times New Roman" w:eastAsia="仿宋_GB2312" w:hAnsi="Times New Roman" w:hint="eastAsia"/>
          <w:b/>
          <w:bCs/>
          <w:sz w:val="24"/>
        </w:rPr>
        <w:t>注：</w:t>
      </w:r>
      <w:r>
        <w:rPr>
          <w:rFonts w:ascii="Times New Roman" w:eastAsia="仿宋_GB2312" w:hAnsi="Times New Roman" w:hint="eastAsia"/>
          <w:bCs/>
          <w:sz w:val="24"/>
        </w:rPr>
        <w:t>已达优良的（攀枝花市、凉山州、广元市、甘孜州、阿坝州）优良天数率保持稳定，并持续优化，考虑到气象因素的不可控性，允许其优良天数率在</w:t>
      </w:r>
      <w:r>
        <w:rPr>
          <w:rFonts w:ascii="Times New Roman" w:eastAsia="仿宋_GB2312" w:hAnsi="Times New Roman"/>
          <w:bCs/>
          <w:sz w:val="24"/>
        </w:rPr>
        <w:t>0.5%</w:t>
      </w:r>
      <w:r>
        <w:rPr>
          <w:rFonts w:ascii="Times New Roman" w:eastAsia="仿宋_GB2312" w:hAnsi="Times New Roman" w:hint="eastAsia"/>
          <w:bCs/>
          <w:sz w:val="24"/>
        </w:rPr>
        <w:t>范围内波动。</w:t>
      </w:r>
    </w:p>
    <w:p>
      <w:pPr>
        <w:topLinePunct/>
        <w:spacing w:line="400" w:lineRule="exact"/>
        <w:ind w:left="210" w:firstLine="640" w:leftChars="100" w:firstLineChars="200"/>
        <w:rPr>
          <w:rFonts w:ascii="Times New Roman" w:eastAsia="仿宋_GB2312" w:hAnsi="Times New Roman"/>
          <w:sz w:val="32"/>
          <w:szCs w:val="32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098" w:right="1588" w:bottom="1984" w:left="1588" w:header="851" w:footer="1417" w:gutter="0"/>
          <w:paperSrc w:first="0" w:other="0"/>
          <w:pgNumType w:fmt="decimal" w:start="4"/>
          <w:cols w:num="1" w:space="720"/>
          <w:docGrid w:linePitch="312"/>
        </w:sectPr>
      </w:pPr>
    </w:p>
    <w:p>
      <w:pPr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6</w:t>
      </w:r>
    </w:p>
    <w:p>
      <w:pPr>
        <w:topLinePunct/>
        <w:spacing w:line="500" w:lineRule="exact"/>
        <w:ind w:right="-57" w:firstLine="440" w:rightChars="-27" w:firstLineChars="100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四川省</w:t>
      </w:r>
      <w:r>
        <w:rPr>
          <w:rFonts w:ascii="Times New Roman" w:eastAsia="方正小标宋简体" w:hAnsi="Times New Roman"/>
          <w:kern w:val="0"/>
          <w:sz w:val="44"/>
          <w:szCs w:val="44"/>
        </w:rPr>
        <w:t>“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十三五</w:t>
      </w:r>
      <w:r>
        <w:rPr>
          <w:rFonts w:ascii="Times New Roman" w:eastAsia="方正小标宋简体" w:hAnsi="Times New Roman"/>
          <w:kern w:val="0"/>
          <w:sz w:val="44"/>
          <w:szCs w:val="44"/>
        </w:rPr>
        <w:t>”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主要大气污染物总量减排指标目标任务分解计划</w:t>
      </w:r>
    </w:p>
    <w:p>
      <w:pPr>
        <w:topLinePunct/>
        <w:autoSpaceDE w:val="0"/>
        <w:autoSpaceDN w:val="0"/>
        <w:adjustRightInd w:val="0"/>
        <w:spacing w:line="100" w:lineRule="exact"/>
        <w:rPr>
          <w:rFonts w:ascii="Times New Roman" w:eastAsia="方正小标宋简体" w:hAnsi="Times New Roman"/>
          <w:sz w:val="36"/>
          <w:szCs w:val="36"/>
        </w:rPr>
      </w:pPr>
    </w:p>
    <w:tbl>
      <w:tblPr>
        <w:tblW w:w="146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5"/>
        <w:gridCol w:w="1888"/>
        <w:gridCol w:w="1299"/>
        <w:gridCol w:w="2503"/>
        <w:gridCol w:w="2410"/>
        <w:gridCol w:w="1115"/>
        <w:gridCol w:w="2509"/>
        <w:gridCol w:w="2011"/>
      </w:tblGrid>
      <w:tr>
        <w:tblPrEx>
          <w:tblW w:w="1460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市（州）</w:t>
            </w:r>
          </w:p>
        </w:tc>
        <w:tc>
          <w:tcPr>
            <w:tcW w:w="569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二氧化硫</w:t>
            </w:r>
          </w:p>
        </w:tc>
        <w:tc>
          <w:tcPr>
            <w:tcW w:w="603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氮氧化物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挥发性有机物</w:t>
            </w:r>
          </w:p>
        </w:tc>
      </w:tr>
      <w:tr>
        <w:tblPrEx>
          <w:tblW w:w="14600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865" w:type="dxa"/>
            <w:vMerge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88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2015</w:t>
            </w:r>
            <w:r>
              <w:rPr>
                <w:rFonts w:ascii="Times New Roman" w:eastAsia="黑体" w:hAnsi="Times New Roman" w:hint="eastAsia"/>
                <w:kern w:val="0"/>
                <w:sz w:val="24"/>
              </w:rPr>
              <w:t>年排放量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（万吨）</w:t>
            </w:r>
          </w:p>
        </w:tc>
        <w:tc>
          <w:tcPr>
            <w:tcW w:w="380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2020</w:t>
            </w:r>
            <w:r>
              <w:rPr>
                <w:rFonts w:ascii="Times New Roman" w:eastAsia="黑体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2015</w:t>
            </w:r>
            <w:r>
              <w:rPr>
                <w:rFonts w:ascii="Times New Roman" w:eastAsia="黑体" w:hAnsi="Times New Roman" w:hint="eastAsia"/>
                <w:kern w:val="0"/>
                <w:sz w:val="24"/>
              </w:rPr>
              <w:t>年排放量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（万吨）</w:t>
            </w:r>
          </w:p>
        </w:tc>
        <w:tc>
          <w:tcPr>
            <w:tcW w:w="362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2020</w:t>
            </w:r>
            <w:r>
              <w:rPr>
                <w:rFonts w:ascii="Times New Roman" w:eastAsia="黑体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2020</w:t>
            </w:r>
            <w:r>
              <w:rPr>
                <w:rFonts w:ascii="Times New Roman" w:eastAsia="黑体" w:hAnsi="Times New Roman" w:hint="eastAsia"/>
                <w:kern w:val="0"/>
                <w:sz w:val="24"/>
              </w:rPr>
              <w:t>年</w:t>
            </w:r>
          </w:p>
        </w:tc>
      </w:tr>
      <w:tr>
        <w:tblPrEx>
          <w:tblW w:w="14600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865" w:type="dxa"/>
            <w:vMerge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888" w:type="dxa"/>
            <w:vMerge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减排比例（</w:t>
            </w:r>
            <w:r>
              <w:rPr>
                <w:rFonts w:ascii="Times New Roman" w:eastAsia="黑体" w:hAnsi="Times New Roman"/>
                <w:kern w:val="0"/>
                <w:sz w:val="24"/>
              </w:rPr>
              <w:t>%</w:t>
            </w:r>
            <w:r>
              <w:rPr>
                <w:rFonts w:ascii="Times New Roman" w:eastAsia="黑体" w:hAnsi="Times New Roman" w:hint="eastAsia"/>
                <w:kern w:val="0"/>
                <w:sz w:val="24"/>
              </w:rPr>
              <w:t>）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重点工程减排量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（万吨）</w:t>
            </w:r>
          </w:p>
        </w:tc>
        <w:tc>
          <w:tcPr>
            <w:tcW w:w="2410" w:type="dxa"/>
            <w:vMerge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减排比例（</w:t>
            </w:r>
            <w:r>
              <w:rPr>
                <w:rFonts w:ascii="Times New Roman" w:eastAsia="黑体" w:hAnsi="Times New Roman"/>
                <w:kern w:val="0"/>
                <w:sz w:val="24"/>
              </w:rPr>
              <w:t>%</w:t>
            </w:r>
            <w:r>
              <w:rPr>
                <w:rFonts w:ascii="Times New Roman" w:eastAsia="黑体" w:hAnsi="Times New Roman" w:hint="eastAsia"/>
                <w:kern w:val="0"/>
                <w:sz w:val="24"/>
              </w:rPr>
              <w:t>）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重点工程减排量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（万吨）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重点工程减排量（万吨）</w:t>
            </w:r>
          </w:p>
        </w:tc>
      </w:tr>
      <w:tr>
        <w:tblPrEx>
          <w:tblW w:w="14600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/>
          <w:jc w:val="center"/>
        </w:trPr>
        <w:tc>
          <w:tcPr>
            <w:tcW w:w="8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成都市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4.59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26.69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0.83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8.36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11.82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0.59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2.55</w:t>
            </w:r>
          </w:p>
        </w:tc>
      </w:tr>
      <w:tr>
        <w:tblPrEx>
          <w:tblW w:w="14600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自贡市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2.28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18.98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0.34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1.1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8.61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0.06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0.44</w:t>
            </w:r>
          </w:p>
        </w:tc>
      </w:tr>
      <w:tr>
        <w:tblPrEx>
          <w:tblW w:w="14600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攀枝花市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8.28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28.98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2.4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2.96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25.18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0.47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0.1</w:t>
            </w:r>
          </w:p>
        </w:tc>
      </w:tr>
      <w:tr>
        <w:tblPrEx>
          <w:tblW w:w="14600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/>
          <w:jc w:val="center"/>
        </w:trPr>
        <w:tc>
          <w:tcPr>
            <w:tcW w:w="8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泸州市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3.83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25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0.92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2.47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22.78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0.5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0.24</w:t>
            </w:r>
          </w:p>
        </w:tc>
      </w:tr>
      <w:tr>
        <w:tblPrEx>
          <w:tblW w:w="14600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德阳市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2.14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23.95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0.29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2.17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13.21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0.11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0.35</w:t>
            </w:r>
          </w:p>
        </w:tc>
      </w:tr>
      <w:tr>
        <w:tblPrEx>
          <w:tblW w:w="14600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绵阳市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3.86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17.15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0.13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3.21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16.23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0.27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0.43</w:t>
            </w:r>
          </w:p>
        </w:tc>
      </w:tr>
      <w:tr>
        <w:tblPrEx>
          <w:tblW w:w="14600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广元市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2.22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3.15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1.7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22.18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0.34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0.01</w:t>
            </w:r>
          </w:p>
        </w:tc>
      </w:tr>
      <w:tr>
        <w:tblPrEx>
          <w:tblW w:w="14600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遂宁市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0.81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26.5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0.07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0.85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7.98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0.31</w:t>
            </w:r>
          </w:p>
        </w:tc>
      </w:tr>
      <w:tr>
        <w:tblPrEx>
          <w:tblW w:w="14600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内江市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7.92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25.72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1.9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3.76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10.18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0.33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0.17</w:t>
            </w:r>
          </w:p>
        </w:tc>
      </w:tr>
      <w:tr>
        <w:tblPrEx>
          <w:tblW w:w="14600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乐山市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4.84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28.9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0.73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5.54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19.21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0.94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0.31</w:t>
            </w:r>
          </w:p>
        </w:tc>
      </w:tr>
      <w:tr>
        <w:tblPrEx>
          <w:tblW w:w="14600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南充市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1.34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6.22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1.67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4.00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0.43</w:t>
            </w:r>
          </w:p>
        </w:tc>
      </w:tr>
      <w:tr>
        <w:tblPrEx>
          <w:tblW w:w="14600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眉山市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2.22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25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0.19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2.52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9.89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0.1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0.3</w:t>
            </w:r>
          </w:p>
        </w:tc>
      </w:tr>
      <w:tr>
        <w:tblPrEx>
          <w:tblW w:w="14600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宜宾市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8.41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16.37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1.22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3.71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27.52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0.65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0.08</w:t>
            </w:r>
          </w:p>
        </w:tc>
      </w:tr>
      <w:tr>
        <w:tblPrEx>
          <w:tblW w:w="14600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/>
          <w:jc w:val="center"/>
        </w:trPr>
        <w:tc>
          <w:tcPr>
            <w:tcW w:w="8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广安市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5.25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27.38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1.21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3.4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27.92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0.76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0.18</w:t>
            </w:r>
          </w:p>
        </w:tc>
      </w:tr>
      <w:tr>
        <w:tblPrEx>
          <w:tblW w:w="14600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达州市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4.98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10.83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0.54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4.01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27.29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0.1</w:t>
            </w:r>
          </w:p>
        </w:tc>
      </w:tr>
      <w:tr>
        <w:tblPrEx>
          <w:tblW w:w="14600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雅安市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0.62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15.66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1.16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17.16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0.15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0.02</w:t>
            </w:r>
          </w:p>
        </w:tc>
      </w:tr>
      <w:tr>
        <w:tblPrEx>
          <w:tblW w:w="14600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巴中市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0.38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1.64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0.63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18.97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0.1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0.03</w:t>
            </w:r>
          </w:p>
        </w:tc>
      </w:tr>
      <w:tr>
        <w:tblPrEx>
          <w:tblW w:w="14600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资阳市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0.72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5.19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0.49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8.74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0.01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0.18</w:t>
            </w:r>
          </w:p>
        </w:tc>
      </w:tr>
      <w:tr>
        <w:tblPrEx>
          <w:tblW w:w="14600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阿坝州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0.94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0.42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1.1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2.44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0.01</w:t>
            </w:r>
          </w:p>
        </w:tc>
      </w:tr>
      <w:tr>
        <w:tblPrEx>
          <w:tblW w:w="14600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甘孜州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0.13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0.5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8.35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0.02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</w:t>
            </w:r>
          </w:p>
        </w:tc>
      </w:tr>
      <w:tr>
        <w:tblPrEx>
          <w:tblW w:w="14600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凉山州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5.99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13.58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0.73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2.12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8.13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0.1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0.02</w:t>
            </w:r>
          </w:p>
        </w:tc>
      </w:tr>
    </w:tbl>
    <w:p>
      <w:pPr>
        <w:widowControl w:val="0"/>
        <w:wordWrap/>
        <w:topLinePunct/>
        <w:adjustRightInd/>
        <w:snapToGrid/>
        <w:spacing w:before="0" w:after="0" w:line="0" w:lineRule="atLeast"/>
        <w:ind w:left="0" w:right="0" w:firstLine="0" w:leftChars="0" w:firstLineChars="0"/>
        <w:jc w:val="both"/>
        <w:textAlignment w:val="auto"/>
        <w:outlineLvl w:val="9"/>
        <w:rPr>
          <w:rFonts w:ascii="Times New Roman" w:hAnsi="Times New Roman"/>
        </w:rPr>
      </w:pPr>
    </w:p>
    <w:sectPr>
      <w:footerReference w:type="even" r:id="rId11"/>
      <w:footerReference w:type="default" r:id="rId12"/>
      <w:footerReference w:type="first" r:id="rId13"/>
      <w:pgSz w:w="16838" w:h="11906" w:orient="landscape"/>
      <w:pgMar w:top="1134" w:right="1134" w:bottom="1134" w:left="1134" w:header="851" w:footer="1418" w:gutter="0"/>
      <w:pgNumType w:fmt="decimal"/>
      <w:cols w:num="1" w:space="720"/>
      <w:titlePg/>
      <w:docGrid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ind w:left="210" w:right="210" w:leftChars="100" w:rightChars="100"/>
      <w:rPr>
        <w:rFonts w:ascii="宋体"/>
        <w:sz w:val="28"/>
        <w:szCs w:val="28"/>
      </w:rPr>
    </w:pPr>
    <w:r>
      <w:rPr>
        <w:rFonts w:ascii="Calibri" w:eastAsia="宋体" w:hAnsi="Calibri" w:cs="Times New Roman"/>
        <w:kern w:val="2"/>
        <w:sz w:val="28"/>
        <w:szCs w:val="18"/>
        <w:lang w:val="en-US"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4" o:spid="_x0000_s2050" type="#_x0000_t202" style="width:2in;height:2in;margin-top:0;margin-left:0;mso-position-horizontal:outside;mso-position-horizontal-relative:margin;mso-wrap-style:none;position:absolute;z-index:251659264" coordorigin="0,0" coordsize="21600,21600" o:preferrelative="t" filled="f" fillcolor="white" stroked="f">
          <v:fill color2="white" focus="0"/>
          <o:lock v:ext="edit" aspectratio="f"/>
          <v:textbox style="mso-fit-shape-to-text:t" inset="0,0,0,0">
            <w:txbxContent>
              <w:p>
                <w:pPr>
                  <w:pStyle w:val="Footer"/>
                  <w:ind w:left="210" w:right="210" w:leftChars="100" w:rightChars="100"/>
                </w:pPr>
                <w:r>
                  <w:rPr>
                    <w:rFonts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</w:rPr>
                  <w:fldChar w:fldCharType="separate"/>
                </w:r>
                <w:r>
                  <w:t>4</w:t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ind w:left="210" w:right="210" w:leftChars="100" w:rightChars="100"/>
      <w:jc w:val="right"/>
      <w:rPr>
        <w:rFonts w:ascii="宋体"/>
        <w:sz w:val="28"/>
        <w:szCs w:val="28"/>
      </w:rPr>
    </w:pPr>
    <w:r>
      <w:rPr>
        <w:rFonts w:ascii="Calibri" w:eastAsia="宋体" w:hAnsi="Calibri" w:cs="Times New Roman"/>
        <w:kern w:val="2"/>
        <w:sz w:val="28"/>
        <w:szCs w:val="18"/>
        <w:lang w:val="en-US"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3" o:spid="_x0000_s2049" type="#_x0000_t202" style="width:2in;height:2in;margin-top:0;margin-left:0;mso-position-horizontal:outside;mso-position-horizontal-relative:margin;mso-wrap-style:none;position:absolute;z-index:251658240" coordorigin="0,0" coordsize="21600,21600" o:preferrelative="t" filled="f" fillcolor="white" stroked="f">
          <v:fill color2="white" focus="0"/>
          <o:lock v:ext="edit" aspectratio="f"/>
          <v:textbox style="mso-fit-shape-to-text:t" inset="0,0,0,0">
            <w:txbxContent>
              <w:p>
                <w:pPr>
                  <w:pStyle w:val="Footer"/>
                  <w:ind w:left="210" w:right="210" w:leftChars="100" w:rightChars="100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</w:rPr>
                  <w:fldChar w:fldCharType="separate"/>
                </w:r>
                <w:r>
                  <w:t>5</w:t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ind w:left="210" w:leftChars="100"/>
      <w:rPr>
        <w:rFonts w:ascii="宋体"/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ind w:left="210" w:firstLine="560" w:leftChars="100"/>
      <w:jc w:val="center"/>
      <w:rPr>
        <w:rFonts w:ascii="宋体"/>
        <w:sz w:val="28"/>
        <w:szCs w:val="28"/>
      </w:rPr>
    </w:pPr>
    <w:r>
      <w:rPr>
        <w:rFonts w:ascii="Calibri" w:eastAsia="宋体" w:hAnsi="Calibri" w:cs="Times New Roman"/>
        <w:kern w:val="2"/>
        <w:sz w:val="28"/>
        <w:szCs w:val="18"/>
        <w:lang w:val="en-US"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5" o:spid="_x0000_s2053" type="#_x0000_t202" style="width:2in;height:2in;margin-top:0;margin-left:0;mso-position-horizontal:center;mso-position-horizontal-relative:margin;mso-wrap-style:none;position:absolute;z-index:251660288" coordorigin="0,0" coordsize="21600,21600" o:preferrelative="t" filled="f" fillcolor="white" stroked="f">
          <v:fill color2="white" focus="0"/>
          <o:lock v:ext="edit" aspectratio="f"/>
          <v:textbox style="mso-fit-shape-to-text:t" inset="0,0,0,0">
            <w:txbxContent>
              <w:p>
                <w:pPr>
                  <w:pStyle w:val="Footer"/>
                  <w:ind w:left="210" w:firstLine="560" w:leftChars="100"/>
                  <w:jc w:val="center"/>
                </w:pPr>
                <w:r>
                  <w:rPr>
                    <w:rFonts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t>4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ind w:left="210" w:right="210" w:leftChars="100" w:rightChars="100"/>
      <w:jc w:val="right"/>
      <w:rPr>
        <w:rFonts w:ascii="宋体"/>
        <w:sz w:val="28"/>
        <w:szCs w:val="28"/>
      </w:rPr>
    </w:pPr>
    <w:r>
      <w:rPr>
        <w:rFonts w:ascii="Calibri" w:eastAsia="宋体" w:hAnsi="Calibri" w:cs="Times New Roman"/>
        <w:kern w:val="2"/>
        <w:sz w:val="28"/>
        <w:szCs w:val="18"/>
        <w:lang w:val="en-US"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3" o:spid="_x0000_s2052" type="#_x0000_t202" style="width:2in;height:2in;margin-top:0;margin-left:0;mso-position-horizontal:center;mso-position-horizontal-relative:margin;mso-wrap-style:none;position:absolute;z-index:251662336" coordorigin="0,0" coordsize="21600,21600" o:preferrelative="t" filled="f" fillcolor="white" stroked="f">
          <v:fill color2="white" focus="0"/>
          <o:lock v:ext="edit" aspectratio="f"/>
          <v:textbox style="mso-fit-shape-to-text:t" inset="0,0,0,0">
            <w:txbxContent>
              <w:p>
                <w:pPr>
                  <w:pStyle w:val="Footer"/>
                  <w:ind w:left="210" w:right="210" w:leftChars="100" w:rightChars="100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</w:rPr>
                  <w:fldChar w:fldCharType="separate"/>
                </w:r>
                <w:r>
                  <w:t>4</w:t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ind w:left="210" w:firstLine="560" w:leftChars="100"/>
      <w:jc w:val="center"/>
      <w:rPr>
        <w:rFonts w:ascii="宋体"/>
        <w:sz w:val="28"/>
        <w:szCs w:val="28"/>
      </w:rPr>
    </w:pPr>
    <w:r>
      <w:rPr>
        <w:rFonts w:ascii="Calibri" w:eastAsia="宋体" w:hAnsi="Calibri" w:cs="Times New Roman"/>
        <w:kern w:val="2"/>
        <w:sz w:val="28"/>
        <w:szCs w:val="18"/>
        <w:lang w:val="en-US"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6" o:spid="_x0000_s2051" type="#_x0000_t202" style="width:2in;height:2in;margin-top:0;margin-left:0;mso-position-horizontal:center;mso-position-horizontal-relative:margin;mso-wrap-style:none;position:absolute;z-index:251661312" coordorigin="0,0" coordsize="21600,21600" o:preferrelative="t" filled="f" fillcolor="white" stroked="f">
          <v:fill color2="white" focus="0"/>
          <o:lock v:ext="edit" aspectratio="f"/>
          <v:textbox style="mso-fit-shape-to-text:t" inset="0,0,0,0">
            <w:txbxContent>
              <w:p>
                <w:pPr>
                  <w:pStyle w:val="Footer"/>
                  <w:ind w:left="210" w:firstLine="560" w:leftChars="100"/>
                  <w:jc w:val="center"/>
                </w:pPr>
                <w:r>
                  <w:rPr>
                    <w:rFonts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t>9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top w:val="none" w:sz="0" w:space="0" w:color="auto"/>
        <w:left w:val="none" w:sz="0" w:space="0" w:color="auto"/>
        <w:bottom w:val="none" w:sz="0" w:space="1" w:color="auto"/>
        <w:right w:val="none" w:sz="0" w:space="0" w:color="auto"/>
        <w:between w:val="none" w:sz="0" w:space="0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top w:val="none" w:sz="0" w:space="0" w:color="auto"/>
        <w:left w:val="none" w:sz="0" w:space="0" w:color="auto"/>
        <w:bottom w:val="none" w:sz="0" w:space="1" w:color="auto"/>
        <w:right w:val="none" w:sz="0" w:space="0" w:color="auto"/>
        <w:between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semiHidden="0" w:unhideWhenUsed="0"/>
    <w:lsdException w:name="footer" w:semiHidden="0" w:unhideWhenUsed="0"/>
    <w:lsdException w:name="index heading" w:uiPriority="0"/>
    <w:lsdException w:name="caption" w:locked="1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locked="1" w:semiHidden="0" w:uiPriority="0" w:unhideWhenUsed="0" w:qFormat="1"/>
    <w:lsdException w:name="Closing" w:uiPriority="0"/>
    <w:lsdException w:name="Signature" w:uiPriority="0"/>
    <w:lsdException w:name="Default Paragraph Font" w:unhideWhenUsed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locked="1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semiHidden="0" w:unhideWhenUsed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Balloon Text" w:semiHidden="0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Char"/>
    <w:uiPriority w:val="99"/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2D374B"/>
      <w:u w:val="none"/>
    </w:rPr>
  </w:style>
  <w:style w:type="character" w:styleId="Hyperlink">
    <w:name w:val="Hyperlink"/>
    <w:basedOn w:val="DefaultParagraphFont"/>
    <w:uiPriority w:val="99"/>
    <w:rPr>
      <w:rFonts w:cs="Times New Roman"/>
      <w:color w:val="2D374B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BalloonTextCharChar">
    <w:name w:val="Balloon Text Char Char"/>
    <w:basedOn w:val="DefaultParagraphFont"/>
    <w:link w:val="BalloonText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ico">
    <w:name w:val="ico"/>
    <w:basedOn w:val="DefaultParagraphFont"/>
    <w:uiPriority w:val="99"/>
    <w:rPr>
      <w:rFonts w:cs="Times New Roman"/>
    </w:rPr>
  </w:style>
  <w:style w:type="character" w:customStyle="1" w:styleId="ico1">
    <w:name w:val="ico1"/>
    <w:basedOn w:val="DefaultParagraphFont"/>
    <w:uiPriority w:val="99"/>
    <w:rPr>
      <w:rFonts w:cs="Times New Roman"/>
    </w:rPr>
  </w:style>
  <w:style w:type="character" w:customStyle="1" w:styleId="active">
    <w:name w:val="active"/>
    <w:basedOn w:val="DefaultParagraphFont"/>
    <w:uiPriority w:val="99"/>
    <w:rPr>
      <w:rFonts w:cs="Times New Roman"/>
      <w:bdr w:val="single" w:sz="6" w:space="0" w:color="396B90"/>
      <w:shd w:val="clear" w:color="auto" w:fill="59A2D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footer" Target="footer4.xml" /><Relationship Id="rId12" Type="http://schemas.openxmlformats.org/officeDocument/2006/relationships/footer" Target="footer5.xml" /><Relationship Id="rId13" Type="http://schemas.openxmlformats.org/officeDocument/2006/relationships/footer" Target="footer6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  <customShpInfo spid="_x0000_s1026" textRotate="1"/>
    <customShpInfo spid="_x0000_s1027" textRotate="1"/>
    <customShpInfo spid="_x0000_s1028" textRotate="1"/>
    <customShpInfo spid="_x0000_s102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875</Words>
  <Characters>4993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2017-02-28T09:34:05Z</cp:lastPrinted>
  <dcterms:created xsi:type="dcterms:W3CDTF">2017-02-28T04:32:00Z</dcterms:created>
  <dcterms:modified xsi:type="dcterms:W3CDTF">2017-02-28T09:34:12Z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