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7 -->
  <w:body>
    <w:p>
      <w:pPr>
        <w:jc w:val="left"/>
        <w:rPr>
          <w:rStyle w:val="Strong"/>
          <w:rFonts w:ascii="黑体" w:eastAsia="黑体" w:hAnsi="黑体"/>
          <w:b w:val="0"/>
          <w:bCs/>
          <w:sz w:val="32"/>
          <w:szCs w:val="32"/>
        </w:rPr>
      </w:pPr>
      <w:r>
        <w:rPr>
          <w:rStyle w:val="Strong"/>
          <w:rFonts w:ascii="黑体" w:eastAsia="黑体" w:hAnsi="黑体" w:hint="eastAsia"/>
          <w:b w:val="0"/>
          <w:bCs/>
          <w:sz w:val="32"/>
          <w:szCs w:val="32"/>
        </w:rPr>
        <w:t>附件</w:t>
      </w:r>
    </w:p>
    <w:p>
      <w:pPr>
        <w:jc w:val="left"/>
        <w:rPr>
          <w:rStyle w:val="Strong"/>
          <w:rFonts w:ascii="黑体" w:eastAsia="黑体" w:hAnsi="黑体"/>
          <w:b w:val="0"/>
          <w:bCs/>
          <w:sz w:val="32"/>
          <w:szCs w:val="32"/>
        </w:rPr>
      </w:pPr>
    </w:p>
    <w:p>
      <w:pPr>
        <w:pStyle w:val="NormalWeb"/>
        <w:widowControl/>
        <w:spacing w:before="0" w:beforeAutospacing="0" w:after="0" w:afterAutospacing="0" w:line="600" w:lineRule="exact"/>
        <w:jc w:val="center"/>
        <w:rPr>
          <w:rStyle w:val="Strong"/>
          <w:rFonts w:ascii="方正小标宋简体" w:eastAsia="方正小标宋简体"/>
          <w:b w:val="0"/>
          <w:bCs/>
          <w:sz w:val="44"/>
          <w:szCs w:val="44"/>
        </w:rPr>
      </w:pPr>
      <w:r>
        <w:rPr>
          <w:rStyle w:val="Strong"/>
          <w:rFonts w:ascii="方正小标宋简体" w:eastAsia="方正小标宋简体" w:hint="eastAsia"/>
          <w:b w:val="0"/>
          <w:bCs/>
          <w:sz w:val="44"/>
          <w:szCs w:val="44"/>
        </w:rPr>
        <w:t>四川省畜禽养殖废弃物资源化利用</w:t>
      </w:r>
    </w:p>
    <w:p>
      <w:pPr>
        <w:pStyle w:val="NormalWeb"/>
        <w:widowControl/>
        <w:spacing w:before="0" w:beforeAutospacing="0" w:after="158" w:afterLines="50" w:afterAutospacing="0" w:line="600" w:lineRule="exact"/>
        <w:jc w:val="center"/>
        <w:rPr>
          <w:rFonts w:ascii="方正小标宋简体" w:eastAsia="方正小标宋简体"/>
          <w:b w:val="0"/>
          <w:bCs/>
          <w:sz w:val="44"/>
          <w:szCs w:val="44"/>
        </w:rPr>
      </w:pPr>
      <w:bookmarkStart w:id="0" w:name="_GoBack"/>
      <w:bookmarkEnd w:id="0"/>
      <w:r>
        <w:rPr>
          <w:rStyle w:val="Strong"/>
          <w:rFonts w:ascii="方正小标宋简体" w:eastAsia="方正小标宋简体" w:hint="eastAsia"/>
          <w:b w:val="0"/>
          <w:bCs/>
          <w:sz w:val="44"/>
          <w:szCs w:val="44"/>
        </w:rPr>
        <w:t>重点工作任务清单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57"/>
        <w:gridCol w:w="4513"/>
        <w:gridCol w:w="850"/>
        <w:gridCol w:w="851"/>
        <w:gridCol w:w="836"/>
        <w:gridCol w:w="915"/>
      </w:tblGrid>
      <w:tr>
        <w:tblPrEx>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blHeader/>
          <w:jc w:val="center"/>
        </w:trPr>
        <w:tc>
          <w:tcPr>
            <w:tcW w:w="557" w:type="dxa"/>
            <w:vAlign w:val="center"/>
          </w:tcPr>
          <w:p>
            <w:pPr>
              <w:spacing w:line="400" w:lineRule="exact"/>
              <w:jc w:val="center"/>
              <w:rPr>
                <w:rFonts w:ascii="宋体" w:hAnsi="宋体"/>
                <w:b w:val="0"/>
                <w:bCs/>
                <w:sz w:val="28"/>
                <w:szCs w:val="28"/>
              </w:rPr>
            </w:pPr>
            <w:r>
              <w:rPr>
                <w:rFonts w:ascii="宋体" w:hAnsi="宋体" w:hint="eastAsia"/>
                <w:b w:val="0"/>
                <w:bCs/>
                <w:sz w:val="28"/>
                <w:szCs w:val="28"/>
              </w:rPr>
              <w:t>序号</w:t>
            </w:r>
          </w:p>
        </w:tc>
        <w:tc>
          <w:tcPr>
            <w:tcW w:w="4513" w:type="dxa"/>
            <w:vAlign w:val="center"/>
          </w:tcPr>
          <w:p>
            <w:pPr>
              <w:spacing w:line="400" w:lineRule="exact"/>
              <w:jc w:val="center"/>
              <w:rPr>
                <w:rFonts w:ascii="宋体" w:hAnsi="宋体"/>
                <w:b w:val="0"/>
                <w:bCs/>
                <w:sz w:val="28"/>
                <w:szCs w:val="28"/>
              </w:rPr>
            </w:pPr>
            <w:r>
              <w:rPr>
                <w:rFonts w:ascii="宋体" w:hAnsi="宋体" w:hint="eastAsia"/>
                <w:b w:val="0"/>
                <w:bCs/>
                <w:sz w:val="28"/>
                <w:szCs w:val="28"/>
              </w:rPr>
              <w:t>主要任务</w:t>
            </w:r>
          </w:p>
        </w:tc>
        <w:tc>
          <w:tcPr>
            <w:tcW w:w="850" w:type="dxa"/>
            <w:vAlign w:val="center"/>
          </w:tcPr>
          <w:p>
            <w:pPr>
              <w:spacing w:line="400" w:lineRule="exact"/>
              <w:jc w:val="center"/>
              <w:rPr>
                <w:rFonts w:ascii="宋体" w:hAnsi="宋体"/>
                <w:b w:val="0"/>
                <w:bCs/>
                <w:sz w:val="28"/>
                <w:szCs w:val="28"/>
              </w:rPr>
            </w:pPr>
            <w:r>
              <w:rPr>
                <w:rFonts w:ascii="宋体" w:hAnsi="宋体" w:hint="eastAsia"/>
                <w:b w:val="0"/>
                <w:bCs/>
                <w:sz w:val="28"/>
                <w:szCs w:val="28"/>
              </w:rPr>
              <w:t>牵头部门</w:t>
            </w:r>
          </w:p>
        </w:tc>
        <w:tc>
          <w:tcPr>
            <w:tcW w:w="851" w:type="dxa"/>
            <w:vAlign w:val="center"/>
          </w:tcPr>
          <w:p>
            <w:pPr>
              <w:spacing w:line="400" w:lineRule="exact"/>
              <w:jc w:val="center"/>
              <w:rPr>
                <w:rFonts w:ascii="宋体" w:hAnsi="宋体"/>
                <w:b w:val="0"/>
                <w:bCs/>
                <w:sz w:val="28"/>
                <w:szCs w:val="28"/>
              </w:rPr>
            </w:pPr>
            <w:r>
              <w:rPr>
                <w:rFonts w:ascii="宋体" w:hAnsi="宋体" w:hint="eastAsia"/>
                <w:b w:val="0"/>
                <w:bCs/>
                <w:sz w:val="28"/>
                <w:szCs w:val="28"/>
              </w:rPr>
              <w:t>参与部门</w:t>
            </w:r>
          </w:p>
        </w:tc>
        <w:tc>
          <w:tcPr>
            <w:tcW w:w="836" w:type="dxa"/>
            <w:vAlign w:val="center"/>
          </w:tcPr>
          <w:p>
            <w:pPr>
              <w:spacing w:line="400" w:lineRule="exact"/>
              <w:jc w:val="center"/>
              <w:rPr>
                <w:rFonts w:ascii="宋体" w:hAnsi="宋体"/>
                <w:b w:val="0"/>
                <w:bCs/>
                <w:sz w:val="28"/>
                <w:szCs w:val="28"/>
              </w:rPr>
            </w:pPr>
            <w:r>
              <w:rPr>
                <w:rFonts w:ascii="宋体" w:hAnsi="宋体" w:hint="eastAsia"/>
                <w:b w:val="0"/>
                <w:bCs/>
                <w:sz w:val="28"/>
                <w:szCs w:val="28"/>
              </w:rPr>
              <w:t>责任单位</w:t>
            </w:r>
          </w:p>
        </w:tc>
        <w:tc>
          <w:tcPr>
            <w:tcW w:w="915" w:type="dxa"/>
            <w:vAlign w:val="center"/>
          </w:tcPr>
          <w:p>
            <w:pPr>
              <w:spacing w:line="400" w:lineRule="exact"/>
              <w:jc w:val="center"/>
              <w:rPr>
                <w:rFonts w:ascii="宋体" w:hAnsi="宋体"/>
                <w:b w:val="0"/>
                <w:bCs/>
                <w:sz w:val="28"/>
                <w:szCs w:val="28"/>
              </w:rPr>
            </w:pPr>
            <w:r>
              <w:rPr>
                <w:rFonts w:ascii="宋体" w:hAnsi="宋体" w:hint="eastAsia"/>
                <w:b w:val="0"/>
                <w:bCs/>
                <w:sz w:val="28"/>
                <w:szCs w:val="28"/>
              </w:rPr>
              <w:t>完成年限</w:t>
            </w:r>
          </w:p>
        </w:tc>
      </w:tr>
      <w:tr>
        <w:tblPrEx>
          <w:tblW w:w="8522" w:type="dxa"/>
          <w:jc w:val="center"/>
          <w:tblLayout w:type="fixed"/>
          <w:tblCellMar>
            <w:top w:w="0" w:type="dxa"/>
            <w:left w:w="108" w:type="dxa"/>
            <w:bottom w:w="0" w:type="dxa"/>
            <w:right w:w="108" w:type="dxa"/>
          </w:tblCellMar>
        </w:tblPrEx>
        <w:trPr>
          <w:trHeight w:val="3613"/>
          <w:jc w:val="center"/>
        </w:trPr>
        <w:tc>
          <w:tcPr>
            <w:tcW w:w="8522" w:type="dxa"/>
            <w:gridSpan w:val="6"/>
            <w:vAlign w:val="top"/>
          </w:tcPr>
          <w:p>
            <w:pPr>
              <w:spacing w:line="400" w:lineRule="exact"/>
              <w:rPr>
                <w:rFonts w:ascii="宋体" w:hAnsi="宋体"/>
                <w:b w:val="0"/>
                <w:bCs/>
                <w:sz w:val="32"/>
                <w:szCs w:val="32"/>
              </w:rPr>
            </w:pPr>
            <w:r>
              <w:rPr>
                <w:rFonts w:ascii="宋体" w:hAnsi="宋体" w:hint="eastAsia"/>
                <w:b w:val="0"/>
                <w:bCs/>
                <w:sz w:val="22"/>
                <w:szCs w:val="22"/>
              </w:rPr>
              <w:t>主要目标：到</w:t>
            </w:r>
            <w:r>
              <w:rPr>
                <w:rFonts w:ascii="宋体" w:hAnsi="宋体"/>
                <w:b w:val="0"/>
                <w:bCs/>
                <w:sz w:val="22"/>
                <w:szCs w:val="22"/>
              </w:rPr>
              <w:t>2020</w:t>
            </w:r>
            <w:r>
              <w:rPr>
                <w:rFonts w:ascii="宋体" w:hAnsi="宋体" w:hint="eastAsia"/>
                <w:b w:val="0"/>
                <w:bCs/>
                <w:sz w:val="22"/>
                <w:szCs w:val="22"/>
              </w:rPr>
              <w:t>年，建立科学规范、权责清晰、约束有力的畜禽养殖废弃物资源化利用制度，构建种养结合循环发展机制。全省创建</w:t>
            </w:r>
            <w:r>
              <w:rPr>
                <w:rFonts w:ascii="宋体" w:hAnsi="宋体"/>
                <w:b w:val="0"/>
                <w:bCs/>
                <w:sz w:val="22"/>
                <w:szCs w:val="22"/>
              </w:rPr>
              <w:t>10</w:t>
            </w:r>
            <w:r>
              <w:rPr>
                <w:rFonts w:ascii="宋体" w:hAnsi="宋体" w:hint="eastAsia"/>
                <w:b w:val="0"/>
                <w:bCs/>
                <w:sz w:val="22"/>
                <w:szCs w:val="22"/>
              </w:rPr>
              <w:t>个国家畜牧业绿色发展示范县，每年创建部省级标准化示范场</w:t>
            </w:r>
            <w:r>
              <w:rPr>
                <w:rFonts w:ascii="宋体" w:hAnsi="宋体"/>
                <w:b w:val="0"/>
                <w:bCs/>
                <w:sz w:val="22"/>
                <w:szCs w:val="22"/>
              </w:rPr>
              <w:t>100</w:t>
            </w:r>
            <w:r>
              <w:rPr>
                <w:rFonts w:ascii="宋体" w:hAnsi="宋体" w:hint="eastAsia"/>
                <w:b w:val="0"/>
                <w:bCs/>
                <w:sz w:val="22"/>
                <w:szCs w:val="22"/>
              </w:rPr>
              <w:t>个，每年选择</w:t>
            </w:r>
            <w:r>
              <w:rPr>
                <w:rFonts w:ascii="宋体" w:hAnsi="宋体"/>
                <w:b w:val="0"/>
                <w:bCs/>
                <w:sz w:val="22"/>
                <w:szCs w:val="22"/>
              </w:rPr>
              <w:t>10</w:t>
            </w:r>
            <w:r>
              <w:rPr>
                <w:rFonts w:ascii="宋体" w:hAnsi="宋体" w:hint="eastAsia"/>
                <w:b w:val="0"/>
                <w:bCs/>
                <w:sz w:val="22"/>
                <w:szCs w:val="22"/>
              </w:rPr>
              <w:t>个县（市、区）开展省级畜禽粪污资源化利用重点县项目整县推进试点。全省畜禽粪污综合利用率达到</w:t>
            </w:r>
            <w:r>
              <w:rPr>
                <w:rFonts w:ascii="宋体" w:hAnsi="宋体"/>
                <w:b w:val="0"/>
                <w:bCs/>
                <w:sz w:val="22"/>
                <w:szCs w:val="22"/>
              </w:rPr>
              <w:t>75%</w:t>
            </w:r>
            <w:r>
              <w:rPr>
                <w:rFonts w:ascii="宋体" w:hAnsi="宋体" w:hint="eastAsia"/>
                <w:b w:val="0"/>
                <w:bCs/>
                <w:sz w:val="22"/>
                <w:szCs w:val="22"/>
              </w:rPr>
              <w:t>以上，规模养殖场粪污处理设施装备配套率达到</w:t>
            </w:r>
            <w:r>
              <w:rPr>
                <w:rFonts w:ascii="宋体" w:hAnsi="宋体"/>
                <w:b w:val="0"/>
                <w:bCs/>
                <w:sz w:val="22"/>
                <w:szCs w:val="22"/>
              </w:rPr>
              <w:t>95%</w:t>
            </w:r>
            <w:r>
              <w:rPr>
                <w:rFonts w:ascii="宋体" w:hAnsi="宋体" w:hint="eastAsia"/>
                <w:b w:val="0"/>
                <w:bCs/>
                <w:sz w:val="22"/>
                <w:szCs w:val="22"/>
              </w:rPr>
              <w:t>以上，大型规模养殖场粪污处理设施装备配套率提前</w:t>
            </w:r>
            <w:r>
              <w:rPr>
                <w:rFonts w:ascii="宋体" w:hAnsi="宋体"/>
                <w:b w:val="0"/>
                <w:bCs/>
                <w:sz w:val="22"/>
                <w:szCs w:val="22"/>
              </w:rPr>
              <w:t>1</w:t>
            </w:r>
            <w:r>
              <w:rPr>
                <w:rFonts w:ascii="宋体" w:hAnsi="宋体" w:hint="eastAsia"/>
                <w:b w:val="0"/>
                <w:bCs/>
                <w:sz w:val="22"/>
                <w:szCs w:val="22"/>
              </w:rPr>
              <w:t>年达到</w:t>
            </w:r>
            <w:r>
              <w:rPr>
                <w:rFonts w:ascii="宋体" w:hAnsi="宋体"/>
                <w:b w:val="0"/>
                <w:bCs/>
                <w:sz w:val="22"/>
                <w:szCs w:val="22"/>
              </w:rPr>
              <w:t>100%</w:t>
            </w:r>
            <w:r>
              <w:rPr>
                <w:rFonts w:ascii="宋体" w:hAnsi="宋体" w:hint="eastAsia"/>
                <w:b w:val="0"/>
                <w:bCs/>
                <w:sz w:val="22"/>
                <w:szCs w:val="22"/>
              </w:rPr>
              <w:t>，畜禽粪污基本实现资源化利用。病死畜禽全面实现集中收集、统一无害化处理。畜牧大县、国家现代农业示范区、农业可持续发展试验示范区、畜禽养殖废弃物资源化利用试点县、现代农业产业园、现代农业示范县、现代农业畜牧业重点县、省级现代农业产业融合示范园区和全省“四区四基地”率先实现上述目标。</w:t>
            </w:r>
          </w:p>
        </w:tc>
      </w:tr>
      <w:tr>
        <w:tblPrEx>
          <w:tblW w:w="8522" w:type="dxa"/>
          <w:jc w:val="center"/>
          <w:tblLayout w:type="fixed"/>
          <w:tblCellMar>
            <w:top w:w="0" w:type="dxa"/>
            <w:left w:w="108" w:type="dxa"/>
            <w:bottom w:w="0" w:type="dxa"/>
            <w:right w:w="108" w:type="dxa"/>
          </w:tblCellMar>
        </w:tblPrEx>
        <w:trPr>
          <w:trHeight w:val="1411"/>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1</w:t>
            </w:r>
          </w:p>
        </w:tc>
        <w:tc>
          <w:tcPr>
            <w:tcW w:w="4513" w:type="dxa"/>
            <w:vAlign w:val="top"/>
          </w:tcPr>
          <w:p>
            <w:pPr>
              <w:spacing w:line="400" w:lineRule="exact"/>
              <w:rPr>
                <w:rFonts w:ascii="宋体" w:hAnsi="宋体"/>
                <w:b w:val="0"/>
                <w:bCs/>
                <w:sz w:val="22"/>
              </w:rPr>
            </w:pPr>
            <w:r>
              <w:rPr>
                <w:rFonts w:ascii="宋体" w:hAnsi="宋体"/>
                <w:b w:val="0"/>
                <w:bCs/>
                <w:sz w:val="22"/>
                <w:szCs w:val="22"/>
              </w:rPr>
              <w:t>2017</w:t>
            </w:r>
            <w:r>
              <w:rPr>
                <w:rFonts w:ascii="宋体" w:hAnsi="宋体" w:hint="eastAsia"/>
                <w:b w:val="0"/>
                <w:bCs/>
                <w:sz w:val="22"/>
                <w:szCs w:val="22"/>
              </w:rPr>
              <w:t>年底前制定并公布畜禽养殖废弃物资源化利用工作方案，细化分年度重点任务和工作清单，并抄送农业厅备案。</w:t>
            </w:r>
          </w:p>
        </w:tc>
        <w:tc>
          <w:tcPr>
            <w:tcW w:w="850" w:type="dxa"/>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各市（州）人民政府</w:t>
            </w:r>
          </w:p>
        </w:tc>
        <w:tc>
          <w:tcPr>
            <w:tcW w:w="851" w:type="dxa"/>
            <w:vAlign w:val="center"/>
          </w:tcPr>
          <w:p>
            <w:pPr>
              <w:spacing w:line="400" w:lineRule="exact"/>
              <w:rPr>
                <w:rFonts w:ascii="宋体" w:hAnsi="宋体"/>
                <w:b w:val="0"/>
                <w:bCs/>
                <w:sz w:val="22"/>
              </w:rPr>
            </w:pPr>
          </w:p>
        </w:tc>
        <w:tc>
          <w:tcPr>
            <w:tcW w:w="836" w:type="dxa"/>
            <w:vAlign w:val="center"/>
          </w:tcPr>
          <w:p>
            <w:pPr>
              <w:spacing w:line="400" w:lineRule="exact"/>
              <w:rPr>
                <w:rFonts w:ascii="宋体" w:hAnsi="宋体"/>
                <w:b w:val="0"/>
                <w:bCs/>
                <w:sz w:val="22"/>
              </w:rPr>
            </w:pPr>
          </w:p>
        </w:tc>
        <w:tc>
          <w:tcPr>
            <w:tcW w:w="915" w:type="dxa"/>
            <w:vAlign w:val="center"/>
          </w:tcPr>
          <w:p>
            <w:pPr>
              <w:spacing w:line="400" w:lineRule="exact"/>
              <w:rPr>
                <w:rFonts w:ascii="宋体" w:hAnsi="宋体"/>
                <w:b w:val="0"/>
                <w:bCs/>
                <w:sz w:val="22"/>
              </w:rPr>
            </w:pPr>
            <w:r>
              <w:rPr>
                <w:rFonts w:ascii="宋体" w:hAnsi="宋体"/>
                <w:b w:val="0"/>
                <w:bCs/>
                <w:sz w:val="22"/>
                <w:szCs w:val="22"/>
              </w:rPr>
              <w:t>2017</w:t>
            </w:r>
            <w:r>
              <w:rPr>
                <w:rFonts w:ascii="宋体" w:hAnsi="宋体" w:hint="eastAsia"/>
                <w:b w:val="0"/>
                <w:bCs/>
                <w:sz w:val="22"/>
                <w:szCs w:val="22"/>
              </w:rPr>
              <w:t>年</w:t>
            </w:r>
          </w:p>
        </w:tc>
      </w:tr>
      <w:tr>
        <w:tblPrEx>
          <w:tblW w:w="8522" w:type="dxa"/>
          <w:jc w:val="center"/>
          <w:tblLayout w:type="fixed"/>
          <w:tblCellMar>
            <w:top w:w="0" w:type="dxa"/>
            <w:left w:w="108" w:type="dxa"/>
            <w:bottom w:w="0" w:type="dxa"/>
            <w:right w:w="108" w:type="dxa"/>
          </w:tblCellMar>
        </w:tblPrEx>
        <w:trPr>
          <w:trHeight w:val="1615"/>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2</w:t>
            </w:r>
          </w:p>
        </w:tc>
        <w:tc>
          <w:tcPr>
            <w:tcW w:w="4513" w:type="dxa"/>
            <w:vAlign w:val="center"/>
          </w:tcPr>
          <w:p>
            <w:pPr>
              <w:spacing w:line="400" w:lineRule="exact"/>
              <w:rPr>
                <w:rFonts w:ascii="宋体" w:hAnsi="宋体"/>
                <w:b w:val="0"/>
                <w:bCs/>
                <w:sz w:val="22"/>
              </w:rPr>
            </w:pPr>
            <w:r>
              <w:rPr>
                <w:rFonts w:ascii="宋体" w:hAnsi="宋体" w:hint="eastAsia"/>
                <w:b w:val="0"/>
                <w:bCs/>
                <w:sz w:val="22"/>
                <w:szCs w:val="22"/>
              </w:rPr>
              <w:t>基本摸清本区域内的养殖废弃物资源量和利用现状，调整优化产业布局，编制种养循环发展规划，完善畜牧业发展规划。</w:t>
            </w:r>
            <w:r>
              <w:rPr>
                <w:rFonts w:ascii="宋体" w:hAnsi="宋体"/>
                <w:b w:val="0"/>
                <w:bCs/>
                <w:sz w:val="22"/>
                <w:szCs w:val="22"/>
              </w:rPr>
              <w:tab/>
            </w:r>
          </w:p>
        </w:tc>
        <w:tc>
          <w:tcPr>
            <w:tcW w:w="850" w:type="dxa"/>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农业厅</w:t>
            </w:r>
          </w:p>
        </w:tc>
        <w:tc>
          <w:tcPr>
            <w:tcW w:w="851" w:type="dxa"/>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环境保护厅</w:t>
            </w:r>
          </w:p>
        </w:tc>
        <w:tc>
          <w:tcPr>
            <w:tcW w:w="836" w:type="dxa"/>
            <w:vMerge w:val="restart"/>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各市（州）人民政府</w:t>
            </w:r>
          </w:p>
        </w:tc>
        <w:tc>
          <w:tcPr>
            <w:tcW w:w="915" w:type="dxa"/>
            <w:vAlign w:val="center"/>
          </w:tcPr>
          <w:p>
            <w:pPr>
              <w:spacing w:line="400" w:lineRule="exact"/>
              <w:rPr>
                <w:rFonts w:ascii="宋体" w:hAnsi="宋体"/>
                <w:b w:val="0"/>
                <w:bCs/>
                <w:sz w:val="22"/>
              </w:rPr>
            </w:pPr>
            <w:r>
              <w:rPr>
                <w:rFonts w:ascii="宋体" w:hAnsi="宋体"/>
                <w:b w:val="0"/>
                <w:bCs/>
                <w:sz w:val="22"/>
                <w:szCs w:val="22"/>
              </w:rPr>
              <w:t>2017</w:t>
            </w:r>
            <w:r>
              <w:rPr>
                <w:rFonts w:ascii="宋体" w:hAnsi="宋体" w:hint="eastAsia"/>
                <w:b w:val="0"/>
                <w:bCs/>
                <w:sz w:val="22"/>
                <w:szCs w:val="22"/>
              </w:rPr>
              <w:t>年</w:t>
            </w:r>
          </w:p>
        </w:tc>
      </w:tr>
      <w:tr>
        <w:tblPrEx>
          <w:tblW w:w="8522" w:type="dxa"/>
          <w:jc w:val="center"/>
          <w:tblLayout w:type="fixed"/>
          <w:tblCellMar>
            <w:top w:w="0" w:type="dxa"/>
            <w:left w:w="108" w:type="dxa"/>
            <w:bottom w:w="0" w:type="dxa"/>
            <w:right w:w="108" w:type="dxa"/>
          </w:tblCellMar>
        </w:tblPrEx>
        <w:trPr>
          <w:trHeight w:val="2762"/>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3</w:t>
            </w:r>
          </w:p>
        </w:tc>
        <w:tc>
          <w:tcPr>
            <w:tcW w:w="4513" w:type="dxa"/>
            <w:vAlign w:val="center"/>
          </w:tcPr>
          <w:p>
            <w:pPr>
              <w:spacing w:line="400" w:lineRule="exact"/>
              <w:rPr>
                <w:rFonts w:ascii="宋体" w:hAnsi="宋体"/>
                <w:b w:val="0"/>
                <w:bCs/>
                <w:sz w:val="22"/>
              </w:rPr>
            </w:pPr>
            <w:r>
              <w:rPr>
                <w:rFonts w:ascii="宋体" w:hAnsi="宋体" w:hint="eastAsia"/>
                <w:b w:val="0"/>
                <w:bCs/>
                <w:sz w:val="22"/>
                <w:szCs w:val="22"/>
              </w:rPr>
              <w:t>畜禽规模养殖相关规划及建设项目应依法依规开展环境影响评价。畜禽养殖项目应严格按照《建设项目环境影响分类管理目录》分类开展项目环评工作。设有固定排污口的畜禽规模养殖场应依法申请排污许可证。对未依法进行环境影响评价的畜禽规模养殖场，环保部门予以处罚。</w:t>
            </w:r>
          </w:p>
        </w:tc>
        <w:tc>
          <w:tcPr>
            <w:tcW w:w="850" w:type="dxa"/>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环境保护厅、农业厅</w:t>
            </w:r>
          </w:p>
        </w:tc>
        <w:tc>
          <w:tcPr>
            <w:tcW w:w="851" w:type="dxa"/>
            <w:vAlign w:val="center"/>
          </w:tcPr>
          <w:p>
            <w:pPr>
              <w:adjustRightInd w:val="0"/>
              <w:snapToGrid w:val="0"/>
              <w:spacing w:line="400" w:lineRule="exact"/>
              <w:rPr>
                <w:rFonts w:ascii="宋体" w:hAnsi="宋体"/>
                <w:b w:val="0"/>
                <w:bCs/>
                <w:spacing w:val="-20"/>
                <w:kern w:val="0"/>
                <w:sz w:val="22"/>
              </w:rPr>
            </w:pPr>
          </w:p>
        </w:tc>
        <w:tc>
          <w:tcPr>
            <w:tcW w:w="836" w:type="dxa"/>
            <w:vMerge/>
            <w:vAlign w:val="center"/>
          </w:tcPr>
          <w:p>
            <w:pPr>
              <w:adjustRightInd w:val="0"/>
              <w:snapToGrid w:val="0"/>
              <w:spacing w:line="400" w:lineRule="exact"/>
              <w:rPr>
                <w:rFonts w:ascii="宋体" w:hAnsi="宋体"/>
                <w:b w:val="0"/>
                <w:bCs/>
                <w:spacing w:val="-20"/>
                <w:kern w:val="0"/>
                <w:sz w:val="22"/>
              </w:rPr>
            </w:pP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ascii="宋体" w:hAnsi="宋体" w:hint="eastAsia"/>
                <w:b w:val="0"/>
                <w:bCs/>
                <w:sz w:val="22"/>
                <w:szCs w:val="22"/>
              </w:rPr>
              <w:t>年</w:t>
            </w:r>
          </w:p>
        </w:tc>
      </w:tr>
      <w:tr>
        <w:tblPrEx>
          <w:tblW w:w="8522" w:type="dxa"/>
          <w:jc w:val="center"/>
          <w:tblLayout w:type="fixed"/>
          <w:tblCellMar>
            <w:top w:w="0" w:type="dxa"/>
            <w:left w:w="108" w:type="dxa"/>
            <w:bottom w:w="0" w:type="dxa"/>
            <w:right w:w="108" w:type="dxa"/>
          </w:tblCellMar>
        </w:tblPrEx>
        <w:trPr>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4</w:t>
            </w:r>
          </w:p>
        </w:tc>
        <w:tc>
          <w:tcPr>
            <w:tcW w:w="4513" w:type="dxa"/>
            <w:vAlign w:val="center"/>
          </w:tcPr>
          <w:p>
            <w:pPr>
              <w:spacing w:line="400" w:lineRule="exact"/>
              <w:rPr>
                <w:rFonts w:ascii="宋体" w:hAnsi="宋体"/>
                <w:b w:val="0"/>
                <w:bCs/>
                <w:sz w:val="22"/>
              </w:rPr>
            </w:pPr>
            <w:r>
              <w:rPr>
                <w:rFonts w:ascii="宋体" w:hAnsi="宋体" w:hint="eastAsia"/>
                <w:b w:val="0"/>
                <w:bCs/>
                <w:sz w:val="22"/>
                <w:szCs w:val="22"/>
              </w:rPr>
              <w:t>加强畜禽养殖信息化管理，完善监管体系，建立畜禽规模养殖场直联直报信息系统。建立畜禽规模养殖场废弃物减排核算制度，制定畜禽养殖粪污土地承载能力测算方法，改革完善畜禽粪污产生、排放统计核算方法，对畜禽粪污全部还田利用的畜禽规模养殖场，将无害化还田利用量作为统计污染物削减量的重要依据。对畜禽养殖中产生的废弃物种类、数量、综合利用、无害化处理以及向环境直接排放的情况实行定期登记备案。</w:t>
            </w:r>
          </w:p>
        </w:tc>
        <w:tc>
          <w:tcPr>
            <w:tcW w:w="850" w:type="dxa"/>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农业厅、环境保护厅</w:t>
            </w:r>
          </w:p>
        </w:tc>
        <w:tc>
          <w:tcPr>
            <w:tcW w:w="851" w:type="dxa"/>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财政厅</w:t>
            </w:r>
          </w:p>
        </w:tc>
        <w:tc>
          <w:tcPr>
            <w:tcW w:w="836" w:type="dxa"/>
            <w:vMerge w:val="restart"/>
            <w:vAlign w:val="center"/>
          </w:tcPr>
          <w:p>
            <w:pPr>
              <w:spacing w:line="400" w:lineRule="exact"/>
              <w:rPr>
                <w:rFonts w:ascii="宋体" w:hAnsi="宋体"/>
                <w:b w:val="0"/>
                <w:bCs/>
                <w:sz w:val="22"/>
              </w:rPr>
            </w:pPr>
            <w:r>
              <w:rPr>
                <w:rFonts w:ascii="宋体" w:hAnsi="宋体" w:hint="eastAsia"/>
                <w:b w:val="0"/>
                <w:bCs/>
                <w:spacing w:val="-20"/>
                <w:kern w:val="0"/>
                <w:sz w:val="22"/>
                <w:szCs w:val="22"/>
              </w:rPr>
              <w:t>各市（州）人民政府</w:t>
            </w: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ascii="宋体" w:hAnsi="宋体" w:hint="eastAsia"/>
                <w:b w:val="0"/>
                <w:bCs/>
                <w:sz w:val="22"/>
                <w:szCs w:val="22"/>
              </w:rPr>
              <w:t>年</w:t>
            </w:r>
          </w:p>
        </w:tc>
      </w:tr>
      <w:tr>
        <w:tblPrEx>
          <w:tblW w:w="8522" w:type="dxa"/>
          <w:jc w:val="center"/>
          <w:tblLayout w:type="fixed"/>
          <w:tblCellMar>
            <w:top w:w="0" w:type="dxa"/>
            <w:left w:w="108" w:type="dxa"/>
            <w:bottom w:w="0" w:type="dxa"/>
            <w:right w:w="108" w:type="dxa"/>
          </w:tblCellMar>
        </w:tblPrEx>
        <w:trPr>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5</w:t>
            </w:r>
          </w:p>
        </w:tc>
        <w:tc>
          <w:tcPr>
            <w:tcW w:w="4513" w:type="dxa"/>
            <w:vAlign w:val="center"/>
          </w:tcPr>
          <w:p>
            <w:pPr>
              <w:spacing w:line="400" w:lineRule="exact"/>
              <w:rPr>
                <w:rFonts w:ascii="宋体" w:hAnsi="宋体"/>
                <w:b w:val="0"/>
                <w:bCs/>
                <w:sz w:val="22"/>
              </w:rPr>
            </w:pPr>
            <w:r>
              <w:rPr>
                <w:rFonts w:ascii="宋体" w:hAnsi="宋体" w:hint="eastAsia"/>
                <w:b w:val="0"/>
                <w:bCs/>
                <w:sz w:val="22"/>
                <w:szCs w:val="22"/>
              </w:rPr>
              <w:t>科学编制种养循环发展规划，大力发展种养循环农业，推广农牧结合生态治理模式，精准引导畜牧业和种植业发展。按照“以种带养、以养促种、种养结合、循环利用”的原则，重点支持在种养配套工程、粪污高效处理、有机肥高效利用、生物饲料和有机微量元素等方面开展研发与推广应用，建立种养循环技术支撑体系。鼓励养殖场（小区）通过自身流转承包周边农田林地方式，采取“养殖场（小区）→种植基地（农户）”模式，实现畜禽粪污就近还田利用。对不能就近还田消纳的，养殖场（小区）应通过与第三方签订协议的方式，采取“养殖场（小区）→第三方主体→种植基地（农户）”模式，实现畜禽养殖粪污的异地还田利用。鼓励建立受益者付费机制，保障第三方主体合理收益。畜禽粪污资源化利用重点县要探索规模化、专业化、社会化运营机制，建立健全畜禽粪污等农业有机废弃物收集、转化、利用体系，形成畜禽粪污资源化利用路线图，初步建立畜禽粪污“从哪里来，到哪里去”的追溯机制</w:t>
            </w:r>
          </w:p>
          <w:p>
            <w:pPr>
              <w:spacing w:line="400" w:lineRule="exact"/>
              <w:rPr>
                <w:rFonts w:ascii="宋体" w:hAnsi="宋体"/>
                <w:b w:val="0"/>
                <w:bCs/>
                <w:sz w:val="22"/>
              </w:rPr>
            </w:pPr>
            <w:r>
              <w:rPr>
                <w:rFonts w:ascii="宋体" w:hAnsi="宋体" w:hint="eastAsia"/>
                <w:b w:val="0"/>
                <w:bCs/>
                <w:sz w:val="22"/>
                <w:szCs w:val="22"/>
              </w:rPr>
              <w:t>。</w:t>
            </w:r>
          </w:p>
        </w:tc>
        <w:tc>
          <w:tcPr>
            <w:tcW w:w="850" w:type="dxa"/>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农业厅、环境保护厅</w:t>
            </w:r>
          </w:p>
        </w:tc>
        <w:tc>
          <w:tcPr>
            <w:tcW w:w="851" w:type="dxa"/>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省发展改革委、财政厅</w:t>
            </w:r>
          </w:p>
        </w:tc>
        <w:tc>
          <w:tcPr>
            <w:tcW w:w="836" w:type="dxa"/>
            <w:vMerge/>
            <w:vAlign w:val="center"/>
          </w:tcPr>
          <w:p>
            <w:pPr>
              <w:spacing w:line="400" w:lineRule="exact"/>
              <w:rPr>
                <w:rFonts w:ascii="宋体" w:hAnsi="宋体"/>
                <w:b w:val="0"/>
                <w:bCs/>
                <w:sz w:val="22"/>
              </w:rPr>
            </w:pP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ascii="宋体" w:hAnsi="宋体" w:hint="eastAsia"/>
                <w:b w:val="0"/>
                <w:bCs/>
                <w:sz w:val="22"/>
                <w:szCs w:val="22"/>
              </w:rPr>
              <w:t>年</w:t>
            </w:r>
          </w:p>
        </w:tc>
      </w:tr>
      <w:tr>
        <w:tblPrEx>
          <w:tblW w:w="8522" w:type="dxa"/>
          <w:jc w:val="center"/>
          <w:tblLayout w:type="fixed"/>
          <w:tblCellMar>
            <w:top w:w="0" w:type="dxa"/>
            <w:left w:w="108" w:type="dxa"/>
            <w:bottom w:w="0" w:type="dxa"/>
            <w:right w:w="108" w:type="dxa"/>
          </w:tblCellMar>
        </w:tblPrEx>
        <w:trPr>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6</w:t>
            </w:r>
          </w:p>
        </w:tc>
        <w:tc>
          <w:tcPr>
            <w:tcW w:w="4513" w:type="dxa"/>
            <w:vAlign w:val="center"/>
          </w:tcPr>
          <w:p>
            <w:pPr>
              <w:spacing w:line="400" w:lineRule="exact"/>
              <w:rPr>
                <w:rFonts w:ascii="宋体" w:hAnsi="宋体"/>
                <w:b w:val="0"/>
                <w:bCs/>
                <w:sz w:val="22"/>
              </w:rPr>
            </w:pPr>
            <w:r>
              <w:rPr>
                <w:rFonts w:ascii="宋体" w:hAnsi="宋体" w:hint="eastAsia"/>
                <w:b w:val="0"/>
                <w:bCs/>
                <w:sz w:val="22"/>
                <w:szCs w:val="22"/>
              </w:rPr>
              <w:t>深入推进畜禽粪污沼气转化利用，科学规划、布局建设各类沼气工程，推进畜禽养殖沼气工程建设，不断提高养殖场（小区）沼气工程配套率。积极推进规模化大型沼气工程建设，综合考虑沼气工程沼渣沼液产量和种植业基地消纳能力，做到生产消纳平衡，沼渣沼液高质利用。积极推进新农村综合体和新村聚居点的沼气集中供气工程建设，解决农户清洁能源使用问题，为种植基地提供优质的有机肥。深入推进沼气高值高效深度开发利用，因地制宜推进沼气发电上网，开展规模化生物天然气项目试点示范。</w:t>
            </w:r>
          </w:p>
        </w:tc>
        <w:tc>
          <w:tcPr>
            <w:tcW w:w="850" w:type="dxa"/>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农业厅、科技厅</w:t>
            </w:r>
          </w:p>
        </w:tc>
        <w:tc>
          <w:tcPr>
            <w:tcW w:w="851" w:type="dxa"/>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省发展改革委、财政厅</w:t>
            </w:r>
          </w:p>
        </w:tc>
        <w:tc>
          <w:tcPr>
            <w:tcW w:w="836" w:type="dxa"/>
            <w:vMerge w:val="restart"/>
            <w:vAlign w:val="center"/>
          </w:tcPr>
          <w:p>
            <w:pPr>
              <w:spacing w:line="400" w:lineRule="exact"/>
              <w:ind w:left="90" w:firstLine="550" w:leftChars="43" w:firstLineChars="250"/>
              <w:rPr>
                <w:rFonts w:ascii="宋体" w:hAnsi="宋体"/>
                <w:b w:val="0"/>
                <w:bCs/>
                <w:sz w:val="22"/>
              </w:rPr>
            </w:pPr>
            <w:r>
              <w:rPr>
                <w:rFonts w:ascii="宋体" w:hAnsi="宋体"/>
                <w:b w:val="0"/>
                <w:bCs/>
                <w:spacing w:val="-20"/>
                <w:kern w:val="0"/>
                <w:sz w:val="22"/>
                <w:szCs w:val="22"/>
              </w:rPr>
              <w:t xml:space="preserve"> </w:t>
            </w:r>
            <w:r>
              <w:rPr>
                <w:rFonts w:ascii="宋体" w:hAnsi="宋体" w:hint="eastAsia"/>
                <w:b w:val="0"/>
                <w:bCs/>
                <w:spacing w:val="-20"/>
                <w:kern w:val="0"/>
                <w:sz w:val="22"/>
                <w:szCs w:val="22"/>
              </w:rPr>
              <w:t>各市（州）人民政府</w:t>
            </w: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ascii="宋体" w:hAnsi="宋体" w:hint="eastAsia"/>
                <w:b w:val="0"/>
                <w:bCs/>
                <w:sz w:val="22"/>
                <w:szCs w:val="22"/>
              </w:rPr>
              <w:t>年</w:t>
            </w:r>
          </w:p>
        </w:tc>
      </w:tr>
      <w:tr>
        <w:tblPrEx>
          <w:tblW w:w="8522" w:type="dxa"/>
          <w:jc w:val="center"/>
          <w:tblLayout w:type="fixed"/>
          <w:tblCellMar>
            <w:top w:w="0" w:type="dxa"/>
            <w:left w:w="108" w:type="dxa"/>
            <w:bottom w:w="0" w:type="dxa"/>
            <w:right w:w="108" w:type="dxa"/>
          </w:tblCellMar>
        </w:tblPrEx>
        <w:trPr>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7</w:t>
            </w:r>
          </w:p>
        </w:tc>
        <w:tc>
          <w:tcPr>
            <w:tcW w:w="4513" w:type="dxa"/>
            <w:vAlign w:val="center"/>
          </w:tcPr>
          <w:p>
            <w:pPr>
              <w:spacing w:line="400" w:lineRule="exact"/>
              <w:rPr>
                <w:rFonts w:ascii="宋体" w:hAnsi="宋体"/>
                <w:b w:val="0"/>
                <w:bCs/>
                <w:sz w:val="22"/>
              </w:rPr>
            </w:pPr>
            <w:r>
              <w:rPr>
                <w:rFonts w:ascii="宋体" w:hAnsi="宋体" w:hint="eastAsia"/>
                <w:b w:val="0"/>
                <w:bCs/>
                <w:sz w:val="22"/>
                <w:szCs w:val="22"/>
              </w:rPr>
              <w:t>深入推进固体粪便肥料化利用，大力推广工厂化堆肥处理和商品化有机肥生产技术，根据畜禽饲养量和固体粪便产生量，科学布局、建设配套有机肥加工厂和堆肥场。支持发展以畜禽粪便为原料的商品有机肥产业，鼓励现有有机肥企业扩大生产规模，提高畜禽粪污深度加工和利用水平。加强畜禽干粪加工、有机肥生产管理，从源头保证商品有机肥质量。加强商品有机肥生产证后监管，进一步规范有机肥生产和经营行为。</w:t>
            </w:r>
          </w:p>
        </w:tc>
        <w:tc>
          <w:tcPr>
            <w:tcW w:w="850" w:type="dxa"/>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农业厅</w:t>
            </w:r>
          </w:p>
        </w:tc>
        <w:tc>
          <w:tcPr>
            <w:tcW w:w="851" w:type="dxa"/>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省发展改革委、省经济和信息化委、</w:t>
            </w:r>
          </w:p>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科技厅、财政厅、省工商局、</w:t>
            </w:r>
          </w:p>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省质监局</w:t>
            </w:r>
          </w:p>
        </w:tc>
        <w:tc>
          <w:tcPr>
            <w:tcW w:w="836" w:type="dxa"/>
            <w:vMerge/>
            <w:vAlign w:val="center"/>
          </w:tcPr>
          <w:p>
            <w:pPr>
              <w:spacing w:line="400" w:lineRule="exact"/>
              <w:rPr>
                <w:rFonts w:ascii="宋体" w:hAnsi="宋体"/>
                <w:b w:val="0"/>
                <w:bCs/>
                <w:sz w:val="22"/>
              </w:rPr>
            </w:pP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ascii="宋体" w:hAnsi="宋体" w:hint="eastAsia"/>
                <w:b w:val="0"/>
                <w:bCs/>
                <w:sz w:val="22"/>
                <w:szCs w:val="22"/>
              </w:rPr>
              <w:t>年</w:t>
            </w:r>
          </w:p>
        </w:tc>
      </w:tr>
      <w:tr>
        <w:tblPrEx>
          <w:tblW w:w="8522" w:type="dxa"/>
          <w:jc w:val="center"/>
          <w:tblLayout w:type="fixed"/>
          <w:tblCellMar>
            <w:top w:w="0" w:type="dxa"/>
            <w:left w:w="108" w:type="dxa"/>
            <w:bottom w:w="0" w:type="dxa"/>
            <w:right w:w="108" w:type="dxa"/>
          </w:tblCellMar>
        </w:tblPrEx>
        <w:trPr>
          <w:trHeight w:val="1840"/>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8</w:t>
            </w:r>
          </w:p>
        </w:tc>
        <w:tc>
          <w:tcPr>
            <w:tcW w:w="4513" w:type="dxa"/>
            <w:vAlign w:val="center"/>
          </w:tcPr>
          <w:p>
            <w:pPr>
              <w:spacing w:line="400" w:lineRule="exact"/>
              <w:rPr>
                <w:rFonts w:ascii="宋体" w:hAnsi="宋体"/>
                <w:b w:val="0"/>
                <w:bCs/>
                <w:sz w:val="22"/>
              </w:rPr>
            </w:pPr>
            <w:r>
              <w:rPr>
                <w:rFonts w:ascii="宋体" w:hAnsi="宋体" w:hint="eastAsia"/>
                <w:b w:val="0"/>
                <w:bCs/>
                <w:sz w:val="22"/>
                <w:szCs w:val="22"/>
              </w:rPr>
              <w:t>地方各级人民政府对本行政区域内的畜禽养殖废弃物资源化利用工作负总责，要结合本地实际，依法明确部门职责，细化任务分工，加强协作配合，健全工作机制，指导督促其行政区域内全面开展畜禽养殖废弃物资源化利用工作，建立完善的畜禽养殖废弃物资源化利用制度，确保各项任务落实到位。落实“菜篮子”市长负责制，统筹兼顾畜禽产品供给和畜禽污染治理之间的关系，推进农牧结合、资源化利用，因势利导推动解决畜牧业养殖污染问题。</w:t>
            </w:r>
          </w:p>
        </w:tc>
        <w:tc>
          <w:tcPr>
            <w:tcW w:w="850" w:type="dxa"/>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农业厅</w:t>
            </w:r>
          </w:p>
        </w:tc>
        <w:tc>
          <w:tcPr>
            <w:tcW w:w="851" w:type="dxa"/>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环境保护厅</w:t>
            </w:r>
          </w:p>
        </w:tc>
        <w:tc>
          <w:tcPr>
            <w:tcW w:w="836" w:type="dxa"/>
            <w:vMerge/>
            <w:vAlign w:val="center"/>
          </w:tcPr>
          <w:p>
            <w:pPr>
              <w:adjustRightInd w:val="0"/>
              <w:snapToGrid w:val="0"/>
              <w:spacing w:line="400" w:lineRule="exact"/>
              <w:rPr>
                <w:rFonts w:ascii="宋体" w:hAnsi="宋体"/>
                <w:b w:val="0"/>
                <w:bCs/>
                <w:spacing w:val="-20"/>
                <w:kern w:val="0"/>
                <w:sz w:val="22"/>
              </w:rPr>
            </w:pP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ascii="宋体" w:hAnsi="宋体" w:hint="eastAsia"/>
                <w:b w:val="0"/>
                <w:bCs/>
                <w:sz w:val="22"/>
                <w:szCs w:val="22"/>
              </w:rPr>
              <w:t>年</w:t>
            </w:r>
          </w:p>
        </w:tc>
      </w:tr>
      <w:tr>
        <w:tblPrEx>
          <w:tblW w:w="8522" w:type="dxa"/>
          <w:jc w:val="center"/>
          <w:tblLayout w:type="fixed"/>
          <w:tblCellMar>
            <w:top w:w="0" w:type="dxa"/>
            <w:left w:w="108" w:type="dxa"/>
            <w:bottom w:w="0" w:type="dxa"/>
            <w:right w:w="108" w:type="dxa"/>
          </w:tblCellMar>
        </w:tblPrEx>
        <w:trPr>
          <w:trHeight w:val="4214"/>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9</w:t>
            </w:r>
          </w:p>
        </w:tc>
        <w:tc>
          <w:tcPr>
            <w:tcW w:w="4513" w:type="dxa"/>
            <w:vAlign w:val="center"/>
          </w:tcPr>
          <w:p>
            <w:pPr>
              <w:spacing w:line="400" w:lineRule="exact"/>
              <w:rPr>
                <w:rFonts w:ascii="宋体" w:hAnsi="宋体"/>
                <w:b w:val="0"/>
                <w:bCs/>
                <w:sz w:val="22"/>
              </w:rPr>
            </w:pPr>
            <w:r>
              <w:rPr>
                <w:rFonts w:ascii="宋体" w:hAnsi="宋体" w:hint="eastAsia"/>
                <w:b w:val="0"/>
                <w:bCs/>
                <w:sz w:val="22"/>
                <w:szCs w:val="22"/>
              </w:rPr>
              <w:t>督促畜禽规模养殖场切实履行环境保护主体责任，按要求建设污染防治配套设施并保持正常运行，或者委托第三方进行粪污处理。新建或改（扩）建畜禽规模养殖场，必须配套与养殖规模和处理工艺相适应的粪污消纳用地，配备废弃物收集、贮存、处理、利用设施，已经委托他人对畜禽养殖废弃物代为综合利用和无害化处理的，可不再自行建设综合利用和无害化处理设施。</w:t>
            </w:r>
          </w:p>
        </w:tc>
        <w:tc>
          <w:tcPr>
            <w:tcW w:w="850" w:type="dxa"/>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农业厅、环境保护厅</w:t>
            </w:r>
          </w:p>
        </w:tc>
        <w:tc>
          <w:tcPr>
            <w:tcW w:w="851" w:type="dxa"/>
            <w:vAlign w:val="center"/>
          </w:tcPr>
          <w:p>
            <w:pPr>
              <w:adjustRightInd w:val="0"/>
              <w:snapToGrid w:val="0"/>
              <w:spacing w:line="400" w:lineRule="exact"/>
              <w:rPr>
                <w:rFonts w:ascii="宋体" w:hAnsi="宋体"/>
                <w:b w:val="0"/>
                <w:bCs/>
                <w:spacing w:val="-20"/>
                <w:kern w:val="0"/>
                <w:sz w:val="22"/>
              </w:rPr>
            </w:pPr>
          </w:p>
        </w:tc>
        <w:tc>
          <w:tcPr>
            <w:tcW w:w="836" w:type="dxa"/>
            <w:vMerge w:val="restart"/>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各市（州）人民政府</w:t>
            </w: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ascii="宋体" w:hAnsi="宋体" w:hint="eastAsia"/>
                <w:b w:val="0"/>
                <w:bCs/>
                <w:sz w:val="22"/>
                <w:szCs w:val="22"/>
              </w:rPr>
              <w:t>年</w:t>
            </w:r>
          </w:p>
        </w:tc>
      </w:tr>
      <w:tr>
        <w:tblPrEx>
          <w:tblW w:w="8522" w:type="dxa"/>
          <w:jc w:val="center"/>
          <w:tblLayout w:type="fixed"/>
          <w:tblCellMar>
            <w:top w:w="0" w:type="dxa"/>
            <w:left w:w="108" w:type="dxa"/>
            <w:bottom w:w="0" w:type="dxa"/>
            <w:right w:w="108" w:type="dxa"/>
          </w:tblCellMar>
        </w:tblPrEx>
        <w:trPr>
          <w:trHeight w:val="6041"/>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10</w:t>
            </w:r>
          </w:p>
        </w:tc>
        <w:tc>
          <w:tcPr>
            <w:tcW w:w="4513" w:type="dxa"/>
            <w:vAlign w:val="center"/>
          </w:tcPr>
          <w:p>
            <w:pPr>
              <w:spacing w:line="400" w:lineRule="exact"/>
              <w:rPr>
                <w:rFonts w:ascii="宋体" w:hAnsi="宋体"/>
                <w:b w:val="0"/>
                <w:bCs/>
                <w:sz w:val="22"/>
              </w:rPr>
            </w:pPr>
            <w:r>
              <w:rPr>
                <w:rFonts w:ascii="宋体" w:hAnsi="宋体" w:hint="eastAsia"/>
                <w:b w:val="0"/>
                <w:bCs/>
                <w:sz w:val="22"/>
                <w:szCs w:val="22"/>
              </w:rPr>
              <w:t>以规模养殖场粪污处理、有机肥还田利用、沼气和生物天然气使用等指标为重点，建立畜禽养殖废弃物资源化利用绩效评价考核制度，纳入地方政府绩效评价考核体系。根据农业部、环境保护部联合制定的考核办法，农业厅、环境保护厅要联合制定四川省具体考核办法，对各市（州）人民政府开展考核。各市（州）人民政府要对本行政区域内畜禽养殖废弃物资源化利用工作开展考核，定期通报工作进展，层层传导压力。强化考核结果应用，把履行环境保护、安全生产职责情况作为重要参考，纳入干部工作调研、领导班子综合研判、干部考察的重要内容。</w:t>
            </w:r>
          </w:p>
        </w:tc>
        <w:tc>
          <w:tcPr>
            <w:tcW w:w="850" w:type="dxa"/>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农业厅、环境保护厅</w:t>
            </w:r>
          </w:p>
        </w:tc>
        <w:tc>
          <w:tcPr>
            <w:tcW w:w="851" w:type="dxa"/>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省委组织部</w:t>
            </w:r>
          </w:p>
        </w:tc>
        <w:tc>
          <w:tcPr>
            <w:tcW w:w="836" w:type="dxa"/>
            <w:vMerge/>
            <w:vAlign w:val="center"/>
          </w:tcPr>
          <w:p>
            <w:pPr>
              <w:adjustRightInd w:val="0"/>
              <w:snapToGrid w:val="0"/>
              <w:spacing w:line="400" w:lineRule="exact"/>
              <w:rPr>
                <w:rFonts w:ascii="宋体" w:hAnsi="宋体"/>
                <w:b w:val="0"/>
                <w:bCs/>
                <w:spacing w:val="-20"/>
                <w:kern w:val="0"/>
                <w:sz w:val="22"/>
              </w:rPr>
            </w:pP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ascii="宋体" w:hAnsi="宋体" w:hint="eastAsia"/>
                <w:b w:val="0"/>
                <w:bCs/>
                <w:sz w:val="22"/>
                <w:szCs w:val="22"/>
              </w:rPr>
              <w:t>年</w:t>
            </w:r>
          </w:p>
        </w:tc>
      </w:tr>
      <w:tr>
        <w:tblPrEx>
          <w:tblW w:w="8522" w:type="dxa"/>
          <w:jc w:val="center"/>
          <w:tblLayout w:type="fixed"/>
          <w:tblCellMar>
            <w:top w:w="0" w:type="dxa"/>
            <w:left w:w="108" w:type="dxa"/>
            <w:bottom w:w="0" w:type="dxa"/>
            <w:right w:w="108" w:type="dxa"/>
          </w:tblCellMar>
        </w:tblPrEx>
        <w:trPr>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11</w:t>
            </w:r>
          </w:p>
        </w:tc>
        <w:tc>
          <w:tcPr>
            <w:tcW w:w="4513" w:type="dxa"/>
            <w:vAlign w:val="center"/>
          </w:tcPr>
          <w:p>
            <w:pPr>
              <w:spacing w:line="380" w:lineRule="exact"/>
              <w:rPr>
                <w:rFonts w:ascii="宋体" w:hAnsi="宋体"/>
                <w:b w:val="0"/>
                <w:bCs/>
                <w:sz w:val="22"/>
              </w:rPr>
            </w:pPr>
            <w:r>
              <w:rPr>
                <w:rFonts w:ascii="宋体" w:hAnsi="宋体" w:hint="eastAsia"/>
                <w:b w:val="0"/>
                <w:bCs/>
                <w:sz w:val="22"/>
                <w:szCs w:val="22"/>
              </w:rPr>
              <w:t>各地各有关部门要按照职责分工，加大养殖废弃物污染治理工作力度，抓紧制定和完善具体政策措施。农业厅要会同省直有关部门对本方案实施情况进行定期督查和跟踪评估，并向省政府报告。</w:t>
            </w:r>
          </w:p>
        </w:tc>
        <w:tc>
          <w:tcPr>
            <w:tcW w:w="850" w:type="dxa"/>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农业厅</w:t>
            </w:r>
          </w:p>
        </w:tc>
        <w:tc>
          <w:tcPr>
            <w:tcW w:w="851" w:type="dxa"/>
            <w:vAlign w:val="center"/>
          </w:tcPr>
          <w:p>
            <w:pPr>
              <w:adjustRightInd w:val="0"/>
              <w:snapToGrid w:val="0"/>
              <w:spacing w:line="400" w:lineRule="exact"/>
              <w:rPr>
                <w:rFonts w:ascii="宋体" w:hAnsi="宋体"/>
                <w:b w:val="0"/>
                <w:bCs/>
                <w:spacing w:val="-20"/>
                <w:kern w:val="0"/>
                <w:sz w:val="22"/>
              </w:rPr>
            </w:pPr>
          </w:p>
        </w:tc>
        <w:tc>
          <w:tcPr>
            <w:tcW w:w="836" w:type="dxa"/>
            <w:vMerge/>
            <w:vAlign w:val="center"/>
          </w:tcPr>
          <w:p>
            <w:pPr>
              <w:adjustRightInd w:val="0"/>
              <w:snapToGrid w:val="0"/>
              <w:spacing w:line="400" w:lineRule="exact"/>
              <w:rPr>
                <w:rFonts w:ascii="宋体" w:hAnsi="宋体"/>
                <w:b w:val="0"/>
                <w:bCs/>
                <w:spacing w:val="-20"/>
                <w:kern w:val="0"/>
                <w:sz w:val="22"/>
              </w:rPr>
            </w:pP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ascii="宋体" w:hAnsi="宋体" w:hint="eastAsia"/>
                <w:b w:val="0"/>
                <w:bCs/>
                <w:sz w:val="22"/>
                <w:szCs w:val="22"/>
              </w:rPr>
              <w:t>年</w:t>
            </w:r>
          </w:p>
        </w:tc>
      </w:tr>
      <w:tr>
        <w:tblPrEx>
          <w:tblW w:w="8522" w:type="dxa"/>
          <w:jc w:val="center"/>
          <w:tblLayout w:type="fixed"/>
          <w:tblCellMar>
            <w:top w:w="0" w:type="dxa"/>
            <w:left w:w="108" w:type="dxa"/>
            <w:bottom w:w="0" w:type="dxa"/>
            <w:right w:w="108" w:type="dxa"/>
          </w:tblCellMar>
        </w:tblPrEx>
        <w:trPr>
          <w:trHeight w:val="90"/>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12</w:t>
            </w:r>
          </w:p>
        </w:tc>
        <w:tc>
          <w:tcPr>
            <w:tcW w:w="4513" w:type="dxa"/>
            <w:vAlign w:val="center"/>
          </w:tcPr>
          <w:p>
            <w:pPr>
              <w:spacing w:line="380" w:lineRule="exact"/>
              <w:rPr>
                <w:rFonts w:ascii="宋体" w:hAnsi="宋体"/>
                <w:b w:val="0"/>
                <w:bCs/>
                <w:sz w:val="22"/>
              </w:rPr>
            </w:pPr>
            <w:r>
              <w:rPr>
                <w:rFonts w:ascii="宋体" w:hAnsi="宋体" w:hint="eastAsia"/>
                <w:b w:val="0"/>
                <w:bCs/>
                <w:sz w:val="22"/>
                <w:szCs w:val="22"/>
              </w:rPr>
              <w:t>鼓励地方政府利用中央财政农机购置补贴资金，对畜禽养殖废弃物资源化利用装备实行敞开补贴。落实《财政部</w:t>
            </w:r>
            <w:r>
              <w:rPr>
                <w:rFonts w:ascii="宋体" w:hAnsi="宋体"/>
                <w:b w:val="0"/>
                <w:bCs/>
                <w:sz w:val="22"/>
                <w:szCs w:val="22"/>
              </w:rPr>
              <w:t xml:space="preserve"> </w:t>
            </w:r>
            <w:r>
              <w:rPr>
                <w:rFonts w:ascii="宋体" w:hAnsi="宋体" w:hint="eastAsia"/>
                <w:b w:val="0"/>
                <w:bCs/>
                <w:sz w:val="22"/>
                <w:szCs w:val="22"/>
              </w:rPr>
              <w:t>国家税务总局关于印发</w:t>
            </w:r>
            <w:r>
              <w:rPr>
                <w:rFonts w:ascii="宋体" w:hAnsi="宋体"/>
                <w:b w:val="0"/>
                <w:bCs/>
                <w:sz w:val="22"/>
                <w:szCs w:val="22"/>
              </w:rPr>
              <w:t>&lt;</w:t>
            </w:r>
            <w:r>
              <w:rPr>
                <w:rFonts w:ascii="宋体" w:hAnsi="宋体" w:hint="eastAsia"/>
                <w:b w:val="0"/>
                <w:bCs/>
                <w:sz w:val="22"/>
                <w:szCs w:val="22"/>
              </w:rPr>
              <w:t>资源综合利用产品和劳务增值税优惠目录</w:t>
            </w:r>
            <w:r>
              <w:rPr>
                <w:rFonts w:ascii="宋体" w:hAnsi="宋体"/>
                <w:b w:val="0"/>
                <w:bCs/>
                <w:sz w:val="22"/>
                <w:szCs w:val="22"/>
              </w:rPr>
              <w:t>&gt;</w:t>
            </w:r>
            <w:r>
              <w:rPr>
                <w:rFonts w:ascii="宋体" w:hAnsi="宋体" w:hint="eastAsia"/>
                <w:b w:val="0"/>
                <w:bCs/>
                <w:sz w:val="22"/>
                <w:szCs w:val="22"/>
              </w:rPr>
              <w:t>的通知》（财税〔</w:t>
            </w:r>
            <w:r>
              <w:rPr>
                <w:rFonts w:ascii="宋体" w:hAnsi="宋体"/>
                <w:b w:val="0"/>
                <w:bCs/>
                <w:sz w:val="22"/>
                <w:szCs w:val="22"/>
              </w:rPr>
              <w:t>2015</w:t>
            </w:r>
            <w:r>
              <w:rPr>
                <w:rFonts w:ascii="宋体" w:hAnsi="宋体" w:hint="eastAsia"/>
                <w:b w:val="0"/>
                <w:bCs/>
                <w:sz w:val="22"/>
                <w:szCs w:val="22"/>
              </w:rPr>
              <w:t>〕</w:t>
            </w:r>
            <w:r>
              <w:rPr>
                <w:rFonts w:ascii="宋体" w:hAnsi="宋体"/>
                <w:b w:val="0"/>
                <w:bCs/>
                <w:sz w:val="22"/>
                <w:szCs w:val="22"/>
              </w:rPr>
              <w:t>78</w:t>
            </w:r>
            <w:r>
              <w:rPr>
                <w:rFonts w:ascii="宋体" w:hAnsi="宋体" w:hint="eastAsia"/>
                <w:b w:val="0"/>
                <w:bCs/>
                <w:sz w:val="22"/>
                <w:szCs w:val="22"/>
              </w:rPr>
              <w:t>号）规定，纳税人利用畜禽粪便生产的沼气，以及利用畜禽粪便发酵产生的沼气生产的电力，可以享受增值税即征即退</w:t>
            </w:r>
            <w:r>
              <w:rPr>
                <w:rFonts w:ascii="宋体" w:hAnsi="宋体"/>
                <w:b w:val="0"/>
                <w:bCs/>
                <w:sz w:val="22"/>
                <w:szCs w:val="22"/>
              </w:rPr>
              <w:t>100%</w:t>
            </w:r>
            <w:r>
              <w:rPr>
                <w:rFonts w:ascii="宋体" w:hAnsi="宋体" w:hint="eastAsia"/>
                <w:b w:val="0"/>
                <w:bCs/>
                <w:sz w:val="22"/>
                <w:szCs w:val="22"/>
              </w:rPr>
              <w:t>的优惠政策。支持规模养殖场、第三方处理企业、社会化服务组织建设粪污处理设施，积极推广使用有机肥。鼓励地方政府和社会资本设立投资基金，创新粪污资源化利用设施建设和运营模式。</w:t>
            </w:r>
          </w:p>
        </w:tc>
        <w:tc>
          <w:tcPr>
            <w:tcW w:w="850" w:type="dxa"/>
            <w:vAlign w:val="center"/>
          </w:tcPr>
          <w:p>
            <w:pPr>
              <w:adjustRightInd w:val="0"/>
              <w:snapToGrid w:val="0"/>
              <w:spacing w:line="400" w:lineRule="exact"/>
              <w:rPr>
                <w:rFonts w:ascii="宋体" w:hAnsi="宋体"/>
                <w:b w:val="0"/>
                <w:bCs/>
                <w:spacing w:val="-20"/>
                <w:kern w:val="0"/>
                <w:sz w:val="22"/>
              </w:rPr>
            </w:pPr>
          </w:p>
        </w:tc>
        <w:tc>
          <w:tcPr>
            <w:tcW w:w="851" w:type="dxa"/>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财政厅、省发展改革委、农业厅、环境保护厅、</w:t>
            </w:r>
          </w:p>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省国税局等负责</w:t>
            </w:r>
          </w:p>
        </w:tc>
        <w:tc>
          <w:tcPr>
            <w:tcW w:w="836" w:type="dxa"/>
            <w:vMerge w:val="restart"/>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各市（州）人民政府</w:t>
            </w: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ascii="宋体" w:hAnsi="宋体" w:hint="eastAsia"/>
                <w:b w:val="0"/>
                <w:bCs/>
                <w:sz w:val="22"/>
                <w:szCs w:val="22"/>
              </w:rPr>
              <w:t>年</w:t>
            </w:r>
          </w:p>
        </w:tc>
      </w:tr>
      <w:tr>
        <w:tblPrEx>
          <w:tblW w:w="8522" w:type="dxa"/>
          <w:jc w:val="center"/>
          <w:tblLayout w:type="fixed"/>
          <w:tblCellMar>
            <w:top w:w="0" w:type="dxa"/>
            <w:left w:w="108" w:type="dxa"/>
            <w:bottom w:w="0" w:type="dxa"/>
            <w:right w:w="108" w:type="dxa"/>
          </w:tblCellMar>
        </w:tblPrEx>
        <w:trPr>
          <w:trHeight w:val="785"/>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13</w:t>
            </w:r>
          </w:p>
        </w:tc>
        <w:tc>
          <w:tcPr>
            <w:tcW w:w="4513" w:type="dxa"/>
            <w:vAlign w:val="center"/>
          </w:tcPr>
          <w:p>
            <w:pPr>
              <w:spacing w:line="380" w:lineRule="exact"/>
              <w:rPr>
                <w:rFonts w:ascii="宋体" w:hAnsi="宋体"/>
                <w:b w:val="0"/>
                <w:bCs/>
                <w:sz w:val="22"/>
              </w:rPr>
            </w:pPr>
            <w:r>
              <w:rPr>
                <w:rFonts w:ascii="宋体" w:hAnsi="宋体" w:hint="eastAsia"/>
                <w:b w:val="0"/>
                <w:bCs/>
                <w:sz w:val="22"/>
                <w:szCs w:val="22"/>
              </w:rPr>
              <w:t>落实规模养殖场内养殖相关活动农业用电政策，对规模养殖场内为获得各种畜禽产品而从事的动物饲养活动用电执行农业生产电价。落实《中华人民共和国可再生能源法》《四川省可再生能源发电全额保障性收购管理实施细则》，督促电网公司对生物质发电实行全额保障性收购。降低单机发电功率门槛，沼气发电项目实行属地备案管理，接收符合入网技术标准的生物天然气入网城市燃气管网。将符合要求的规模化养殖设施、规模养殖场粪污资源化和有机肥生产积造设施纳入设施农用地管理，将以畜禽养殖废弃物为主要原料的规模化生物天然气工程、大型沼气工程、有机肥厂、集中处理中心建设用地纳入土地利用总体规划，积极保障合理用地要求。</w:t>
            </w:r>
          </w:p>
        </w:tc>
        <w:tc>
          <w:tcPr>
            <w:tcW w:w="850" w:type="dxa"/>
            <w:vAlign w:val="center"/>
          </w:tcPr>
          <w:p>
            <w:pPr>
              <w:adjustRightInd w:val="0"/>
              <w:snapToGrid w:val="0"/>
              <w:spacing w:line="400" w:lineRule="exact"/>
              <w:rPr>
                <w:rFonts w:ascii="宋体" w:hAnsi="宋体"/>
                <w:b w:val="0"/>
                <w:bCs/>
                <w:spacing w:val="-20"/>
                <w:kern w:val="0"/>
                <w:sz w:val="22"/>
              </w:rPr>
            </w:pPr>
          </w:p>
        </w:tc>
        <w:tc>
          <w:tcPr>
            <w:tcW w:w="851" w:type="dxa"/>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财政厅、省发展改革委、国土资源厅、农业厅、环境保护厅、住房城乡建设厅、国网四川电力等负责</w:t>
            </w:r>
          </w:p>
        </w:tc>
        <w:tc>
          <w:tcPr>
            <w:tcW w:w="836" w:type="dxa"/>
            <w:vMerge/>
            <w:vAlign w:val="center"/>
          </w:tcPr>
          <w:p>
            <w:pPr>
              <w:adjustRightInd w:val="0"/>
              <w:snapToGrid w:val="0"/>
              <w:spacing w:line="400" w:lineRule="exact"/>
              <w:rPr>
                <w:rFonts w:ascii="宋体" w:hAnsi="宋体"/>
                <w:b w:val="0"/>
                <w:bCs/>
                <w:spacing w:val="-20"/>
                <w:kern w:val="0"/>
                <w:sz w:val="22"/>
              </w:rPr>
            </w:pP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ascii="宋体" w:hAnsi="宋体" w:hint="eastAsia"/>
                <w:b w:val="0"/>
                <w:bCs/>
                <w:sz w:val="22"/>
                <w:szCs w:val="22"/>
              </w:rPr>
              <w:t>年</w:t>
            </w:r>
          </w:p>
        </w:tc>
      </w:tr>
      <w:tr>
        <w:tblPrEx>
          <w:tblW w:w="8522" w:type="dxa"/>
          <w:jc w:val="center"/>
          <w:tblLayout w:type="fixed"/>
          <w:tblCellMar>
            <w:top w:w="0" w:type="dxa"/>
            <w:left w:w="108" w:type="dxa"/>
            <w:bottom w:w="0" w:type="dxa"/>
            <w:right w:w="108" w:type="dxa"/>
          </w:tblCellMar>
        </w:tblPrEx>
        <w:trPr>
          <w:trHeight w:val="1520"/>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14</w:t>
            </w:r>
          </w:p>
        </w:tc>
        <w:tc>
          <w:tcPr>
            <w:tcW w:w="4513" w:type="dxa"/>
            <w:vAlign w:val="center"/>
          </w:tcPr>
          <w:p>
            <w:pPr>
              <w:spacing w:line="400" w:lineRule="exact"/>
              <w:rPr>
                <w:rFonts w:ascii="宋体" w:hAnsi="宋体"/>
                <w:b w:val="0"/>
                <w:bCs/>
                <w:sz w:val="22"/>
              </w:rPr>
            </w:pPr>
            <w:r>
              <w:rPr>
                <w:rFonts w:ascii="宋体" w:hAnsi="宋体" w:hint="eastAsia"/>
                <w:b w:val="0"/>
                <w:bCs/>
                <w:sz w:val="22"/>
                <w:szCs w:val="22"/>
              </w:rPr>
              <w:t>开展各类规模养殖粪便、沼液处理利用模式研究，规范养殖企业的粪便处理行为。开展包括对水果、经济作物、蔬菜及牧草等的有机肥使用和施肥方法研究。健全畜禽粪污还田利用和检测标准体系，制定有机肥使用技术指南，科学利用和促进有机肥产业发展，推进饲料中有机矿物元素替代无机矿物元素。结合农业部发布的畜禽粪污资源化利用模式，因地制宜确定本地主推模式，细化工艺技术并加以创新推广。深入开展畜禽粪污处理工艺、安全利用途径研究以及粪污处理模式技术经济效果评价，建立畜禽粪污资源化综合利用创新示范基地，形成具有四川特色的畜禽粪污资源化利用方式。</w:t>
            </w:r>
          </w:p>
        </w:tc>
        <w:tc>
          <w:tcPr>
            <w:tcW w:w="850" w:type="dxa"/>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农业厅</w:t>
            </w:r>
          </w:p>
        </w:tc>
        <w:tc>
          <w:tcPr>
            <w:tcW w:w="851" w:type="dxa"/>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科技厅</w:t>
            </w:r>
          </w:p>
        </w:tc>
        <w:tc>
          <w:tcPr>
            <w:tcW w:w="836" w:type="dxa"/>
            <w:vMerge w:val="restart"/>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各市（州）人民政府</w:t>
            </w: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ascii="宋体" w:hAnsi="宋体" w:hint="eastAsia"/>
                <w:b w:val="0"/>
                <w:bCs/>
                <w:sz w:val="22"/>
                <w:szCs w:val="22"/>
              </w:rPr>
              <w:t>年</w:t>
            </w:r>
          </w:p>
        </w:tc>
      </w:tr>
      <w:tr>
        <w:tblPrEx>
          <w:tblW w:w="8522" w:type="dxa"/>
          <w:jc w:val="center"/>
          <w:tblLayout w:type="fixed"/>
          <w:tblCellMar>
            <w:top w:w="0" w:type="dxa"/>
            <w:left w:w="108" w:type="dxa"/>
            <w:bottom w:w="0" w:type="dxa"/>
            <w:right w:w="108" w:type="dxa"/>
          </w:tblCellMar>
        </w:tblPrEx>
        <w:trPr>
          <w:trHeight w:val="1520"/>
          <w:jc w:val="center"/>
        </w:trPr>
        <w:tc>
          <w:tcPr>
            <w:tcW w:w="557" w:type="dxa"/>
            <w:vAlign w:val="center"/>
          </w:tcPr>
          <w:p>
            <w:pPr>
              <w:spacing w:line="400" w:lineRule="exact"/>
              <w:jc w:val="center"/>
              <w:rPr>
                <w:rFonts w:ascii="宋体" w:hAnsi="宋体"/>
                <w:b w:val="0"/>
                <w:bCs/>
                <w:sz w:val="22"/>
              </w:rPr>
            </w:pPr>
            <w:r>
              <w:rPr>
                <w:rFonts w:ascii="宋体" w:hAnsi="宋体"/>
                <w:b w:val="0"/>
                <w:bCs/>
                <w:sz w:val="22"/>
                <w:szCs w:val="22"/>
              </w:rPr>
              <w:t>15</w:t>
            </w:r>
          </w:p>
        </w:tc>
        <w:tc>
          <w:tcPr>
            <w:tcW w:w="4513" w:type="dxa"/>
            <w:vAlign w:val="center"/>
          </w:tcPr>
          <w:p>
            <w:pPr>
              <w:spacing w:line="400" w:lineRule="exact"/>
              <w:rPr>
                <w:rFonts w:ascii="宋体" w:hAnsi="宋体"/>
                <w:b w:val="0"/>
                <w:bCs/>
                <w:sz w:val="22"/>
              </w:rPr>
            </w:pPr>
            <w:r>
              <w:rPr>
                <w:rFonts w:ascii="宋体" w:hAnsi="宋体" w:hint="eastAsia"/>
                <w:b w:val="0"/>
                <w:bCs/>
                <w:sz w:val="22"/>
                <w:szCs w:val="22"/>
              </w:rPr>
              <w:t>围绕供给侧结构性改革，提升畜牧产业结构特色化水平。大力开展畜牧业绿色发展示范县创建，加快畜禽粪污资源化利用重点县项目整县推进，做好畜禽粪污综合利用和病死畜禽无害化处理，促进畜牧业生产和生态环境保护协调发展。</w:t>
            </w:r>
          </w:p>
        </w:tc>
        <w:tc>
          <w:tcPr>
            <w:tcW w:w="850" w:type="dxa"/>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农业厅</w:t>
            </w:r>
          </w:p>
        </w:tc>
        <w:tc>
          <w:tcPr>
            <w:tcW w:w="851" w:type="dxa"/>
            <w:vAlign w:val="center"/>
          </w:tcPr>
          <w:p>
            <w:pPr>
              <w:adjustRightInd w:val="0"/>
              <w:snapToGrid w:val="0"/>
              <w:spacing w:line="400" w:lineRule="exact"/>
              <w:rPr>
                <w:rFonts w:ascii="宋体" w:hAnsi="宋体"/>
                <w:b w:val="0"/>
                <w:bCs/>
                <w:spacing w:val="-20"/>
                <w:kern w:val="0"/>
                <w:sz w:val="22"/>
              </w:rPr>
            </w:pPr>
            <w:r>
              <w:rPr>
                <w:rFonts w:ascii="宋体" w:hAnsi="宋体" w:hint="eastAsia"/>
                <w:b w:val="0"/>
                <w:bCs/>
                <w:spacing w:val="-20"/>
                <w:kern w:val="0"/>
                <w:sz w:val="22"/>
                <w:szCs w:val="22"/>
              </w:rPr>
              <w:t>省发展改革委、财政厅</w:t>
            </w:r>
          </w:p>
        </w:tc>
        <w:tc>
          <w:tcPr>
            <w:tcW w:w="836" w:type="dxa"/>
            <w:vMerge/>
            <w:vAlign w:val="center"/>
          </w:tcPr>
          <w:p>
            <w:pPr>
              <w:adjustRightInd w:val="0"/>
              <w:snapToGrid w:val="0"/>
              <w:spacing w:line="400" w:lineRule="exact"/>
              <w:rPr>
                <w:rFonts w:ascii="宋体" w:hAnsi="宋体"/>
                <w:b w:val="0"/>
                <w:bCs/>
                <w:spacing w:val="-20"/>
                <w:kern w:val="0"/>
                <w:sz w:val="22"/>
              </w:rPr>
            </w:pPr>
          </w:p>
        </w:tc>
        <w:tc>
          <w:tcPr>
            <w:tcW w:w="915" w:type="dxa"/>
            <w:vAlign w:val="center"/>
          </w:tcPr>
          <w:p>
            <w:pPr>
              <w:spacing w:line="400" w:lineRule="exact"/>
              <w:rPr>
                <w:rFonts w:ascii="宋体" w:hAnsi="宋体"/>
                <w:b w:val="0"/>
                <w:bCs/>
                <w:sz w:val="22"/>
              </w:rPr>
            </w:pPr>
            <w:r>
              <w:rPr>
                <w:rFonts w:ascii="宋体" w:hAnsi="宋体"/>
                <w:b w:val="0"/>
                <w:bCs/>
                <w:sz w:val="22"/>
                <w:szCs w:val="22"/>
              </w:rPr>
              <w:t>2018- 2020</w:t>
            </w:r>
            <w:r>
              <w:rPr>
                <w:rFonts w:ascii="宋体" w:hAnsi="宋体" w:hint="eastAsia"/>
                <w:b w:val="0"/>
                <w:bCs/>
                <w:sz w:val="22"/>
                <w:szCs w:val="22"/>
              </w:rPr>
              <w:t>年</w:t>
            </w:r>
          </w:p>
        </w:tc>
      </w:tr>
    </w:tbl>
    <w:p>
      <w:pPr>
        <w:spacing w:line="600" w:lineRule="exact"/>
        <w:ind w:firstLine="640" w:firstLineChars="200"/>
        <w:rPr>
          <w:rFonts w:ascii="仿宋_GB2312" w:eastAsia="仿宋_GB2312"/>
          <w:b w:val="0"/>
          <w:bCs/>
          <w:sz w:val="32"/>
          <w:szCs w:val="32"/>
        </w:rPr>
      </w:pPr>
    </w:p>
    <w:p>
      <w:pPr>
        <w:spacing w:line="600" w:lineRule="exact"/>
        <w:ind w:firstLine="640" w:firstLineChars="200"/>
        <w:rPr>
          <w:rFonts w:ascii="仿宋_GB2312" w:eastAsia="仿宋_GB2312"/>
          <w:b w:val="0"/>
          <w:bCs/>
          <w:sz w:val="32"/>
          <w:szCs w:val="32"/>
        </w:rPr>
      </w:pPr>
    </w:p>
    <w:p>
      <w:pPr>
        <w:spacing w:line="600" w:lineRule="exact"/>
        <w:ind w:firstLine="640" w:firstLineChars="200"/>
        <w:rPr>
          <w:rFonts w:ascii="仿宋_GB2312" w:eastAsia="仿宋_GB2312"/>
          <w:b w:val="0"/>
          <w:bCs/>
          <w:sz w:val="32"/>
          <w:szCs w:val="32"/>
        </w:rPr>
      </w:pPr>
    </w:p>
    <w:p>
      <w:pPr>
        <w:rPr>
          <w:b w:val="0"/>
          <w:bCs/>
        </w:rPr>
      </w:pPr>
    </w:p>
    <w:sectPr>
      <w:footerReference w:type="default" r:id="rId5"/>
      <w:pgSz w:w="11906" w:h="16838"/>
      <w:pgMar w:top="1757" w:right="1474" w:bottom="1757" w:left="1474" w:header="851" w:footer="1417" w:gutter="0"/>
      <w:pgNumType w:start="9"/>
      <w:cols w:num="1" w:space="0"/>
      <w:docGrid w:type="lines" w:linePitch="31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r>
      <w:rPr>
        <w:rFonts w:ascii="Calibri" w:eastAsia="宋体" w:hAnsi="Calibri" w:cs="Times New Roman"/>
        <w:kern w:val="2"/>
        <w:sz w:val="18"/>
        <w:szCs w:val="18"/>
        <w:lang w:val="en-US" w:eastAsia="zh-CN" w:bidi="ar-SA"/>
      </w:rPr>
      <w:pict>
        <v:shapetype id="_x0000_t202" coordsize="21600,21600" o:spt="202" path="m,l,21600r21600,l21600,xe">
          <v:stroke joinstyle="miter"/>
          <v:path gradientshapeok="t" o:connecttype="rect"/>
        </v:shapetype>
        <v:shape id="文本框1" o:spid="_x0000_s2049" type="#_x0000_t202" style="width:2in;height:2in;margin-top:0;margin-left:0;mso-position-horizontal:outside;mso-position-horizontal-relative:margin;mso-wrap-style:none;position:absolute;z-index:251658240" coordorigin="0,0" coordsize="21600,21600" o:preferrelative="t" filled="f" fillcolor="white" stroked="f">
          <v:fill color2="white" focus="0"/>
          <o:lock v:ext="edit" aspectratio="f"/>
          <v:textbox style="mso-fit-shape-to-text:t" inset="0,0,0,0">
            <w:txbxContent>
              <w:p>
                <w:pPr>
                  <w:pStyle w:val="Footer"/>
                  <w:jc w:val="center"/>
                  <w:rPr>
                    <w:rFonts w:ascii="宋体" w:hAnsi="宋体" w:cs="宋体"/>
                    <w:sz w:val="28"/>
                    <w:szCs w:val="28"/>
                  </w:rPr>
                </w:pPr>
                <w:r>
                  <w:rPr>
                    <w:rFonts w:ascii="宋体" w:hAnsi="宋体" w:cs="宋体"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rPr>
                  <w:t>9</w:t>
                </w:r>
                <w:r>
                  <w:rPr>
                    <w:rFonts w:ascii="Times New Roman" w:hAnsi="Times New Roman"/>
                    <w:sz w:val="28"/>
                    <w:szCs w:val="28"/>
                    <w:lang w:val="zh-CN"/>
                  </w:rPr>
                  <w:fldChar w:fldCharType="end"/>
                </w:r>
                <w:r>
                  <w:rPr>
                    <w:rFonts w:ascii="Times New Roman" w:hAnsi="Times New Roman"/>
                    <w:sz w:val="28"/>
                    <w:szCs w:val="28"/>
                  </w:rPr>
                  <w:t xml:space="preserve"> </w:t>
                </w:r>
                <w:r>
                  <w:rPr>
                    <w:rFonts w:ascii="宋体" w:hAnsi="宋体" w:cs="宋体" w:hint="eastAsia"/>
                    <w:sz w:val="28"/>
                    <w:szCs w:val="28"/>
                    <w:lang w:val="zh-CN"/>
                  </w:rPr>
                  <w:t>—</w:t>
                </w:r>
              </w:p>
            </w:txbxContent>
          </v:textbox>
          <w10:wrap anchorx="margin"/>
        </v:shape>
      </w:pict>
    </w:r>
  </w:p>
  <w:p>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pPr>
        <w:spacing w:after="200" w:line="276" w:lineRule="auto"/>
      </w:pPr>
    </w:pPrDefault>
  </w:docDefaults>
  <w:latentStyles w:defLockedState="0" w:defUIPriority="99" w:defSemiHidden="1" w:defUnhideWhenUsed="1" w:defQFormat="0" w:count="156">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footnote text" w:uiPriority="0"/>
    <w:lsdException w:name="annotation text" w:uiPriority="0"/>
    <w:lsdException w:name="header" w:unhideWhenUsed="0"/>
    <w:lsdException w:name="footer" w:semiHidden="0" w:unhideWhenUsed="0"/>
    <w:lsdException w:name="index heading" w:uiPriority="0"/>
    <w:lsdException w:name="caption" w:locked="1" w:uiPriority="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locked="1" w:semiHidden="0" w:uiPriority="0" w:unhideWhenUsed="0" w:qFormat="1"/>
    <w:lsdException w:name="Document Map" w:uiPriority="0"/>
    <w:lsdException w:name="Plain Text" w:uiPriority="0"/>
    <w:lsdException w:name="E-mail Signature" w:uiPriority="0"/>
    <w:lsdException w:name="Normal (Web)" w:semiHidden="0" w:unhideWhenUsed="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latentStyles>
  <w:style w:type="paragraph" w:default="1" w:styleId="Normal">
    <w:name w:val="Normal"/>
    <w:qFormat/>
    <w:pPr>
      <w:widowControl w:val="0"/>
      <w:jc w:val="both"/>
    </w:pPr>
    <w:rPr>
      <w:rFonts w:ascii="Calibri" w:eastAsia="宋体" w:hAnsi="Calibri" w:cs="Times New Roman"/>
      <w:kern w:val="2"/>
      <w:sz w:val="21"/>
      <w:szCs w:val="21"/>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CharChar0"/>
    <w:uiPriority w:val="99"/>
    <w:pPr>
      <w:tabs>
        <w:tab w:val="center" w:pos="4153"/>
        <w:tab w:val="right" w:pos="8306"/>
      </w:tabs>
      <w:snapToGrid w:val="0"/>
      <w:jc w:val="left"/>
    </w:pPr>
    <w:rPr>
      <w:sz w:val="18"/>
      <w:szCs w:val="18"/>
    </w:rPr>
  </w:style>
  <w:style w:type="paragraph" w:styleId="Header">
    <w:name w:val="header"/>
    <w:basedOn w:val="Normal"/>
    <w:link w:val="CharChar"/>
    <w:uiPriority w:val="99"/>
    <w:semiHidden/>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pPr>
      <w:spacing w:before="100" w:beforeAutospacing="1" w:after="100" w:afterAutospacing="1"/>
      <w:jc w:val="left"/>
    </w:pPr>
    <w:rPr>
      <w:kern w:val="0"/>
      <w:sz w:val="24"/>
    </w:rPr>
  </w:style>
  <w:style w:type="character" w:styleId="Strong">
    <w:name w:val="Strong"/>
    <w:basedOn w:val="DefaultParagraphFont"/>
    <w:uiPriority w:val="99"/>
    <w:qFormat/>
    <w:rPr>
      <w:rFonts w:cs="Times New Roman"/>
      <w:b/>
    </w:rPr>
  </w:style>
  <w:style w:type="paragraph" w:customStyle="1" w:styleId="a">
    <w:name w:val="二级标题"/>
    <w:basedOn w:val="Normal"/>
    <w:uiPriority w:val="99"/>
    <w:pPr>
      <w:spacing w:line="560" w:lineRule="exact"/>
      <w:ind w:firstLine="200" w:firstLineChars="200"/>
      <w:outlineLvl w:val="1"/>
    </w:pPr>
    <w:rPr>
      <w:rFonts w:eastAsia="黑体"/>
      <w:bCs/>
      <w:sz w:val="32"/>
    </w:rPr>
  </w:style>
  <w:style w:type="character" w:customStyle="1" w:styleId="CharChar">
    <w:name w:val="页眉 Char Char"/>
    <w:basedOn w:val="DefaultParagraphFont"/>
    <w:link w:val="Header"/>
    <w:uiPriority w:val="99"/>
    <w:rPr>
      <w:rFonts w:cs="Times New Roman"/>
      <w:sz w:val="18"/>
      <w:szCs w:val="18"/>
    </w:rPr>
  </w:style>
  <w:style w:type="character" w:customStyle="1" w:styleId="CharChar0">
    <w:name w:val="页脚 Char Char"/>
    <w:basedOn w:val="DefaultParagraphFont"/>
    <w:link w:val="Footer"/>
    <w:uiPriority w:val="99"/>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566</Words>
  <Characters>3230</Characters>
  <Application>Microsoft Office Word</Application>
  <DocSecurity>0</DocSecurity>
  <Lines>26</Lines>
  <Paragraphs>7</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2017-11-03T03:16:00Z</cp:lastPrinted>
  <dcterms:created xsi:type="dcterms:W3CDTF">2017-11-02T10:14:00Z</dcterms:created>
  <dcterms:modified xsi:type="dcterms:W3CDTF">2017-11-03T07:32:00Z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