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重点任务分工表</w:t>
      </w:r>
    </w:p>
    <w:p>
      <w:pPr>
        <w:spacing w:line="600" w:lineRule="exact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3"/>
        <w:tblW w:w="14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928"/>
        <w:gridCol w:w="1944"/>
        <w:gridCol w:w="2707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tblHeader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重点任务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责任单位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配合单位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时限要求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１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适龄残疾儿童义务教育入学率达到97%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省发展改革委、民政厅、财政厅、人力资源社会保障厅、省卫生健康委、省残联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2025年底完成并长期坚持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２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探索推进残疾学生15年免费教育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鼓励</w:t>
            </w: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20万人口以上的县（市、区）办好一所达到标准的特殊教育学校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每个市（州）和有条件的县（市、区）都有一个残疾人中等职教部（班）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民政厅、财政厅、人力资源社会保障厅、省卫生健康委、省残联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2025年底前完成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落实《第二期国家通用手语和盲文规范化行动计划（2021—2025年）》，加快推广国家通用手语和国家通用盲文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省残联、教育厅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促进医疗康复、信息技术与特殊教育融合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民政厅、省卫生健康委、省残联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建设全省特殊教育信息管理平台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民政厅、省卫生健康委、省残联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2025年底前完成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实施特殊教育学校“暖心工程”，持续改善薄弱特殊教育学校办学条件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按中央统一部署，到2025年将义务教育阶段特殊教育生均公用经费补助标准提高至每生每年7000元以上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教育厅、民政厅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2025年底前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建设高素质特殊教育教师队伍，提高特殊教育教师待遇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教育厅、人力资源社会保障厅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长期坚持</w:t>
            </w:r>
          </w:p>
        </w:tc>
      </w:tr>
    </w:tbl>
    <w:p>
      <w:pPr>
        <w:spacing w:line="600" w:lineRule="exact"/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3A727546"/>
    <w:rsid w:val="3A72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552</Characters>
  <Lines>0</Lines>
  <Paragraphs>0</Paragraphs>
  <TotalTime>0</TotalTime>
  <ScaleCrop>false</ScaleCrop>
  <LinksUpToDate>false</LinksUpToDate>
  <CharactersWithSpaces>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2023-01-11T09:34:00Z</dcterms:created>
  <dc:creator>胡豆儿</dc:creator>
  <cp:lastModifiedBy>胡豆儿</cp:lastModifiedBy>
  <dcterms:modified xsi:type="dcterms:W3CDTF">2023-01-11T09:35:22Z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354438A9718C40A6B5D7A93A1F2CE38B</vt:lpwstr>
  </property>
</Properties>
</file>