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329" w:rightChars="633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四川省202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年中小学教辅材料评议送评登记表</w:t>
      </w:r>
    </w:p>
    <w:p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送评单位（公章）：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02"/>
        <w:gridCol w:w="1584"/>
        <w:gridCol w:w="746"/>
        <w:gridCol w:w="54"/>
        <w:gridCol w:w="113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送评教辅材料基本信息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542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种  类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著作权人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（姓名/单位）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印张数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配套教材版本</w:t>
            </w:r>
          </w:p>
        </w:tc>
        <w:tc>
          <w:tcPr>
            <w:tcW w:w="5423" w:type="dxa"/>
            <w:gridSpan w:val="5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适用年级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送评联系人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送评教辅材料主要编写者信息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2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</w:trPr>
        <w:tc>
          <w:tcPr>
            <w:tcW w:w="8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教辅材料主要特点</w:t>
            </w:r>
          </w:p>
        </w:tc>
        <w:tc>
          <w:tcPr>
            <w:tcW w:w="762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Arial"/>
          <w:color w:val="000000"/>
          <w:kern w:val="0"/>
          <w:sz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</w:rPr>
        <w:t>说明：1.“种类”分为：同步练习类、寒暑假作业类、考试辅导类、学习辅助类。</w:t>
      </w:r>
    </w:p>
    <w:p>
      <w:pPr>
        <w:spacing w:line="360" w:lineRule="exact"/>
        <w:ind w:firstLine="720" w:firstLineChars="300"/>
      </w:pPr>
      <w:r>
        <w:rPr>
          <w:rFonts w:hint="eastAsia" w:ascii="仿宋" w:hAnsi="仿宋" w:eastAsia="仿宋" w:cs="Arial"/>
          <w:color w:val="000000"/>
          <w:kern w:val="0"/>
          <w:sz w:val="24"/>
        </w:rPr>
        <w:t>2.“送评教辅材料主要编写者信息”可根据实际情况自行加行填写。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3C2E2D5-E0A6-4C05-AB9F-F2A5CACB3F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6A2B5C-83D9-46D1-B5EE-450338472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187D826-3991-43CE-A0FF-5E126322B47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C6352E0-A11C-4411-9D9C-24CF0E7D42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4D71EE0-C87A-44E9-98EA-D8D6223F7E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436AF0D-2829-4DBA-93CC-2745942C238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F5583E41-F057-448F-A7F3-753D8E85C4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1C2A58FC"/>
    <w:rsid w:val="1C2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2023-08-28T03:58:00Z</dcterms:created>
  <dc:creator>胡豆儿</dc:creator>
  <cp:lastModifiedBy>胡豆儿</cp:lastModifiedBy>
  <dcterms:modified xsi:type="dcterms:W3CDTF">2023-08-28T03:58:50Z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85507EFBBD9B4AC8916632D1184B98D3_11</vt:lpwstr>
  </property>
</Properties>
</file>