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方正小标宋简体" w:eastAsia="方正小标宋简体"/>
          <w:sz w:val="44"/>
          <w:szCs w:val="44"/>
        </w:rPr>
      </w:pPr>
    </w:p>
    <w:p>
      <w:pPr>
        <w:adjustRightInd w:val="0"/>
        <w:snapToGrid w:val="0"/>
        <w:spacing w:line="600" w:lineRule="exact"/>
        <w:jc w:val="center"/>
        <w:rPr>
          <w:rFonts w:ascii="方正小标宋简体" w:eastAsia="方正小标宋简体"/>
          <w:sz w:val="44"/>
          <w:szCs w:val="44"/>
        </w:rPr>
      </w:pPr>
    </w:p>
    <w:p>
      <w:pPr>
        <w:adjustRightInd w:val="0"/>
        <w:snapToGrid w:val="0"/>
        <w:spacing w:line="600" w:lineRule="exact"/>
        <w:jc w:val="center"/>
        <w:rPr>
          <w:rFonts w:hint="eastAsia" w:asciiTheme="majorEastAsia" w:hAnsiTheme="majorEastAsia" w:eastAsiaTheme="majorEastAsia" w:cstheme="majorEastAsia"/>
          <w:sz w:val="44"/>
          <w:szCs w:val="44"/>
          <w:lang w:val="en-US" w:eastAsia="zh-CN"/>
        </w:rPr>
      </w:pPr>
      <w:bookmarkStart w:id="0" w:name="OLE_LINK1"/>
      <w:r>
        <w:rPr>
          <w:rFonts w:hint="eastAsia" w:asciiTheme="majorEastAsia" w:hAnsiTheme="majorEastAsia" w:eastAsiaTheme="majorEastAsia" w:cstheme="majorEastAsia"/>
          <w:sz w:val="44"/>
          <w:szCs w:val="44"/>
          <w:lang w:val="en-US" w:eastAsia="zh-CN"/>
        </w:rPr>
        <w:t>四川省行政调解工作暂行办法</w:t>
      </w:r>
    </w:p>
    <w:bookmarkEnd w:id="0"/>
    <w:p>
      <w:pPr>
        <w:adjustRightInd w:val="0"/>
        <w:snapToGrid w:val="0"/>
        <w:spacing w:line="600" w:lineRule="exact"/>
        <w:rPr>
          <w:rFonts w:ascii="楷体_GB2312" w:hAnsi="楷体" w:eastAsia="楷体_GB2312"/>
          <w:sz w:val="32"/>
          <w:szCs w:val="32"/>
        </w:rPr>
      </w:pPr>
      <w:r>
        <w:rPr>
          <w:rFonts w:hint="eastAsia" w:ascii="楷体_GB2312" w:hAnsi="楷体" w:eastAsia="楷体_GB2312"/>
          <w:sz w:val="32"/>
          <w:szCs w:val="32"/>
        </w:rPr>
        <w:t>　　（2022年12月28日四川省人民政府令第354号公布</w:t>
      </w:r>
      <w:r>
        <w:rPr>
          <w:rFonts w:hint="eastAsia" w:ascii="楷体_GB2312" w:hAnsi="楷体" w:eastAsia="楷体_GB2312"/>
          <w:sz w:val="32"/>
          <w:szCs w:val="32"/>
          <w:lang w:eastAsia="zh-CN"/>
        </w:rPr>
        <w:t>　</w:t>
      </w:r>
      <w:r>
        <w:rPr>
          <w:rFonts w:hint="eastAsia" w:ascii="楷体_GB2312" w:hAnsi="楷体" w:eastAsia="楷体_GB2312"/>
          <w:sz w:val="32"/>
          <w:szCs w:val="32"/>
        </w:rPr>
        <w:t>自2023年3月1日起施行</w:t>
      </w:r>
      <w:r>
        <w:rPr>
          <w:rFonts w:ascii="楷体_GB2312" w:hAnsi="楷体" w:eastAsia="楷体_GB2312"/>
          <w:sz w:val="32"/>
          <w:szCs w:val="32"/>
        </w:rPr>
        <w:t>）</w:t>
      </w:r>
    </w:p>
    <w:p>
      <w:pPr>
        <w:pStyle w:val="18"/>
        <w:keepNext w:val="0"/>
        <w:keepLines w:val="0"/>
        <w:pageBreakBefore w:val="0"/>
        <w:widowControl w:val="0"/>
        <w:kinsoku/>
        <w:wordWrap/>
        <w:overflowPunct/>
        <w:topLinePunct w:val="0"/>
        <w:autoSpaceDE/>
        <w:autoSpaceDN/>
        <w:bidi w:val="0"/>
        <w:adjustRightInd/>
        <w:snapToGrid/>
        <w:spacing w:line="550" w:lineRule="exact"/>
        <w:ind w:left="0" w:leftChars="0" w:right="1357" w:rightChars="617" w:firstLine="0" w:firstLineChars="0"/>
        <w:jc w:val="both"/>
        <w:textAlignment w:val="auto"/>
        <w:rPr>
          <w:rFonts w:hint="default" w:ascii="Times New Roman" w:hAnsi="Times New Roman" w:eastAsia="楷体_GB2312" w:cs="Times New Roman"/>
          <w:b/>
          <w:bCs w:val="0"/>
          <w:color w:val="auto"/>
          <w:sz w:val="44"/>
          <w:szCs w:val="44"/>
          <w:highlight w:val="none"/>
          <w:lang w:eastAsia="zh-Hans"/>
        </w:rPr>
      </w:pPr>
    </w:p>
    <w:p>
      <w:pPr>
        <w:pStyle w:val="3"/>
        <w:pageBreakBefore w:val="0"/>
        <w:kinsoku/>
        <w:wordWrap/>
        <w:overflowPunct/>
        <w:topLinePunct w:val="0"/>
        <w:autoSpaceDE/>
        <w:autoSpaceDN/>
        <w:bidi w:val="0"/>
        <w:adjustRightInd/>
        <w:snapToGrid/>
        <w:spacing w:before="0" w:after="0" w:line="550" w:lineRule="exact"/>
        <w:jc w:val="center"/>
        <w:rPr>
          <w:rFonts w:hint="default"/>
          <w:lang w:eastAsia="zh-CN"/>
        </w:rPr>
      </w:pPr>
      <w:bookmarkStart w:id="1" w:name="_Toc1926230398_WPSOffice_Level1"/>
      <w:r>
        <w:rPr>
          <w:rFonts w:hint="default" w:ascii="Times New Roman" w:hAnsi="Times New Roman" w:eastAsia="黑体" w:cs="Times New Roman"/>
          <w:b/>
          <w:bCs w:val="0"/>
          <w:color w:val="auto"/>
          <w:sz w:val="32"/>
          <w:szCs w:val="32"/>
          <w:highlight w:val="none"/>
          <w:lang w:eastAsia="zh-CN"/>
        </w:rPr>
        <w:t>第一章</w:t>
      </w:r>
      <w:r>
        <w:rPr>
          <w:rFonts w:hint="default" w:ascii="Times New Roman" w:hAnsi="Times New Roman" w:eastAsia="黑体" w:cs="Times New Roman"/>
          <w:b/>
          <w:bCs w:val="0"/>
          <w:color w:val="auto"/>
          <w:sz w:val="32"/>
          <w:szCs w:val="32"/>
          <w:highlight w:val="none"/>
          <w:lang w:val="en-US" w:eastAsia="zh-CN"/>
        </w:rPr>
        <w:t xml:space="preserve">    </w:t>
      </w:r>
      <w:r>
        <w:rPr>
          <w:rFonts w:hint="default" w:ascii="Times New Roman" w:hAnsi="Times New Roman" w:eastAsia="黑体" w:cs="Times New Roman"/>
          <w:b/>
          <w:bCs w:val="0"/>
          <w:color w:val="auto"/>
          <w:sz w:val="32"/>
          <w:szCs w:val="32"/>
          <w:highlight w:val="none"/>
          <w:lang w:eastAsia="zh-CN"/>
        </w:rPr>
        <w:t>总</w:t>
      </w:r>
      <w:r>
        <w:rPr>
          <w:rFonts w:hint="default" w:ascii="Times New Roman" w:hAnsi="Times New Roman" w:eastAsia="黑体" w:cs="Times New Roman"/>
          <w:b/>
          <w:bCs w:val="0"/>
          <w:color w:val="auto"/>
          <w:sz w:val="32"/>
          <w:szCs w:val="32"/>
          <w:highlight w:val="none"/>
          <w:lang w:val="en-US" w:eastAsia="zh-CN"/>
        </w:rPr>
        <w:t xml:space="preserve"> </w:t>
      </w:r>
      <w:r>
        <w:rPr>
          <w:rFonts w:hint="default" w:ascii="Times New Roman" w:hAnsi="Times New Roman" w:eastAsia="黑体" w:cs="Times New Roman"/>
          <w:b/>
          <w:bCs w:val="0"/>
          <w:color w:val="auto"/>
          <w:sz w:val="32"/>
          <w:szCs w:val="32"/>
          <w:highlight w:val="none"/>
          <w:lang w:eastAsia="zh-CN"/>
        </w:rPr>
        <w:t>则</w:t>
      </w:r>
      <w:bookmarkEnd w:id="1"/>
      <w:bookmarkStart w:id="2" w:name="1"/>
    </w:p>
    <w:p>
      <w:pPr>
        <w:keepNext w:val="0"/>
        <w:keepLines w:val="0"/>
        <w:pageBreakBefore w:val="0"/>
        <w:widowControl/>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黑体" w:hAnsi="黑体" w:eastAsia="黑体" w:cs="黑体"/>
          <w:b w:val="0"/>
          <w:bCs/>
          <w:color w:val="auto"/>
          <w:kern w:val="2"/>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黑体" w:hAnsi="黑体" w:eastAsia="黑体" w:cs="黑体"/>
          <w:b w:val="0"/>
          <w:bCs/>
          <w:color w:val="auto"/>
          <w:kern w:val="2"/>
          <w:sz w:val="32"/>
          <w:szCs w:val="32"/>
          <w:highlight w:val="none"/>
          <w:lang w:eastAsia="zh-CN"/>
        </w:rPr>
        <w:t>第一条</w:t>
      </w:r>
      <w:bookmarkEnd w:id="2"/>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为</w:t>
      </w:r>
      <w:r>
        <w:rPr>
          <w:rFonts w:hint="eastAsia" w:ascii="仿宋_GB2312" w:hAnsi="仿宋_GB2312" w:eastAsia="仿宋_GB2312" w:cs="仿宋_GB2312"/>
          <w:b w:val="0"/>
          <w:bCs/>
          <w:color w:val="auto"/>
          <w:sz w:val="32"/>
          <w:szCs w:val="32"/>
          <w:highlight w:val="none"/>
          <w:lang w:eastAsia="zh-CN"/>
        </w:rPr>
        <w:t>了</w:t>
      </w:r>
      <w:r>
        <w:rPr>
          <w:rFonts w:hint="eastAsia" w:ascii="仿宋_GB2312" w:hAnsi="仿宋_GB2312" w:eastAsia="仿宋_GB2312" w:cs="仿宋_GB2312"/>
          <w:b w:val="0"/>
          <w:bCs/>
          <w:color w:val="auto"/>
          <w:sz w:val="32"/>
          <w:szCs w:val="32"/>
          <w:highlight w:val="none"/>
        </w:rPr>
        <w:t>规范行政调解</w:t>
      </w:r>
      <w:r>
        <w:rPr>
          <w:rFonts w:hint="eastAsia" w:ascii="仿宋_GB2312" w:hAnsi="仿宋_GB2312" w:eastAsia="仿宋_GB2312" w:cs="仿宋_GB2312"/>
          <w:b w:val="0"/>
          <w:bCs/>
          <w:color w:val="auto"/>
          <w:sz w:val="32"/>
          <w:szCs w:val="32"/>
          <w:highlight w:val="none"/>
          <w:lang w:eastAsia="zh-CN"/>
        </w:rPr>
        <w:t>活动</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val="en-US" w:eastAsia="zh-CN"/>
        </w:rPr>
        <w:t>依法</w:t>
      </w:r>
      <w:r>
        <w:rPr>
          <w:rFonts w:hint="eastAsia" w:ascii="仿宋_GB2312" w:hAnsi="仿宋_GB2312" w:eastAsia="仿宋_GB2312" w:cs="仿宋_GB2312"/>
          <w:b w:val="0"/>
          <w:bCs/>
          <w:color w:val="auto"/>
          <w:sz w:val="32"/>
          <w:szCs w:val="32"/>
          <w:highlight w:val="none"/>
        </w:rPr>
        <w:t>及时有效化解争议纠纷，</w:t>
      </w:r>
      <w:r>
        <w:rPr>
          <w:rFonts w:hint="eastAsia" w:ascii="仿宋_GB2312" w:hAnsi="仿宋_GB2312" w:eastAsia="仿宋_GB2312" w:cs="仿宋_GB2312"/>
          <w:b w:val="0"/>
          <w:bCs/>
          <w:color w:val="auto"/>
          <w:sz w:val="32"/>
          <w:szCs w:val="32"/>
          <w:highlight w:val="none"/>
          <w:lang w:val="en-US" w:eastAsia="zh-CN"/>
        </w:rPr>
        <w:t>深入推进法治政府建设</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val="en-US" w:eastAsia="zh-CN"/>
        </w:rPr>
        <w:t>维护</w:t>
      </w:r>
      <w:r>
        <w:rPr>
          <w:rFonts w:hint="eastAsia" w:ascii="仿宋_GB2312" w:hAnsi="仿宋_GB2312" w:eastAsia="仿宋_GB2312" w:cs="仿宋_GB2312"/>
          <w:b w:val="0"/>
          <w:bCs/>
          <w:color w:val="auto"/>
          <w:sz w:val="32"/>
          <w:szCs w:val="32"/>
          <w:highlight w:val="none"/>
        </w:rPr>
        <w:t>社会和谐稳定</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根据</w:t>
      </w:r>
      <w:r>
        <w:rPr>
          <w:rFonts w:hint="eastAsia" w:ascii="仿宋_GB2312" w:hAnsi="仿宋_GB2312" w:eastAsia="仿宋_GB2312" w:cs="仿宋_GB2312"/>
          <w:b w:val="0"/>
          <w:bCs/>
          <w:color w:val="auto"/>
          <w:sz w:val="32"/>
          <w:szCs w:val="32"/>
          <w:highlight w:val="none"/>
          <w:lang w:eastAsia="zh-CN"/>
        </w:rPr>
        <w:t>《四川省纠纷多元化解条例》等法律</w:t>
      </w:r>
      <w:r>
        <w:rPr>
          <w:rFonts w:hint="eastAsia" w:ascii="仿宋_GB2312" w:hAnsi="仿宋_GB2312" w:eastAsia="仿宋_GB2312" w:cs="仿宋_GB2312"/>
          <w:b w:val="0"/>
          <w:bCs/>
          <w:color w:val="auto"/>
          <w:sz w:val="32"/>
          <w:szCs w:val="32"/>
          <w:highlight w:val="none"/>
        </w:rPr>
        <w:t>规定，结合实际，制定本办法。</w:t>
      </w:r>
      <w:bookmarkStart w:id="3" w:name="2"/>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黑体" w:hAnsi="黑体" w:eastAsia="黑体" w:cs="黑体"/>
          <w:b w:val="0"/>
          <w:bCs/>
          <w:color w:val="auto"/>
          <w:kern w:val="2"/>
          <w:sz w:val="32"/>
          <w:szCs w:val="32"/>
          <w:highlight w:val="none"/>
          <w:lang w:eastAsia="zh-CN"/>
        </w:rPr>
        <w:t>第二条</w:t>
      </w:r>
      <w:bookmarkEnd w:id="3"/>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全省各级行政机关以及法律、法规授权具有管理公共事务职能的组织（以下统称行政机关</w:t>
      </w:r>
      <w:r>
        <w:rPr>
          <w:rFonts w:hint="eastAsia" w:ascii="仿宋_GB2312" w:hAnsi="仿宋_GB2312" w:eastAsia="仿宋_GB2312" w:cs="仿宋_GB2312"/>
          <w:b w:val="0"/>
          <w:bCs/>
          <w:color w:val="auto"/>
          <w:sz w:val="32"/>
          <w:szCs w:val="32"/>
          <w:highlight w:val="none"/>
          <w:lang w:eastAsia="zh-CN"/>
        </w:rPr>
        <w:t>及相关组织</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eastAsia="zh-CN"/>
        </w:rPr>
        <w:t>对与本单位履行行政管理职能相关的民事纠纷进行</w:t>
      </w:r>
      <w:r>
        <w:rPr>
          <w:rFonts w:hint="eastAsia" w:ascii="仿宋_GB2312" w:hAnsi="仿宋_GB2312" w:eastAsia="仿宋_GB2312" w:cs="仿宋_GB2312"/>
          <w:b w:val="0"/>
          <w:bCs/>
          <w:color w:val="auto"/>
          <w:sz w:val="32"/>
          <w:szCs w:val="32"/>
          <w:highlight w:val="none"/>
        </w:rPr>
        <w:t>调解，适用本办法。</w:t>
      </w:r>
    </w:p>
    <w:p>
      <w:pPr>
        <w:pStyle w:val="2"/>
        <w:keepNext w:val="0"/>
        <w:keepLines w:val="0"/>
        <w:pageBreakBefore w:val="0"/>
        <w:kinsoku/>
        <w:wordWrap/>
        <w:overflowPunct/>
        <w:topLinePunct w:val="0"/>
        <w:autoSpaceDE/>
        <w:autoSpaceDN/>
        <w:bidi w:val="0"/>
        <w:adjustRightInd/>
        <w:snapToGrid/>
        <w:spacing w:line="480" w:lineRule="auto"/>
        <w:ind w:firstLine="640" w:firstLineChars="200"/>
        <w:jc w:val="both"/>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行政机关</w:t>
      </w:r>
      <w:r>
        <w:rPr>
          <w:rFonts w:hint="eastAsia" w:ascii="仿宋_GB2312" w:hAnsi="仿宋_GB2312" w:eastAsia="仿宋_GB2312" w:cs="仿宋_GB2312"/>
          <w:b w:val="0"/>
          <w:bCs/>
          <w:color w:val="auto"/>
          <w:sz w:val="32"/>
          <w:szCs w:val="32"/>
          <w:highlight w:val="none"/>
          <w:lang w:eastAsia="zh-CN"/>
        </w:rPr>
        <w:t>及相关组织</w:t>
      </w:r>
      <w:r>
        <w:rPr>
          <w:rFonts w:hint="eastAsia" w:ascii="仿宋_GB2312" w:hAnsi="仿宋_GB2312" w:eastAsia="仿宋_GB2312" w:cs="仿宋_GB2312"/>
          <w:b w:val="0"/>
          <w:bCs/>
          <w:sz w:val="32"/>
          <w:szCs w:val="32"/>
          <w:highlight w:val="none"/>
          <w:lang w:val="en-US" w:eastAsia="zh-CN"/>
        </w:rPr>
        <w:t>对行政争议的调解，按照国家和省有关规定执行。国家对</w:t>
      </w:r>
      <w:r>
        <w:rPr>
          <w:rFonts w:hint="eastAsia" w:ascii="仿宋_GB2312" w:hAnsi="仿宋_GB2312" w:eastAsia="仿宋_GB2312" w:cs="仿宋_GB2312"/>
          <w:b w:val="0"/>
          <w:bCs/>
          <w:color w:val="auto"/>
          <w:sz w:val="32"/>
          <w:szCs w:val="32"/>
          <w:highlight w:val="none"/>
        </w:rPr>
        <w:t>行政机关</w:t>
      </w:r>
      <w:r>
        <w:rPr>
          <w:rFonts w:hint="eastAsia" w:ascii="仿宋_GB2312" w:hAnsi="仿宋_GB2312" w:eastAsia="仿宋_GB2312" w:cs="仿宋_GB2312"/>
          <w:b w:val="0"/>
          <w:bCs/>
          <w:color w:val="auto"/>
          <w:sz w:val="32"/>
          <w:szCs w:val="32"/>
          <w:highlight w:val="none"/>
          <w:lang w:eastAsia="zh-CN"/>
        </w:rPr>
        <w:t>及相关组织</w:t>
      </w:r>
      <w:r>
        <w:rPr>
          <w:rFonts w:hint="eastAsia" w:ascii="仿宋_GB2312" w:hAnsi="仿宋_GB2312" w:eastAsia="仿宋_GB2312" w:cs="仿宋_GB2312"/>
          <w:b w:val="0"/>
          <w:bCs/>
          <w:sz w:val="32"/>
          <w:szCs w:val="32"/>
          <w:highlight w:val="none"/>
          <w:lang w:val="en-US" w:eastAsia="zh-CN"/>
        </w:rPr>
        <w:t>调解民事纠纷另有规定的，从其规定。</w:t>
      </w: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黑体" w:hAnsi="黑体" w:eastAsia="黑体" w:cs="黑体"/>
          <w:b w:val="0"/>
          <w:bCs/>
          <w:color w:val="auto"/>
          <w:kern w:val="2"/>
          <w:sz w:val="32"/>
          <w:szCs w:val="32"/>
          <w:highlight w:val="none"/>
          <w:lang w:val="en-US" w:eastAsia="zh-CN"/>
        </w:rPr>
        <w:t>第三条</w:t>
      </w:r>
      <w:r>
        <w:rPr>
          <w:rFonts w:hint="eastAsia" w:ascii="仿宋_GB2312" w:hAnsi="仿宋_GB2312" w:eastAsia="仿宋_GB2312" w:cs="仿宋_GB2312"/>
          <w:b w:val="0"/>
          <w:bCs/>
          <w:color w:val="auto"/>
          <w:kern w:val="2"/>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本办法所称行政调解，是指行政机关</w:t>
      </w:r>
      <w:r>
        <w:rPr>
          <w:rFonts w:hint="eastAsia" w:ascii="仿宋_GB2312" w:hAnsi="仿宋_GB2312" w:eastAsia="仿宋_GB2312" w:cs="仿宋_GB2312"/>
          <w:b w:val="0"/>
          <w:bCs/>
          <w:color w:val="auto"/>
          <w:sz w:val="32"/>
          <w:szCs w:val="32"/>
          <w:highlight w:val="none"/>
          <w:lang w:eastAsia="zh-CN"/>
        </w:rPr>
        <w:t>及相关组织在其职权范围内，</w:t>
      </w:r>
      <w:r>
        <w:rPr>
          <w:rFonts w:hint="eastAsia" w:ascii="仿宋_GB2312" w:hAnsi="仿宋_GB2312" w:eastAsia="仿宋_GB2312" w:cs="仿宋_GB2312"/>
          <w:b w:val="0"/>
          <w:bCs/>
          <w:color w:val="auto"/>
          <w:sz w:val="32"/>
          <w:szCs w:val="32"/>
          <w:highlight w:val="none"/>
          <w:u w:val="none"/>
          <w:lang w:val="en-US" w:eastAsia="zh-CN"/>
        </w:rPr>
        <w:t>通过解释、协调、劝导、组织协商</w:t>
      </w:r>
      <w:r>
        <w:rPr>
          <w:rFonts w:hint="eastAsia" w:ascii="仿宋_GB2312" w:hAnsi="仿宋_GB2312" w:eastAsia="仿宋_GB2312" w:cs="仿宋_GB2312"/>
          <w:b w:val="0"/>
          <w:bCs/>
          <w:color w:val="auto"/>
          <w:sz w:val="32"/>
          <w:szCs w:val="32"/>
          <w:highlight w:val="none"/>
        </w:rPr>
        <w:t>等方式，</w:t>
      </w:r>
      <w:r>
        <w:rPr>
          <w:rFonts w:hint="eastAsia" w:ascii="仿宋_GB2312" w:hAnsi="仿宋_GB2312" w:eastAsia="仿宋_GB2312" w:cs="仿宋_GB2312"/>
          <w:b w:val="0"/>
          <w:bCs/>
          <w:color w:val="auto"/>
          <w:sz w:val="32"/>
          <w:szCs w:val="32"/>
          <w:highlight w:val="none"/>
          <w:lang w:val="en-US" w:eastAsia="zh-CN"/>
        </w:rPr>
        <w:t>使公民、法人或者其他组织</w:t>
      </w:r>
      <w:r>
        <w:rPr>
          <w:rFonts w:hint="eastAsia" w:ascii="仿宋_GB2312" w:hAnsi="仿宋_GB2312" w:eastAsia="仿宋_GB2312" w:cs="仿宋_GB2312"/>
          <w:b w:val="0"/>
          <w:bCs/>
          <w:color w:val="auto"/>
          <w:sz w:val="32"/>
          <w:szCs w:val="32"/>
          <w:highlight w:val="none"/>
        </w:rPr>
        <w:t>之间</w:t>
      </w:r>
      <w:r>
        <w:rPr>
          <w:rFonts w:hint="eastAsia" w:ascii="仿宋_GB2312" w:hAnsi="仿宋_GB2312" w:eastAsia="仿宋_GB2312" w:cs="仿宋_GB2312"/>
          <w:b w:val="0"/>
          <w:bCs/>
          <w:color w:val="auto"/>
          <w:sz w:val="32"/>
          <w:szCs w:val="32"/>
          <w:highlight w:val="none"/>
          <w:lang w:val="en-US" w:eastAsia="zh-CN"/>
        </w:rPr>
        <w:t>自愿</w:t>
      </w:r>
      <w:r>
        <w:rPr>
          <w:rFonts w:hint="eastAsia" w:ascii="仿宋_GB2312" w:hAnsi="仿宋_GB2312" w:eastAsia="仿宋_GB2312" w:cs="仿宋_GB2312"/>
          <w:b w:val="0"/>
          <w:bCs/>
          <w:color w:val="auto"/>
          <w:sz w:val="32"/>
          <w:szCs w:val="32"/>
          <w:highlight w:val="none"/>
        </w:rPr>
        <w:t>达成调解协议，依法化解</w:t>
      </w:r>
      <w:r>
        <w:rPr>
          <w:rFonts w:hint="eastAsia" w:ascii="仿宋_GB2312" w:hAnsi="仿宋_GB2312" w:eastAsia="仿宋_GB2312" w:cs="仿宋_GB2312"/>
          <w:b w:val="0"/>
          <w:bCs/>
          <w:color w:val="auto"/>
          <w:sz w:val="32"/>
          <w:szCs w:val="32"/>
          <w:highlight w:val="none"/>
          <w:lang w:val="en-US" w:eastAsia="zh-CN"/>
        </w:rPr>
        <w:t>争议纠纷</w:t>
      </w:r>
      <w:r>
        <w:rPr>
          <w:rFonts w:hint="eastAsia" w:ascii="仿宋_GB2312" w:hAnsi="仿宋_GB2312" w:eastAsia="仿宋_GB2312" w:cs="仿宋_GB2312"/>
          <w:b w:val="0"/>
          <w:bCs/>
          <w:color w:val="auto"/>
          <w:sz w:val="32"/>
          <w:szCs w:val="32"/>
          <w:highlight w:val="none"/>
        </w:rPr>
        <w:t>的活动。</w:t>
      </w:r>
      <w:bookmarkStart w:id="4" w:name="3"/>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黑体" w:hAnsi="黑体" w:eastAsia="黑体" w:cs="黑体"/>
          <w:b w:val="0"/>
          <w:bCs/>
          <w:color w:val="auto"/>
          <w:kern w:val="2"/>
          <w:sz w:val="32"/>
          <w:szCs w:val="32"/>
          <w:highlight w:val="none"/>
          <w:lang w:eastAsia="zh-CN"/>
        </w:rPr>
        <w:t>第</w:t>
      </w:r>
      <w:r>
        <w:rPr>
          <w:rFonts w:hint="eastAsia" w:ascii="黑体" w:hAnsi="黑体" w:eastAsia="黑体" w:cs="黑体"/>
          <w:b w:val="0"/>
          <w:bCs/>
          <w:color w:val="auto"/>
          <w:kern w:val="2"/>
          <w:sz w:val="32"/>
          <w:szCs w:val="32"/>
          <w:highlight w:val="none"/>
          <w:lang w:val="en-US" w:eastAsia="zh-CN"/>
        </w:rPr>
        <w:t>四</w:t>
      </w:r>
      <w:r>
        <w:rPr>
          <w:rFonts w:hint="eastAsia" w:ascii="黑体" w:hAnsi="黑体" w:eastAsia="黑体" w:cs="黑体"/>
          <w:b w:val="0"/>
          <w:bCs/>
          <w:color w:val="auto"/>
          <w:kern w:val="2"/>
          <w:sz w:val="32"/>
          <w:szCs w:val="32"/>
          <w:highlight w:val="none"/>
          <w:lang w:eastAsia="zh-CN"/>
        </w:rPr>
        <w:t>条</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行政调解应当遵循合法</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自愿、平等、高效、便民的原则</w:t>
      </w:r>
      <w:r>
        <w:rPr>
          <w:rFonts w:hint="eastAsia" w:ascii="仿宋_GB2312" w:hAnsi="仿宋_GB2312" w:eastAsia="仿宋_GB2312" w:cs="仿宋_GB2312"/>
          <w:b w:val="0"/>
          <w:bCs/>
          <w:color w:val="auto"/>
          <w:sz w:val="32"/>
          <w:szCs w:val="32"/>
          <w:highlight w:val="none"/>
          <w:lang w:eastAsia="zh-CN"/>
        </w:rPr>
        <w:t>，坚持</w:t>
      </w:r>
      <w:r>
        <w:rPr>
          <w:rFonts w:hint="eastAsia" w:ascii="仿宋_GB2312" w:hAnsi="仿宋_GB2312" w:eastAsia="仿宋_GB2312" w:cs="仿宋_GB2312"/>
          <w:b w:val="0"/>
          <w:bCs/>
          <w:sz w:val="32"/>
          <w:szCs w:val="32"/>
          <w:highlight w:val="none"/>
          <w:lang w:eastAsia="zh-CN"/>
        </w:rPr>
        <w:t>属地管理、分级负责，</w:t>
      </w:r>
      <w:r>
        <w:rPr>
          <w:rFonts w:hint="eastAsia" w:ascii="仿宋_GB2312" w:hAnsi="仿宋_GB2312" w:eastAsia="仿宋_GB2312" w:cs="仿宋_GB2312"/>
          <w:b w:val="0"/>
          <w:bCs/>
          <w:color w:val="auto"/>
          <w:sz w:val="32"/>
          <w:szCs w:val="32"/>
          <w:highlight w:val="none"/>
          <w:lang w:eastAsia="zh-CN"/>
        </w:rPr>
        <w:t>谁主管、谁负责</w:t>
      </w:r>
      <w:r>
        <w:rPr>
          <w:rFonts w:hint="eastAsia" w:ascii="仿宋_GB2312" w:hAnsi="仿宋_GB2312" w:eastAsia="仿宋_GB2312" w:cs="仿宋_GB2312"/>
          <w:b w:val="0"/>
          <w:bCs/>
          <w:color w:val="auto"/>
          <w:sz w:val="32"/>
          <w:szCs w:val="32"/>
          <w:highlight w:val="none"/>
        </w:rPr>
        <w:t>，不得损害国家利益、公共利益以及</w:t>
      </w:r>
      <w:r>
        <w:rPr>
          <w:rFonts w:hint="eastAsia" w:ascii="仿宋_GB2312" w:hAnsi="仿宋_GB2312" w:eastAsia="仿宋_GB2312" w:cs="仿宋_GB2312"/>
          <w:b w:val="0"/>
          <w:bCs/>
          <w:color w:val="auto"/>
          <w:sz w:val="32"/>
          <w:szCs w:val="32"/>
          <w:highlight w:val="none"/>
          <w:lang w:eastAsia="zh-CN"/>
        </w:rPr>
        <w:t>公民、法人和其他组织</w:t>
      </w:r>
      <w:r>
        <w:rPr>
          <w:rFonts w:hint="eastAsia" w:ascii="仿宋_GB2312" w:hAnsi="仿宋_GB2312" w:eastAsia="仿宋_GB2312" w:cs="仿宋_GB2312"/>
          <w:b w:val="0"/>
          <w:bCs/>
          <w:color w:val="auto"/>
          <w:sz w:val="32"/>
          <w:szCs w:val="32"/>
          <w:highlight w:val="none"/>
        </w:rPr>
        <w:t>的合法权益。</w:t>
      </w:r>
    </w:p>
    <w:p>
      <w:pPr>
        <w:pStyle w:val="2"/>
        <w:keepNext w:val="0"/>
        <w:keepLines w:val="0"/>
        <w:pageBreakBefore w:val="0"/>
        <w:kinsoku/>
        <w:wordWrap/>
        <w:overflowPunct/>
        <w:topLinePunct w:val="0"/>
        <w:autoSpaceDE/>
        <w:autoSpaceDN/>
        <w:bidi w:val="0"/>
        <w:adjustRightInd/>
        <w:snapToGrid/>
        <w:spacing w:line="480" w:lineRule="auto"/>
        <w:ind w:firstLine="640" w:firstLineChars="200"/>
        <w:jc w:val="both"/>
        <w:rPr>
          <w:rFonts w:hint="eastAsia" w:ascii="仿宋_GB2312" w:hAnsi="仿宋_GB2312" w:eastAsia="仿宋_GB2312" w:cs="仿宋_GB2312"/>
          <w:b w:val="0"/>
          <w:bCs/>
          <w:sz w:val="32"/>
          <w:szCs w:val="32"/>
          <w:highlight w:val="none"/>
        </w:rPr>
      </w:pPr>
      <w:r>
        <w:rPr>
          <w:rFonts w:hint="eastAsia" w:ascii="黑体" w:hAnsi="黑体" w:eastAsia="黑体" w:cs="黑体"/>
          <w:b w:val="0"/>
          <w:bCs/>
          <w:color w:val="auto"/>
          <w:kern w:val="2"/>
          <w:sz w:val="32"/>
          <w:szCs w:val="32"/>
          <w:highlight w:val="none"/>
          <w:lang w:val="en-US" w:eastAsia="zh-Hans"/>
        </w:rPr>
        <w:t>第</w:t>
      </w:r>
      <w:r>
        <w:rPr>
          <w:rFonts w:hint="eastAsia" w:ascii="黑体" w:hAnsi="黑体" w:eastAsia="黑体" w:cs="黑体"/>
          <w:b w:val="0"/>
          <w:bCs/>
          <w:color w:val="auto"/>
          <w:kern w:val="2"/>
          <w:sz w:val="32"/>
          <w:szCs w:val="32"/>
          <w:highlight w:val="none"/>
          <w:lang w:val="en-US" w:eastAsia="zh-CN"/>
        </w:rPr>
        <w:t>五</w:t>
      </w:r>
      <w:r>
        <w:rPr>
          <w:rFonts w:hint="eastAsia" w:ascii="黑体" w:hAnsi="黑体" w:eastAsia="黑体" w:cs="黑体"/>
          <w:b w:val="0"/>
          <w:bCs/>
          <w:color w:val="auto"/>
          <w:kern w:val="2"/>
          <w:sz w:val="32"/>
          <w:szCs w:val="32"/>
          <w:highlight w:val="none"/>
          <w:lang w:val="en-US" w:eastAsia="zh-Hans"/>
        </w:rPr>
        <w:t>条</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sz w:val="32"/>
          <w:szCs w:val="32"/>
          <w:highlight w:val="none"/>
          <w:lang w:eastAsia="zh-CN"/>
        </w:rPr>
        <w:t>县级以上地方</w:t>
      </w:r>
      <w:r>
        <w:rPr>
          <w:rFonts w:hint="eastAsia" w:ascii="仿宋_GB2312" w:hAnsi="仿宋_GB2312" w:eastAsia="仿宋_GB2312" w:cs="仿宋_GB2312"/>
          <w:b w:val="0"/>
          <w:bCs/>
          <w:sz w:val="32"/>
          <w:szCs w:val="32"/>
          <w:highlight w:val="none"/>
        </w:rPr>
        <w:t>人民政府应当加强对本行政区域内行政调解工作的领导，加强行政调解队伍建设，</w:t>
      </w:r>
      <w:r>
        <w:rPr>
          <w:rFonts w:hint="eastAsia" w:ascii="仿宋_GB2312" w:hAnsi="仿宋_GB2312" w:eastAsia="仿宋_GB2312" w:cs="仿宋_GB2312"/>
          <w:b w:val="0"/>
          <w:bCs/>
          <w:sz w:val="32"/>
          <w:szCs w:val="32"/>
          <w:highlight w:val="none"/>
          <w:lang w:eastAsia="zh-CN"/>
        </w:rPr>
        <w:t>为</w:t>
      </w:r>
      <w:r>
        <w:rPr>
          <w:rFonts w:hint="eastAsia" w:ascii="仿宋_GB2312" w:hAnsi="仿宋_GB2312" w:eastAsia="仿宋_GB2312" w:cs="仿宋_GB2312"/>
          <w:b w:val="0"/>
          <w:bCs/>
          <w:sz w:val="32"/>
          <w:szCs w:val="32"/>
          <w:highlight w:val="none"/>
        </w:rPr>
        <w:t>行政调解</w:t>
      </w:r>
      <w:r>
        <w:rPr>
          <w:rFonts w:hint="eastAsia" w:ascii="仿宋_GB2312" w:hAnsi="仿宋_GB2312" w:eastAsia="仿宋_GB2312" w:cs="仿宋_GB2312"/>
          <w:b w:val="0"/>
          <w:bCs/>
          <w:sz w:val="32"/>
          <w:szCs w:val="32"/>
          <w:highlight w:val="none"/>
          <w:lang w:eastAsia="zh-CN"/>
        </w:rPr>
        <w:t>提供</w:t>
      </w:r>
      <w:r>
        <w:rPr>
          <w:rFonts w:hint="eastAsia" w:ascii="仿宋_GB2312" w:hAnsi="仿宋_GB2312" w:eastAsia="仿宋_GB2312" w:cs="仿宋_GB2312"/>
          <w:b w:val="0"/>
          <w:bCs/>
          <w:sz w:val="32"/>
          <w:szCs w:val="32"/>
          <w:highlight w:val="none"/>
        </w:rPr>
        <w:t>必需工作</w:t>
      </w:r>
      <w:r>
        <w:rPr>
          <w:rFonts w:hint="eastAsia" w:ascii="仿宋_GB2312" w:hAnsi="仿宋_GB2312" w:eastAsia="仿宋_GB2312" w:cs="仿宋_GB2312"/>
          <w:b w:val="0"/>
          <w:bCs/>
          <w:sz w:val="32"/>
          <w:szCs w:val="32"/>
          <w:highlight w:val="none"/>
          <w:lang w:eastAsia="zh-CN"/>
        </w:rPr>
        <w:t>保障</w:t>
      </w:r>
      <w:r>
        <w:rPr>
          <w:rFonts w:hint="eastAsia" w:ascii="仿宋_GB2312" w:hAnsi="仿宋_GB2312" w:eastAsia="仿宋_GB2312" w:cs="仿宋_GB2312"/>
          <w:b w:val="0"/>
          <w:bCs/>
          <w:sz w:val="32"/>
          <w:szCs w:val="32"/>
          <w:highlight w:val="none"/>
        </w:rPr>
        <w:t>，完善行政调解与人民调解、司法调解联动工作</w:t>
      </w:r>
      <w:r>
        <w:rPr>
          <w:rFonts w:hint="eastAsia" w:ascii="仿宋_GB2312" w:hAnsi="仿宋_GB2312" w:eastAsia="仿宋_GB2312" w:cs="仿宋_GB2312"/>
          <w:b w:val="0"/>
          <w:bCs/>
          <w:sz w:val="32"/>
          <w:szCs w:val="32"/>
          <w:highlight w:val="none"/>
          <w:lang w:eastAsia="zh-CN"/>
        </w:rPr>
        <w:t>机制</w:t>
      </w:r>
      <w:r>
        <w:rPr>
          <w:rFonts w:hint="eastAsia" w:ascii="仿宋_GB2312" w:hAnsi="仿宋_GB2312" w:eastAsia="仿宋_GB2312" w:cs="仿宋_GB2312"/>
          <w:b w:val="0"/>
          <w:bCs/>
          <w:sz w:val="32"/>
          <w:szCs w:val="32"/>
          <w:highlight w:val="none"/>
        </w:rPr>
        <w:t>，</w:t>
      </w:r>
      <w:r>
        <w:rPr>
          <w:rFonts w:hint="eastAsia" w:ascii="仿宋_GB2312" w:hAnsi="仿宋_GB2312" w:eastAsia="仿宋_GB2312" w:cs="仿宋_GB2312"/>
          <w:b w:val="0"/>
          <w:bCs/>
          <w:sz w:val="32"/>
          <w:szCs w:val="32"/>
          <w:highlight w:val="none"/>
          <w:lang w:eastAsia="zh-CN"/>
        </w:rPr>
        <w:t>加强</w:t>
      </w:r>
      <w:r>
        <w:rPr>
          <w:rFonts w:hint="eastAsia" w:ascii="仿宋_GB2312" w:hAnsi="仿宋_GB2312" w:eastAsia="仿宋_GB2312" w:cs="仿宋_GB2312"/>
          <w:b w:val="0"/>
          <w:bCs/>
          <w:sz w:val="32"/>
          <w:szCs w:val="32"/>
          <w:highlight w:val="none"/>
        </w:rPr>
        <w:t>同人民法院、人民检察院</w:t>
      </w:r>
      <w:r>
        <w:rPr>
          <w:rFonts w:hint="eastAsia" w:ascii="仿宋_GB2312" w:hAnsi="仿宋_GB2312" w:eastAsia="仿宋_GB2312" w:cs="仿宋_GB2312"/>
          <w:b w:val="0"/>
          <w:bCs/>
          <w:sz w:val="32"/>
          <w:szCs w:val="32"/>
          <w:highlight w:val="none"/>
          <w:lang w:eastAsia="zh-CN"/>
        </w:rPr>
        <w:t>的沟通</w:t>
      </w:r>
      <w:r>
        <w:rPr>
          <w:rFonts w:hint="eastAsia" w:ascii="仿宋_GB2312" w:hAnsi="仿宋_GB2312" w:eastAsia="仿宋_GB2312" w:cs="仿宋_GB2312"/>
          <w:b w:val="0"/>
          <w:bCs/>
          <w:sz w:val="32"/>
          <w:szCs w:val="32"/>
          <w:highlight w:val="none"/>
        </w:rPr>
        <w:t>衔接。</w:t>
      </w:r>
    </w:p>
    <w:p>
      <w:pPr>
        <w:pStyle w:val="2"/>
        <w:keepNext w:val="0"/>
        <w:keepLines w:val="0"/>
        <w:pageBreakBefore w:val="0"/>
        <w:kinsoku/>
        <w:wordWrap/>
        <w:overflowPunct/>
        <w:topLinePunct w:val="0"/>
        <w:autoSpaceDE/>
        <w:autoSpaceDN/>
        <w:bidi w:val="0"/>
        <w:adjustRightInd/>
        <w:snapToGrid/>
        <w:spacing w:line="480" w:lineRule="auto"/>
        <w:ind w:firstLine="640" w:firstLineChars="200"/>
        <w:jc w:val="both"/>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eastAsia="zh-CN"/>
        </w:rPr>
        <w:t>县级以上地方人民政府</w:t>
      </w:r>
      <w:r>
        <w:rPr>
          <w:rFonts w:hint="eastAsia" w:ascii="仿宋_GB2312" w:hAnsi="仿宋_GB2312" w:eastAsia="仿宋_GB2312" w:cs="仿宋_GB2312"/>
          <w:b w:val="0"/>
          <w:bCs/>
          <w:sz w:val="32"/>
          <w:szCs w:val="32"/>
          <w:highlight w:val="none"/>
        </w:rPr>
        <w:t>工作部门应当加强对本领域、本系统行政调解工作的业务指导和协调推进。</w:t>
      </w:r>
    </w:p>
    <w:p>
      <w:pPr>
        <w:pStyle w:val="2"/>
        <w:keepNext w:val="0"/>
        <w:keepLines w:val="0"/>
        <w:pageBreakBefore w:val="0"/>
        <w:kinsoku/>
        <w:wordWrap/>
        <w:overflowPunct/>
        <w:topLinePunct w:val="0"/>
        <w:autoSpaceDE/>
        <w:autoSpaceDN/>
        <w:bidi w:val="0"/>
        <w:adjustRightInd/>
        <w:snapToGrid/>
        <w:spacing w:line="480" w:lineRule="auto"/>
        <w:ind w:firstLine="640" w:firstLineChars="200"/>
        <w:jc w:val="both"/>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县级以上地方人民政府司法行政部门应当发挥统筹协调作用，加强对本行政区域内行政调解工作的指导、协调、调研、督促和考核，研究制定配套制度，定</w:t>
      </w:r>
      <w:r>
        <w:rPr>
          <w:rFonts w:hint="eastAsia" w:ascii="仿宋_GB2312" w:hAnsi="仿宋_GB2312" w:eastAsia="仿宋_GB2312" w:cs="仿宋_GB2312"/>
          <w:b w:val="0"/>
          <w:bCs/>
          <w:color w:val="000000"/>
          <w:sz w:val="32"/>
          <w:szCs w:val="32"/>
          <w:highlight w:val="none"/>
        </w:rPr>
        <w:t>期向</w:t>
      </w:r>
      <w:r>
        <w:rPr>
          <w:rFonts w:hint="eastAsia" w:ascii="仿宋_GB2312" w:hAnsi="仿宋_GB2312" w:eastAsia="仿宋_GB2312" w:cs="仿宋_GB2312"/>
          <w:b w:val="0"/>
          <w:bCs/>
          <w:color w:val="000000"/>
          <w:sz w:val="32"/>
          <w:szCs w:val="32"/>
          <w:highlight w:val="none"/>
          <w:u w:val="none"/>
          <w:lang w:val="en-US" w:eastAsia="zh-CN"/>
        </w:rPr>
        <w:t>本级</w:t>
      </w:r>
      <w:r>
        <w:rPr>
          <w:rFonts w:hint="eastAsia" w:ascii="仿宋_GB2312" w:hAnsi="仿宋_GB2312" w:eastAsia="仿宋_GB2312" w:cs="仿宋_GB2312"/>
          <w:b w:val="0"/>
          <w:bCs/>
          <w:color w:val="000000"/>
          <w:sz w:val="32"/>
          <w:szCs w:val="32"/>
          <w:highlight w:val="none"/>
        </w:rPr>
        <w:t>人民政</w:t>
      </w:r>
      <w:r>
        <w:rPr>
          <w:rFonts w:hint="eastAsia" w:ascii="仿宋_GB2312" w:hAnsi="仿宋_GB2312" w:eastAsia="仿宋_GB2312" w:cs="仿宋_GB2312"/>
          <w:b w:val="0"/>
          <w:bCs/>
          <w:sz w:val="32"/>
          <w:szCs w:val="32"/>
          <w:highlight w:val="none"/>
        </w:rPr>
        <w:t>府报告工作，并通报</w:t>
      </w:r>
      <w:r>
        <w:rPr>
          <w:rFonts w:hint="eastAsia" w:ascii="仿宋_GB2312" w:hAnsi="仿宋_GB2312" w:eastAsia="仿宋_GB2312" w:cs="仿宋_GB2312"/>
          <w:b w:val="0"/>
          <w:bCs/>
          <w:color w:val="auto"/>
          <w:sz w:val="32"/>
          <w:szCs w:val="32"/>
          <w:highlight w:val="none"/>
        </w:rPr>
        <w:t>行政机关</w:t>
      </w:r>
      <w:r>
        <w:rPr>
          <w:rFonts w:hint="eastAsia" w:ascii="仿宋_GB2312" w:hAnsi="仿宋_GB2312" w:eastAsia="仿宋_GB2312" w:cs="仿宋_GB2312"/>
          <w:b w:val="0"/>
          <w:bCs/>
          <w:color w:val="auto"/>
          <w:sz w:val="32"/>
          <w:szCs w:val="32"/>
          <w:highlight w:val="none"/>
          <w:lang w:eastAsia="zh-CN"/>
        </w:rPr>
        <w:t>及相关组织</w:t>
      </w:r>
      <w:r>
        <w:rPr>
          <w:rFonts w:hint="eastAsia" w:ascii="仿宋_GB2312" w:hAnsi="仿宋_GB2312" w:eastAsia="仿宋_GB2312" w:cs="仿宋_GB2312"/>
          <w:b w:val="0"/>
          <w:bCs/>
          <w:sz w:val="32"/>
          <w:szCs w:val="32"/>
          <w:highlight w:val="none"/>
        </w:rPr>
        <w:t>行政调解工作开展情况。</w:t>
      </w:r>
    </w:p>
    <w:p>
      <w:pPr>
        <w:pStyle w:val="2"/>
        <w:keepNext w:val="0"/>
        <w:keepLines w:val="0"/>
        <w:pageBreakBefore w:val="0"/>
        <w:kinsoku/>
        <w:wordWrap/>
        <w:overflowPunct/>
        <w:topLinePunct w:val="0"/>
        <w:autoSpaceDE/>
        <w:autoSpaceDN/>
        <w:bidi w:val="0"/>
        <w:adjustRightInd/>
        <w:snapToGrid/>
        <w:spacing w:line="480" w:lineRule="auto"/>
        <w:ind w:firstLine="640" w:firstLineChars="200"/>
        <w:jc w:val="both"/>
        <w:rPr>
          <w:rFonts w:hint="eastAsia" w:ascii="仿宋_GB2312" w:hAnsi="仿宋_GB2312" w:eastAsia="仿宋_GB2312" w:cs="仿宋_GB2312"/>
          <w:b w:val="0"/>
          <w:bCs/>
          <w:sz w:val="32"/>
          <w:szCs w:val="32"/>
          <w:highlight w:val="none"/>
        </w:rPr>
      </w:pPr>
      <w:r>
        <w:rPr>
          <w:rFonts w:hint="eastAsia" w:ascii="黑体" w:hAnsi="黑体" w:eastAsia="黑体" w:cs="黑体"/>
          <w:b w:val="0"/>
          <w:bCs/>
          <w:sz w:val="32"/>
          <w:szCs w:val="32"/>
          <w:highlight w:val="none"/>
        </w:rPr>
        <w:t>第六条</w:t>
      </w:r>
      <w:r>
        <w:rPr>
          <w:rFonts w:hint="eastAsia" w:ascii="仿宋_GB2312" w:hAnsi="仿宋_GB2312" w:eastAsia="仿宋_GB2312" w:cs="仿宋_GB2312"/>
          <w:b w:val="0"/>
          <w:bCs/>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行政机关</w:t>
      </w:r>
      <w:r>
        <w:rPr>
          <w:rFonts w:hint="eastAsia" w:ascii="仿宋_GB2312" w:hAnsi="仿宋_GB2312" w:eastAsia="仿宋_GB2312" w:cs="仿宋_GB2312"/>
          <w:b w:val="0"/>
          <w:bCs/>
          <w:color w:val="auto"/>
          <w:sz w:val="32"/>
          <w:szCs w:val="32"/>
          <w:highlight w:val="none"/>
          <w:lang w:eastAsia="zh-CN"/>
        </w:rPr>
        <w:t>及相关组织</w:t>
      </w:r>
      <w:r>
        <w:rPr>
          <w:rFonts w:hint="eastAsia" w:ascii="仿宋_GB2312" w:hAnsi="仿宋_GB2312" w:eastAsia="仿宋_GB2312" w:cs="仿宋_GB2312"/>
          <w:b w:val="0"/>
          <w:bCs/>
          <w:sz w:val="32"/>
          <w:szCs w:val="32"/>
          <w:highlight w:val="none"/>
        </w:rPr>
        <w:t>应当确定专门机构统筹本</w:t>
      </w:r>
      <w:r>
        <w:rPr>
          <w:rFonts w:hint="eastAsia" w:ascii="仿宋_GB2312" w:hAnsi="仿宋_GB2312" w:eastAsia="仿宋_GB2312" w:cs="仿宋_GB2312"/>
          <w:b w:val="0"/>
          <w:bCs/>
          <w:sz w:val="32"/>
          <w:szCs w:val="32"/>
          <w:highlight w:val="none"/>
          <w:lang w:eastAsia="zh-CN"/>
        </w:rPr>
        <w:t>单位</w:t>
      </w:r>
      <w:r>
        <w:rPr>
          <w:rFonts w:hint="eastAsia" w:ascii="仿宋_GB2312" w:hAnsi="仿宋_GB2312" w:eastAsia="仿宋_GB2312" w:cs="仿宋_GB2312"/>
          <w:b w:val="0"/>
          <w:bCs/>
          <w:sz w:val="32"/>
          <w:szCs w:val="32"/>
          <w:highlight w:val="none"/>
        </w:rPr>
        <w:t>的行政调解工作，并指导本</w:t>
      </w:r>
      <w:r>
        <w:rPr>
          <w:rFonts w:hint="eastAsia" w:ascii="仿宋_GB2312" w:hAnsi="仿宋_GB2312" w:eastAsia="仿宋_GB2312" w:cs="仿宋_GB2312"/>
          <w:b w:val="0"/>
          <w:bCs/>
          <w:sz w:val="32"/>
          <w:szCs w:val="32"/>
          <w:highlight w:val="none"/>
          <w:lang w:eastAsia="zh-CN"/>
        </w:rPr>
        <w:t>单位</w:t>
      </w:r>
      <w:r>
        <w:rPr>
          <w:rFonts w:hint="eastAsia" w:ascii="仿宋_GB2312" w:hAnsi="仿宋_GB2312" w:eastAsia="仿宋_GB2312" w:cs="仿宋_GB2312"/>
          <w:b w:val="0"/>
          <w:bCs/>
          <w:sz w:val="32"/>
          <w:szCs w:val="32"/>
          <w:highlight w:val="none"/>
        </w:rPr>
        <w:t>具体承担行政调解工作的机构开展行政调解。</w:t>
      </w: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第七条</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行政机关</w:t>
      </w:r>
      <w:r>
        <w:rPr>
          <w:rFonts w:hint="eastAsia" w:ascii="仿宋_GB2312" w:hAnsi="仿宋_GB2312" w:eastAsia="仿宋_GB2312" w:cs="仿宋_GB2312"/>
          <w:b w:val="0"/>
          <w:bCs/>
          <w:color w:val="auto"/>
          <w:sz w:val="32"/>
          <w:szCs w:val="32"/>
          <w:highlight w:val="none"/>
          <w:lang w:eastAsia="zh-CN"/>
        </w:rPr>
        <w:t>及相关组织</w:t>
      </w:r>
      <w:r>
        <w:rPr>
          <w:rFonts w:hint="eastAsia" w:ascii="仿宋_GB2312" w:hAnsi="仿宋_GB2312" w:eastAsia="仿宋_GB2312" w:cs="仿宋_GB2312"/>
          <w:b w:val="0"/>
          <w:bCs/>
          <w:color w:val="auto"/>
          <w:sz w:val="32"/>
          <w:szCs w:val="32"/>
          <w:highlight w:val="none"/>
          <w:lang w:val="en-US" w:eastAsia="zh-CN"/>
        </w:rPr>
        <w:t>应当坚持依法行政，从源头减少和预防涉及行政管理的争议纠纷。</w:t>
      </w:r>
    </w:p>
    <w:p>
      <w:pPr>
        <w:keepNext w:val="0"/>
        <w:keepLines w:val="0"/>
        <w:pageBreakBefore w:val="0"/>
        <w:kinsoku/>
        <w:wordWrap/>
        <w:overflowPunct/>
        <w:topLinePunct w:val="0"/>
        <w:autoSpaceDE/>
        <w:autoSpaceDN/>
        <w:bidi w:val="0"/>
        <w:adjustRightInd/>
        <w:snapToGrid/>
        <w:spacing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行政机关</w:t>
      </w:r>
      <w:r>
        <w:rPr>
          <w:rFonts w:hint="eastAsia" w:ascii="仿宋_GB2312" w:hAnsi="仿宋_GB2312" w:eastAsia="仿宋_GB2312" w:cs="仿宋_GB2312"/>
          <w:b w:val="0"/>
          <w:bCs/>
          <w:color w:val="auto"/>
          <w:sz w:val="32"/>
          <w:szCs w:val="32"/>
          <w:highlight w:val="none"/>
          <w:lang w:eastAsia="zh-CN"/>
        </w:rPr>
        <w:t>及相关组织</w:t>
      </w:r>
      <w:r>
        <w:rPr>
          <w:rFonts w:hint="eastAsia" w:ascii="仿宋_GB2312" w:hAnsi="仿宋_GB2312" w:eastAsia="仿宋_GB2312" w:cs="仿宋_GB2312"/>
          <w:b w:val="0"/>
          <w:bCs/>
          <w:color w:val="auto"/>
          <w:sz w:val="32"/>
          <w:szCs w:val="32"/>
          <w:highlight w:val="none"/>
        </w:rPr>
        <w:t>调解</w:t>
      </w:r>
      <w:r>
        <w:rPr>
          <w:rFonts w:hint="eastAsia" w:ascii="仿宋_GB2312" w:hAnsi="仿宋_GB2312" w:eastAsia="仿宋_GB2312" w:cs="仿宋_GB2312"/>
          <w:b w:val="0"/>
          <w:bCs/>
          <w:color w:val="auto"/>
          <w:sz w:val="32"/>
          <w:szCs w:val="32"/>
          <w:highlight w:val="none"/>
          <w:lang w:val="en-US" w:eastAsia="zh-CN"/>
        </w:rPr>
        <w:t>争议纠纷</w:t>
      </w:r>
      <w:r>
        <w:rPr>
          <w:rFonts w:hint="eastAsia" w:ascii="仿宋_GB2312" w:hAnsi="仿宋_GB2312" w:eastAsia="仿宋_GB2312" w:cs="仿宋_GB2312"/>
          <w:b w:val="0"/>
          <w:bCs/>
          <w:color w:val="auto"/>
          <w:sz w:val="32"/>
          <w:szCs w:val="32"/>
          <w:highlight w:val="none"/>
        </w:rPr>
        <w:t>，不得向当事人收取任何费用</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不得影响行政机关</w:t>
      </w:r>
      <w:r>
        <w:rPr>
          <w:rFonts w:hint="eastAsia" w:ascii="仿宋_GB2312" w:hAnsi="仿宋_GB2312" w:eastAsia="仿宋_GB2312" w:cs="仿宋_GB2312"/>
          <w:b w:val="0"/>
          <w:bCs/>
          <w:color w:val="auto"/>
          <w:sz w:val="32"/>
          <w:szCs w:val="32"/>
          <w:highlight w:val="none"/>
          <w:lang w:eastAsia="zh-CN"/>
        </w:rPr>
        <w:t>及相关组织</w:t>
      </w:r>
      <w:r>
        <w:rPr>
          <w:rFonts w:hint="eastAsia" w:ascii="仿宋_GB2312" w:hAnsi="仿宋_GB2312" w:eastAsia="仿宋_GB2312" w:cs="仿宋_GB2312"/>
          <w:b w:val="0"/>
          <w:bCs/>
          <w:color w:val="auto"/>
          <w:sz w:val="32"/>
          <w:szCs w:val="32"/>
          <w:highlight w:val="none"/>
        </w:rPr>
        <w:t>依法履行行政管理职责，不得以行政调解代替行政执法。</w:t>
      </w:r>
    </w:p>
    <w:p>
      <w:pPr>
        <w:keepNext w:val="0"/>
        <w:keepLines w:val="0"/>
        <w:pageBreakBefore w:val="0"/>
        <w:numPr>
          <w:ilvl w:val="0"/>
          <w:numId w:val="0"/>
        </w:numPr>
        <w:kinsoku/>
        <w:wordWrap/>
        <w:overflowPunct/>
        <w:topLinePunct w:val="0"/>
        <w:autoSpaceDE/>
        <w:autoSpaceDN/>
        <w:bidi w:val="0"/>
        <w:adjustRightInd/>
        <w:snapToGrid/>
        <w:spacing w:line="480" w:lineRule="auto"/>
        <w:ind w:firstLine="640" w:firstLineChars="200"/>
        <w:jc w:val="both"/>
        <w:rPr>
          <w:rFonts w:hint="eastAsia" w:ascii="仿宋_GB2312" w:hAnsi="仿宋_GB2312" w:eastAsia="仿宋_GB2312" w:cs="仿宋_GB2312"/>
          <w:b w:val="0"/>
          <w:bCs/>
          <w:color w:val="auto"/>
          <w:sz w:val="32"/>
          <w:szCs w:val="32"/>
          <w:highlight w:val="none"/>
          <w:lang w:val="en-US" w:eastAsia="zh-CN"/>
        </w:rPr>
      </w:pPr>
      <w:r>
        <w:rPr>
          <w:rFonts w:hint="eastAsia" w:ascii="黑体" w:hAnsi="黑体" w:eastAsia="黑体" w:cs="黑体"/>
          <w:b w:val="0"/>
          <w:bCs/>
          <w:color w:val="auto"/>
          <w:sz w:val="32"/>
          <w:szCs w:val="32"/>
          <w:lang w:val="en-US" w:eastAsia="zh-CN" w:bidi="ar-SA"/>
        </w:rPr>
        <w:t>第八条</w:t>
      </w:r>
      <w:r>
        <w:rPr>
          <w:rFonts w:hint="eastAsia" w:ascii="仿宋_GB2312" w:hAnsi="仿宋_GB2312" w:eastAsia="仿宋_GB2312" w:cs="仿宋_GB2312"/>
          <w:b w:val="0"/>
          <w:bCs/>
          <w:color w:val="auto"/>
          <w:sz w:val="32"/>
          <w:szCs w:val="32"/>
          <w:highlight w:val="none"/>
          <w:lang w:val="en-US" w:eastAsia="zh-CN"/>
        </w:rPr>
        <w:t xml:space="preserve"> 县级以上地方人民政府和省级</w:t>
      </w:r>
      <w:r>
        <w:rPr>
          <w:rFonts w:hint="eastAsia" w:ascii="仿宋_GB2312" w:hAnsi="仿宋_GB2312" w:eastAsia="仿宋_GB2312" w:cs="仿宋_GB2312"/>
          <w:b w:val="0"/>
          <w:bCs/>
          <w:color w:val="auto"/>
          <w:sz w:val="32"/>
          <w:szCs w:val="32"/>
          <w:highlight w:val="none"/>
        </w:rPr>
        <w:t>行政机关</w:t>
      </w:r>
      <w:r>
        <w:rPr>
          <w:rFonts w:hint="eastAsia" w:ascii="仿宋_GB2312" w:hAnsi="仿宋_GB2312" w:eastAsia="仿宋_GB2312" w:cs="仿宋_GB2312"/>
          <w:b w:val="0"/>
          <w:bCs/>
          <w:color w:val="auto"/>
          <w:sz w:val="32"/>
          <w:szCs w:val="32"/>
          <w:highlight w:val="none"/>
          <w:lang w:eastAsia="zh-CN"/>
        </w:rPr>
        <w:t>及相关组织</w:t>
      </w:r>
      <w:r>
        <w:rPr>
          <w:rFonts w:hint="eastAsia" w:ascii="仿宋_GB2312" w:hAnsi="仿宋_GB2312" w:eastAsia="仿宋_GB2312" w:cs="仿宋_GB2312"/>
          <w:b w:val="0"/>
          <w:bCs/>
          <w:color w:val="auto"/>
          <w:sz w:val="32"/>
          <w:szCs w:val="32"/>
          <w:highlight w:val="none"/>
          <w:lang w:val="en-US" w:eastAsia="zh-CN"/>
        </w:rPr>
        <w:t>可以按照规定程序，对在行政调解工</w:t>
      </w:r>
      <w:bookmarkStart w:id="32" w:name="_GoBack"/>
      <w:bookmarkEnd w:id="32"/>
      <w:r>
        <w:rPr>
          <w:rFonts w:hint="eastAsia" w:ascii="仿宋_GB2312" w:hAnsi="仿宋_GB2312" w:eastAsia="仿宋_GB2312" w:cs="仿宋_GB2312"/>
          <w:b w:val="0"/>
          <w:bCs/>
          <w:color w:val="auto"/>
          <w:sz w:val="32"/>
          <w:szCs w:val="32"/>
          <w:highlight w:val="none"/>
          <w:lang w:val="en-US" w:eastAsia="zh-CN"/>
        </w:rPr>
        <w:t>作中作出突出贡献的单位和个人给予表彰。</w:t>
      </w:r>
      <w:bookmarkStart w:id="5" w:name="_Toc2131939662_WPSOffice_Level1"/>
    </w:p>
    <w:p>
      <w:pPr>
        <w:pStyle w:val="2"/>
        <w:numPr>
          <w:numId w:val="0"/>
        </w:numPr>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snapToGrid/>
        <w:spacing w:afterAutospacing="0" w:line="480" w:lineRule="auto"/>
        <w:ind w:firstLine="640" w:firstLineChars="200"/>
        <w:jc w:val="center"/>
        <w:textAlignment w:val="auto"/>
        <w:rPr>
          <w:rFonts w:hint="eastAsia" w:ascii="仿宋_GB2312" w:hAnsi="仿宋_GB2312" w:eastAsia="仿宋_GB2312" w:cs="仿宋_GB2312"/>
          <w:b w:val="0"/>
          <w:bCs/>
          <w:color w:val="auto"/>
          <w:kern w:val="2"/>
          <w:sz w:val="32"/>
          <w:szCs w:val="32"/>
          <w:highlight w:val="none"/>
          <w:lang w:eastAsia="zh-CN"/>
        </w:rPr>
      </w:pPr>
      <w:r>
        <w:rPr>
          <w:rFonts w:hint="eastAsia" w:ascii="黑体" w:hAnsi="黑体" w:eastAsia="黑体" w:cs="黑体"/>
          <w:b w:val="0"/>
          <w:bCs/>
          <w:color w:val="auto"/>
          <w:sz w:val="32"/>
          <w:szCs w:val="32"/>
          <w:highlight w:val="none"/>
          <w:lang w:val="en-US" w:eastAsia="zh-CN"/>
        </w:rPr>
        <w:t>第二章   行政调解范围</w:t>
      </w:r>
      <w:bookmarkEnd w:id="5"/>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黑体" w:hAnsi="黑体" w:eastAsia="黑体" w:cs="黑体"/>
          <w:b w:val="0"/>
          <w:bCs/>
          <w:color w:val="auto"/>
          <w:kern w:val="2"/>
          <w:sz w:val="32"/>
          <w:szCs w:val="32"/>
          <w:highlight w:val="none"/>
          <w:lang w:eastAsia="zh-CN"/>
        </w:rPr>
      </w:pP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黑体" w:hAnsi="黑体" w:eastAsia="黑体" w:cs="黑体"/>
          <w:b w:val="0"/>
          <w:bCs/>
          <w:color w:val="auto"/>
          <w:kern w:val="2"/>
          <w:sz w:val="32"/>
          <w:szCs w:val="32"/>
          <w:highlight w:val="none"/>
          <w:lang w:eastAsia="zh-CN"/>
        </w:rPr>
        <w:t>第九条</w:t>
      </w:r>
      <w:bookmarkEnd w:id="4"/>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行政机关</w:t>
      </w:r>
      <w:r>
        <w:rPr>
          <w:rFonts w:hint="eastAsia" w:ascii="仿宋_GB2312" w:hAnsi="仿宋_GB2312" w:eastAsia="仿宋_GB2312" w:cs="仿宋_GB2312"/>
          <w:b w:val="0"/>
          <w:bCs/>
          <w:color w:val="auto"/>
          <w:sz w:val="32"/>
          <w:szCs w:val="32"/>
          <w:highlight w:val="none"/>
          <w:lang w:eastAsia="zh-CN"/>
        </w:rPr>
        <w:t>及相关组织</w:t>
      </w:r>
      <w:r>
        <w:rPr>
          <w:rFonts w:hint="eastAsia" w:ascii="仿宋_GB2312" w:hAnsi="仿宋_GB2312" w:eastAsia="仿宋_GB2312" w:cs="仿宋_GB2312"/>
          <w:b w:val="0"/>
          <w:bCs/>
          <w:color w:val="auto"/>
          <w:sz w:val="32"/>
          <w:szCs w:val="32"/>
          <w:highlight w:val="none"/>
          <w:lang w:val="en-US" w:eastAsia="zh-CN"/>
        </w:rPr>
        <w:t>可以依照相关法律、法规、规章规定，对公民、法人或者其他组织之间发生的与本单位行政管理职能有关的民事纠纷进行调解。</w:t>
      </w:r>
      <w:bookmarkStart w:id="6" w:name="4"/>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黑体" w:hAnsi="黑体" w:eastAsia="黑体" w:cs="黑体"/>
          <w:b w:val="0"/>
          <w:bCs/>
          <w:color w:val="auto"/>
          <w:kern w:val="2"/>
          <w:sz w:val="32"/>
          <w:szCs w:val="32"/>
          <w:highlight w:val="none"/>
          <w:lang w:eastAsia="zh-CN"/>
        </w:rPr>
        <w:t>第</w:t>
      </w:r>
      <w:r>
        <w:rPr>
          <w:rFonts w:hint="eastAsia" w:ascii="黑体" w:hAnsi="黑体" w:eastAsia="黑体" w:cs="黑体"/>
          <w:b w:val="0"/>
          <w:bCs/>
          <w:color w:val="auto"/>
          <w:kern w:val="2"/>
          <w:sz w:val="32"/>
          <w:szCs w:val="32"/>
          <w:highlight w:val="none"/>
          <w:lang w:val="en-US" w:eastAsia="zh-CN"/>
        </w:rPr>
        <w:t>十</w:t>
      </w:r>
      <w:r>
        <w:rPr>
          <w:rFonts w:hint="eastAsia" w:ascii="黑体" w:hAnsi="黑体" w:eastAsia="黑体" w:cs="黑体"/>
          <w:b w:val="0"/>
          <w:bCs/>
          <w:color w:val="auto"/>
          <w:kern w:val="2"/>
          <w:sz w:val="32"/>
          <w:szCs w:val="32"/>
          <w:highlight w:val="none"/>
          <w:lang w:eastAsia="zh-CN"/>
        </w:rPr>
        <w:t>条</w:t>
      </w:r>
      <w:bookmarkEnd w:id="6"/>
      <w:r>
        <w:rPr>
          <w:rFonts w:hint="eastAsia" w:ascii="仿宋_GB2312" w:hAnsi="仿宋_GB2312" w:eastAsia="仿宋_GB2312" w:cs="仿宋_GB2312"/>
          <w:b w:val="0"/>
          <w:bCs/>
          <w:color w:val="auto"/>
          <w:sz w:val="32"/>
          <w:szCs w:val="32"/>
          <w:highlight w:val="none"/>
          <w:lang w:val="en-US" w:eastAsia="zh-CN"/>
        </w:rPr>
        <w:t xml:space="preserve">  有下列情形之一的，不适用行政调解：</w:t>
      </w: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（一）人民法院、仲裁机构等已经受理或者信访程序已经终结的；</w:t>
      </w: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（二）申请人民调解并且已经受理的；</w:t>
      </w: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（三）已经达成有效调解协议，就同一事实或者相似理由重复提出行政调解申请的；</w:t>
      </w: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（四）超出民事诉讼时效或者行政裁决、仲裁的申请期限的；</w:t>
      </w: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（五）法律、法规、规章规定不适用行政调解的其他情形。</w:t>
      </w:r>
      <w:bookmarkStart w:id="7" w:name="5"/>
    </w:p>
    <w:bookmarkEnd w:id="7"/>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黑体" w:hAnsi="黑体" w:eastAsia="黑体" w:cs="黑体"/>
          <w:b w:val="0"/>
          <w:bCs/>
          <w:color w:val="auto"/>
          <w:kern w:val="2"/>
          <w:sz w:val="32"/>
          <w:szCs w:val="32"/>
          <w:highlight w:val="none"/>
          <w:lang w:eastAsia="zh-CN"/>
        </w:rPr>
        <w:t>第</w:t>
      </w:r>
      <w:r>
        <w:rPr>
          <w:rFonts w:hint="eastAsia" w:ascii="黑体" w:hAnsi="黑体" w:eastAsia="黑体" w:cs="黑体"/>
          <w:b w:val="0"/>
          <w:bCs/>
          <w:color w:val="auto"/>
          <w:kern w:val="2"/>
          <w:sz w:val="32"/>
          <w:szCs w:val="32"/>
          <w:highlight w:val="none"/>
          <w:lang w:val="en-US" w:eastAsia="zh-CN"/>
        </w:rPr>
        <w:t>十一</w:t>
      </w:r>
      <w:r>
        <w:rPr>
          <w:rFonts w:hint="eastAsia" w:ascii="黑体" w:hAnsi="黑体" w:eastAsia="黑体" w:cs="黑体"/>
          <w:b w:val="0"/>
          <w:bCs/>
          <w:color w:val="auto"/>
          <w:kern w:val="2"/>
          <w:sz w:val="32"/>
          <w:szCs w:val="32"/>
          <w:highlight w:val="none"/>
          <w:lang w:eastAsia="zh-CN"/>
        </w:rPr>
        <w:t>条</w:t>
      </w:r>
      <w:r>
        <w:rPr>
          <w:rFonts w:hint="eastAsia" w:ascii="仿宋_GB2312" w:hAnsi="仿宋_GB2312" w:eastAsia="仿宋_GB2312" w:cs="仿宋_GB2312"/>
          <w:b w:val="0"/>
          <w:bCs/>
          <w:color w:val="auto"/>
          <w:sz w:val="32"/>
          <w:szCs w:val="32"/>
          <w:highlight w:val="none"/>
          <w:lang w:val="en-US" w:eastAsia="zh-CN"/>
        </w:rPr>
        <w:t xml:space="preserve">  对本办法第九条规定的民事纠纷的调解，履行相关行政管理职能的</w:t>
      </w:r>
      <w:r>
        <w:rPr>
          <w:rFonts w:hint="eastAsia" w:ascii="仿宋_GB2312" w:hAnsi="仿宋_GB2312" w:eastAsia="仿宋_GB2312" w:cs="仿宋_GB2312"/>
          <w:b w:val="0"/>
          <w:bCs/>
          <w:color w:val="auto"/>
          <w:sz w:val="32"/>
          <w:szCs w:val="32"/>
          <w:highlight w:val="none"/>
        </w:rPr>
        <w:t>行政机关</w:t>
      </w:r>
      <w:r>
        <w:rPr>
          <w:rFonts w:hint="eastAsia" w:ascii="仿宋_GB2312" w:hAnsi="仿宋_GB2312" w:eastAsia="仿宋_GB2312" w:cs="仿宋_GB2312"/>
          <w:b w:val="0"/>
          <w:bCs/>
          <w:color w:val="auto"/>
          <w:sz w:val="32"/>
          <w:szCs w:val="32"/>
          <w:highlight w:val="none"/>
          <w:lang w:eastAsia="zh-CN"/>
        </w:rPr>
        <w:t>或者相关组织</w:t>
      </w:r>
      <w:r>
        <w:rPr>
          <w:rFonts w:hint="eastAsia" w:ascii="仿宋_GB2312" w:hAnsi="仿宋_GB2312" w:eastAsia="仿宋_GB2312" w:cs="仿宋_GB2312"/>
          <w:b w:val="0"/>
          <w:bCs/>
          <w:color w:val="auto"/>
          <w:sz w:val="32"/>
          <w:szCs w:val="32"/>
          <w:highlight w:val="none"/>
          <w:lang w:val="en-US" w:eastAsia="zh-CN"/>
        </w:rPr>
        <w:t>为行政调解机关。</w:t>
      </w: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黑体" w:hAnsi="黑体" w:eastAsia="黑体" w:cs="黑体"/>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行政调解机关为人民政府的，人民政府可以</w:t>
      </w:r>
      <w:r>
        <w:rPr>
          <w:rFonts w:hint="eastAsia" w:ascii="仿宋_GB2312" w:hAnsi="仿宋_GB2312" w:eastAsia="仿宋_GB2312" w:cs="仿宋_GB2312"/>
          <w:b w:val="0"/>
          <w:bCs/>
          <w:color w:val="auto"/>
          <w:sz w:val="32"/>
          <w:szCs w:val="32"/>
          <w:highlight w:val="none"/>
          <w:lang w:val="en-US" w:eastAsia="zh-Hans"/>
        </w:rPr>
        <w:t>指定无</w:t>
      </w:r>
      <w:r>
        <w:rPr>
          <w:rFonts w:hint="eastAsia" w:ascii="仿宋_GB2312" w:hAnsi="仿宋_GB2312" w:eastAsia="仿宋_GB2312" w:cs="仿宋_GB2312"/>
          <w:b w:val="0"/>
          <w:bCs/>
          <w:color w:val="auto"/>
          <w:sz w:val="32"/>
          <w:szCs w:val="32"/>
          <w:highlight w:val="none"/>
          <w:lang w:val="en-US" w:eastAsia="zh-CN"/>
        </w:rPr>
        <w:t>利害关系</w:t>
      </w:r>
      <w:r>
        <w:rPr>
          <w:rFonts w:hint="eastAsia" w:ascii="仿宋_GB2312" w:hAnsi="仿宋_GB2312" w:eastAsia="仿宋_GB2312" w:cs="仿宋_GB2312"/>
          <w:b w:val="0"/>
          <w:bCs/>
          <w:color w:val="auto"/>
          <w:sz w:val="32"/>
          <w:szCs w:val="32"/>
          <w:highlight w:val="none"/>
          <w:lang w:val="en-US" w:eastAsia="zh-Hans"/>
        </w:rPr>
        <w:t>的</w:t>
      </w:r>
      <w:r>
        <w:rPr>
          <w:rFonts w:hint="eastAsia" w:ascii="仿宋_GB2312" w:hAnsi="仿宋_GB2312" w:eastAsia="仿宋_GB2312" w:cs="仿宋_GB2312"/>
          <w:b w:val="0"/>
          <w:bCs/>
          <w:color w:val="auto"/>
          <w:sz w:val="32"/>
          <w:szCs w:val="32"/>
          <w:highlight w:val="none"/>
          <w:lang w:val="en-US" w:eastAsia="zh-CN"/>
        </w:rPr>
        <w:t>相关部门或者机构组织调解。</w:t>
      </w:r>
      <w:bookmarkStart w:id="8" w:name="_Toc1569489705_WPSOffice_Level1"/>
    </w:p>
    <w:p>
      <w:pPr>
        <w:pStyle w:val="3"/>
        <w:keepNext w:val="0"/>
        <w:keepLines w:val="0"/>
        <w:pageBreakBefore w:val="0"/>
        <w:kinsoku/>
        <w:wordWrap/>
        <w:overflowPunct/>
        <w:topLinePunct w:val="0"/>
        <w:autoSpaceDE/>
        <w:autoSpaceDN/>
        <w:bidi w:val="0"/>
        <w:adjustRightInd/>
        <w:snapToGrid/>
        <w:spacing w:before="0" w:after="0" w:line="480" w:lineRule="auto"/>
        <w:ind w:firstLine="640" w:firstLineChars="200"/>
        <w:jc w:val="center"/>
        <w:rPr>
          <w:rFonts w:hint="eastAsia" w:ascii="黑体" w:hAnsi="黑体" w:eastAsia="黑体" w:cs="黑体"/>
          <w:b w:val="0"/>
          <w:bCs/>
          <w:color w:val="auto"/>
          <w:kern w:val="2"/>
          <w:sz w:val="32"/>
          <w:szCs w:val="32"/>
          <w:highlight w:val="none"/>
          <w:lang w:eastAsia="zh-CN"/>
        </w:rPr>
      </w:pPr>
      <w:r>
        <w:rPr>
          <w:rFonts w:hint="eastAsia" w:ascii="黑体" w:hAnsi="黑体" w:eastAsia="黑体" w:cs="黑体"/>
          <w:b w:val="0"/>
          <w:bCs/>
          <w:color w:val="auto"/>
          <w:sz w:val="32"/>
          <w:szCs w:val="32"/>
          <w:highlight w:val="none"/>
          <w:lang w:eastAsia="zh-CN"/>
        </w:rPr>
        <w:t>第</w:t>
      </w:r>
      <w:r>
        <w:rPr>
          <w:rFonts w:hint="eastAsia" w:ascii="黑体" w:hAnsi="黑体" w:eastAsia="黑体" w:cs="黑体"/>
          <w:b w:val="0"/>
          <w:bCs/>
          <w:color w:val="auto"/>
          <w:sz w:val="32"/>
          <w:szCs w:val="32"/>
          <w:highlight w:val="none"/>
          <w:lang w:val="en-US" w:eastAsia="zh-CN"/>
        </w:rPr>
        <w:t>三</w:t>
      </w:r>
      <w:r>
        <w:rPr>
          <w:rFonts w:hint="eastAsia" w:ascii="黑体" w:hAnsi="黑体" w:eastAsia="黑体" w:cs="黑体"/>
          <w:b w:val="0"/>
          <w:bCs/>
          <w:color w:val="auto"/>
          <w:sz w:val="32"/>
          <w:szCs w:val="32"/>
          <w:highlight w:val="none"/>
          <w:lang w:eastAsia="zh-CN"/>
        </w:rPr>
        <w:t>章</w:t>
      </w:r>
      <w:r>
        <w:rPr>
          <w:rFonts w:hint="eastAsia" w:ascii="黑体" w:hAnsi="黑体" w:eastAsia="黑体" w:cs="黑体"/>
          <w:b w:val="0"/>
          <w:bCs/>
          <w:color w:val="auto"/>
          <w:sz w:val="32"/>
          <w:szCs w:val="32"/>
          <w:highlight w:val="none"/>
          <w:lang w:val="en-US" w:eastAsia="zh-CN"/>
        </w:rPr>
        <w:t xml:space="preserve">   </w:t>
      </w:r>
      <w:r>
        <w:rPr>
          <w:rFonts w:hint="eastAsia" w:ascii="黑体" w:hAnsi="黑体" w:eastAsia="黑体" w:cs="黑体"/>
          <w:b w:val="0"/>
          <w:bCs/>
          <w:color w:val="auto"/>
          <w:sz w:val="32"/>
          <w:szCs w:val="32"/>
          <w:highlight w:val="none"/>
          <w:lang w:eastAsia="zh-CN"/>
        </w:rPr>
        <w:t>行政调解参加人</w:t>
      </w:r>
      <w:bookmarkEnd w:id="8"/>
      <w:bookmarkStart w:id="9" w:name="9"/>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黑体" w:hAnsi="黑体" w:eastAsia="黑体" w:cs="黑体"/>
          <w:b w:val="0"/>
          <w:bCs/>
          <w:color w:val="auto"/>
          <w:kern w:val="2"/>
          <w:sz w:val="32"/>
          <w:szCs w:val="32"/>
          <w:highlight w:val="none"/>
          <w:lang w:eastAsia="zh-CN"/>
        </w:rPr>
        <w:t>第</w:t>
      </w:r>
      <w:r>
        <w:rPr>
          <w:rFonts w:hint="eastAsia" w:ascii="黑体" w:hAnsi="黑体" w:eastAsia="黑体" w:cs="黑体"/>
          <w:b w:val="0"/>
          <w:bCs/>
          <w:color w:val="auto"/>
          <w:kern w:val="2"/>
          <w:sz w:val="32"/>
          <w:szCs w:val="32"/>
          <w:highlight w:val="none"/>
          <w:lang w:val="en-US" w:eastAsia="zh-CN"/>
        </w:rPr>
        <w:t>十二</w:t>
      </w:r>
      <w:r>
        <w:rPr>
          <w:rFonts w:hint="eastAsia" w:ascii="黑体" w:hAnsi="黑体" w:eastAsia="黑体" w:cs="黑体"/>
          <w:b w:val="0"/>
          <w:bCs/>
          <w:color w:val="auto"/>
          <w:kern w:val="2"/>
          <w:sz w:val="32"/>
          <w:szCs w:val="32"/>
          <w:highlight w:val="none"/>
          <w:lang w:eastAsia="zh-CN"/>
        </w:rPr>
        <w:t>条</w:t>
      </w:r>
      <w:bookmarkEnd w:id="9"/>
      <w:r>
        <w:rPr>
          <w:rFonts w:hint="eastAsia" w:ascii="仿宋_GB2312" w:hAnsi="仿宋_GB2312" w:eastAsia="仿宋_GB2312" w:cs="仿宋_GB2312"/>
          <w:b w:val="0"/>
          <w:bCs/>
          <w:color w:val="auto"/>
          <w:sz w:val="32"/>
          <w:szCs w:val="32"/>
          <w:highlight w:val="none"/>
          <w:lang w:val="en-US" w:eastAsia="zh-CN"/>
        </w:rPr>
        <w:t xml:space="preserve">  行政调解机关组织调解时，应当指派本单位相关业务部门工作人员主持调解。行政调解一般由1名行政调解员主持调解，重大疑难复杂的纠纷可以由2名以上行政调解员组织调解。</w:t>
      </w: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行政调解机关在征得当事人同意后，可以邀请有关单位、专业人员或者其他相关人员参与调解。</w:t>
      </w: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Hans"/>
        </w:rPr>
      </w:pPr>
      <w:r>
        <w:rPr>
          <w:rFonts w:hint="eastAsia" w:ascii="黑体" w:hAnsi="黑体" w:eastAsia="黑体" w:cs="黑体"/>
          <w:b w:val="0"/>
          <w:bCs/>
          <w:color w:val="auto"/>
          <w:kern w:val="2"/>
          <w:sz w:val="32"/>
          <w:szCs w:val="32"/>
          <w:highlight w:val="none"/>
          <w:lang w:val="en-US" w:eastAsia="zh-Hans"/>
        </w:rPr>
        <w:t>第</w:t>
      </w:r>
      <w:r>
        <w:rPr>
          <w:rFonts w:hint="eastAsia" w:ascii="黑体" w:hAnsi="黑体" w:eastAsia="黑体" w:cs="黑体"/>
          <w:b w:val="0"/>
          <w:bCs/>
          <w:color w:val="auto"/>
          <w:kern w:val="2"/>
          <w:sz w:val="32"/>
          <w:szCs w:val="32"/>
          <w:highlight w:val="none"/>
          <w:lang w:val="en-US" w:eastAsia="zh-CN"/>
        </w:rPr>
        <w:t>十三</w:t>
      </w:r>
      <w:r>
        <w:rPr>
          <w:rFonts w:hint="eastAsia" w:ascii="黑体" w:hAnsi="黑体" w:eastAsia="黑体" w:cs="黑体"/>
          <w:b w:val="0"/>
          <w:bCs/>
          <w:color w:val="auto"/>
          <w:kern w:val="2"/>
          <w:sz w:val="32"/>
          <w:szCs w:val="32"/>
          <w:highlight w:val="none"/>
          <w:lang w:val="en-US" w:eastAsia="zh-Hans"/>
        </w:rPr>
        <w:t>条</w:t>
      </w:r>
      <w:r>
        <w:rPr>
          <w:rFonts w:hint="eastAsia" w:ascii="仿宋_GB2312" w:hAnsi="仿宋_GB2312" w:eastAsia="仿宋_GB2312" w:cs="仿宋_GB2312"/>
          <w:b w:val="0"/>
          <w:bCs/>
          <w:color w:val="auto"/>
          <w:sz w:val="32"/>
          <w:szCs w:val="32"/>
          <w:highlight w:val="none"/>
          <w:u w:val="none"/>
          <w:lang w:eastAsia="zh-Hans"/>
        </w:rPr>
        <w:t xml:space="preserve">  </w:t>
      </w:r>
      <w:r>
        <w:rPr>
          <w:rFonts w:hint="eastAsia" w:ascii="仿宋_GB2312" w:hAnsi="仿宋_GB2312" w:eastAsia="仿宋_GB2312" w:cs="仿宋_GB2312"/>
          <w:b w:val="0"/>
          <w:bCs/>
          <w:color w:val="auto"/>
          <w:sz w:val="32"/>
          <w:szCs w:val="32"/>
          <w:highlight w:val="none"/>
          <w:lang w:val="en-US" w:eastAsia="zh-CN"/>
        </w:rPr>
        <w:t>行政</w:t>
      </w:r>
      <w:r>
        <w:rPr>
          <w:rFonts w:hint="eastAsia" w:ascii="仿宋_GB2312" w:hAnsi="仿宋_GB2312" w:eastAsia="仿宋_GB2312" w:cs="仿宋_GB2312"/>
          <w:b w:val="0"/>
          <w:bCs/>
          <w:color w:val="auto"/>
          <w:sz w:val="32"/>
          <w:szCs w:val="32"/>
          <w:highlight w:val="none"/>
          <w:lang w:val="en-US" w:eastAsia="zh-Hans"/>
        </w:rPr>
        <w:t>调解员有下列情形之一的，应当</w:t>
      </w:r>
      <w:r>
        <w:rPr>
          <w:rFonts w:hint="eastAsia" w:ascii="仿宋_GB2312" w:hAnsi="仿宋_GB2312" w:eastAsia="仿宋_GB2312" w:cs="仿宋_GB2312"/>
          <w:b w:val="0"/>
          <w:bCs/>
          <w:color w:val="auto"/>
          <w:sz w:val="32"/>
          <w:szCs w:val="32"/>
          <w:highlight w:val="none"/>
          <w:lang w:val="en-US" w:eastAsia="zh-CN"/>
        </w:rPr>
        <w:t>主动</w:t>
      </w:r>
      <w:r>
        <w:rPr>
          <w:rFonts w:hint="eastAsia" w:ascii="仿宋_GB2312" w:hAnsi="仿宋_GB2312" w:eastAsia="仿宋_GB2312" w:cs="仿宋_GB2312"/>
          <w:b w:val="0"/>
          <w:bCs/>
          <w:color w:val="auto"/>
          <w:sz w:val="32"/>
          <w:szCs w:val="32"/>
          <w:highlight w:val="none"/>
          <w:lang w:val="en-US" w:eastAsia="zh-Hans"/>
        </w:rPr>
        <w:t>回避</w:t>
      </w:r>
      <w:r>
        <w:rPr>
          <w:rFonts w:hint="eastAsia" w:ascii="仿宋_GB2312" w:hAnsi="仿宋_GB2312" w:eastAsia="仿宋_GB2312" w:cs="仿宋_GB2312"/>
          <w:b w:val="0"/>
          <w:bCs/>
          <w:color w:val="auto"/>
          <w:sz w:val="32"/>
          <w:szCs w:val="32"/>
          <w:highlight w:val="none"/>
          <w:lang w:val="en-US" w:eastAsia="zh-CN"/>
        </w:rPr>
        <w:t>；不主动回避的，当事人有权申请其回避</w:t>
      </w:r>
      <w:r>
        <w:rPr>
          <w:rFonts w:hint="eastAsia" w:ascii="仿宋_GB2312" w:hAnsi="仿宋_GB2312" w:eastAsia="仿宋_GB2312" w:cs="仿宋_GB2312"/>
          <w:b w:val="0"/>
          <w:bCs/>
          <w:color w:val="auto"/>
          <w:sz w:val="32"/>
          <w:szCs w:val="32"/>
          <w:highlight w:val="none"/>
          <w:lang w:val="en-US" w:eastAsia="zh-Hans"/>
        </w:rPr>
        <w:t>：</w:t>
      </w: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Hans"/>
        </w:rPr>
      </w:pPr>
      <w:r>
        <w:rPr>
          <w:rFonts w:hint="eastAsia" w:ascii="仿宋_GB2312" w:hAnsi="仿宋_GB2312" w:eastAsia="仿宋_GB2312" w:cs="仿宋_GB2312"/>
          <w:b w:val="0"/>
          <w:bCs/>
          <w:color w:val="auto"/>
          <w:sz w:val="32"/>
          <w:szCs w:val="32"/>
          <w:highlight w:val="none"/>
          <w:lang w:val="en-US" w:eastAsia="zh-Hans"/>
        </w:rPr>
        <w:t>（一）与本纠纷有利害关系的；</w:t>
      </w: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Hans"/>
        </w:rPr>
      </w:pPr>
      <w:r>
        <w:rPr>
          <w:rFonts w:hint="eastAsia" w:ascii="仿宋_GB2312" w:hAnsi="仿宋_GB2312" w:eastAsia="仿宋_GB2312" w:cs="仿宋_GB2312"/>
          <w:b w:val="0"/>
          <w:bCs/>
          <w:color w:val="auto"/>
          <w:sz w:val="32"/>
          <w:szCs w:val="32"/>
          <w:highlight w:val="none"/>
          <w:lang w:val="en-US" w:eastAsia="zh-Hans"/>
        </w:rPr>
        <w:t>（二）与本纠纷的当事人</w:t>
      </w:r>
      <w:r>
        <w:rPr>
          <w:rFonts w:hint="eastAsia" w:ascii="仿宋_GB2312" w:hAnsi="仿宋_GB2312" w:eastAsia="仿宋_GB2312" w:cs="仿宋_GB2312"/>
          <w:b w:val="0"/>
          <w:bCs/>
          <w:color w:val="auto"/>
          <w:sz w:val="32"/>
          <w:szCs w:val="32"/>
          <w:highlight w:val="none"/>
          <w:lang w:val="en-US" w:eastAsia="zh-CN"/>
        </w:rPr>
        <w:t>、第三人</w:t>
      </w:r>
      <w:r>
        <w:rPr>
          <w:rFonts w:hint="eastAsia" w:ascii="仿宋_GB2312" w:hAnsi="仿宋_GB2312" w:eastAsia="仿宋_GB2312" w:cs="仿宋_GB2312"/>
          <w:b w:val="0"/>
          <w:bCs/>
          <w:color w:val="auto"/>
          <w:sz w:val="32"/>
          <w:szCs w:val="32"/>
          <w:highlight w:val="none"/>
          <w:lang w:val="en-US" w:eastAsia="zh-Hans"/>
        </w:rPr>
        <w:t>或</w:t>
      </w:r>
      <w:r>
        <w:rPr>
          <w:rFonts w:hint="eastAsia" w:ascii="仿宋_GB2312" w:hAnsi="仿宋_GB2312" w:eastAsia="仿宋_GB2312" w:cs="仿宋_GB2312"/>
          <w:b w:val="0"/>
          <w:bCs/>
          <w:color w:val="auto"/>
          <w:sz w:val="32"/>
          <w:szCs w:val="32"/>
          <w:highlight w:val="none"/>
          <w:lang w:val="en-US" w:eastAsia="zh-CN"/>
        </w:rPr>
        <w:t>者</w:t>
      </w:r>
      <w:r>
        <w:rPr>
          <w:rFonts w:hint="eastAsia" w:ascii="仿宋_GB2312" w:hAnsi="仿宋_GB2312" w:eastAsia="仿宋_GB2312" w:cs="仿宋_GB2312"/>
          <w:b w:val="0"/>
          <w:bCs/>
          <w:color w:val="auto"/>
          <w:sz w:val="32"/>
          <w:szCs w:val="32"/>
          <w:highlight w:val="none"/>
          <w:lang w:val="en-US" w:eastAsia="zh-Hans"/>
        </w:rPr>
        <w:t>其代理人有利害关系的；</w:t>
      </w: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Hans"/>
        </w:rPr>
      </w:pPr>
      <w:r>
        <w:rPr>
          <w:rFonts w:hint="eastAsia" w:ascii="仿宋_GB2312" w:hAnsi="仿宋_GB2312" w:eastAsia="仿宋_GB2312" w:cs="仿宋_GB2312"/>
          <w:b w:val="0"/>
          <w:bCs/>
          <w:color w:val="auto"/>
          <w:sz w:val="32"/>
          <w:szCs w:val="32"/>
          <w:highlight w:val="none"/>
          <w:lang w:val="en-US" w:eastAsia="zh-Hans"/>
        </w:rPr>
        <w:t>（三）存在其他可能影响公正</w:t>
      </w:r>
      <w:r>
        <w:rPr>
          <w:rFonts w:hint="eastAsia" w:ascii="仿宋_GB2312" w:hAnsi="仿宋_GB2312" w:eastAsia="仿宋_GB2312" w:cs="仿宋_GB2312"/>
          <w:b w:val="0"/>
          <w:bCs/>
          <w:color w:val="auto"/>
          <w:sz w:val="32"/>
          <w:szCs w:val="32"/>
          <w:highlight w:val="none"/>
          <w:lang w:val="en-US" w:eastAsia="zh-CN"/>
        </w:rPr>
        <w:t>调解</w:t>
      </w:r>
      <w:r>
        <w:rPr>
          <w:rFonts w:hint="eastAsia" w:ascii="仿宋_GB2312" w:hAnsi="仿宋_GB2312" w:eastAsia="仿宋_GB2312" w:cs="仿宋_GB2312"/>
          <w:b w:val="0"/>
          <w:bCs/>
          <w:color w:val="auto"/>
          <w:sz w:val="32"/>
          <w:szCs w:val="32"/>
          <w:highlight w:val="none"/>
          <w:lang w:val="en-US" w:eastAsia="zh-Hans"/>
        </w:rPr>
        <w:t>情形的。</w:t>
      </w: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Hans"/>
        </w:rPr>
      </w:pPr>
      <w:r>
        <w:rPr>
          <w:rFonts w:hint="eastAsia" w:ascii="仿宋_GB2312" w:hAnsi="仿宋_GB2312" w:eastAsia="仿宋_GB2312" w:cs="仿宋_GB2312"/>
          <w:b w:val="0"/>
          <w:bCs/>
          <w:color w:val="auto"/>
          <w:sz w:val="32"/>
          <w:szCs w:val="32"/>
          <w:highlight w:val="none"/>
          <w:lang w:val="en-US" w:eastAsia="zh-Hans"/>
        </w:rPr>
        <w:t>当事人申请回避</w:t>
      </w:r>
      <w:r>
        <w:rPr>
          <w:rFonts w:hint="eastAsia" w:ascii="仿宋_GB2312" w:hAnsi="仿宋_GB2312" w:eastAsia="仿宋_GB2312" w:cs="仿宋_GB2312"/>
          <w:b w:val="0"/>
          <w:bCs/>
          <w:color w:val="auto"/>
          <w:sz w:val="32"/>
          <w:szCs w:val="32"/>
          <w:highlight w:val="none"/>
          <w:lang w:val="en-US" w:eastAsia="zh-CN"/>
        </w:rPr>
        <w:t>的</w:t>
      </w:r>
      <w:r>
        <w:rPr>
          <w:rFonts w:hint="eastAsia" w:ascii="仿宋_GB2312" w:hAnsi="仿宋_GB2312" w:eastAsia="仿宋_GB2312" w:cs="仿宋_GB2312"/>
          <w:b w:val="0"/>
          <w:bCs/>
          <w:color w:val="auto"/>
          <w:sz w:val="32"/>
          <w:szCs w:val="32"/>
          <w:highlight w:val="none"/>
          <w:lang w:val="en-US" w:eastAsia="zh-Hans"/>
        </w:rPr>
        <w:t>，</w:t>
      </w:r>
      <w:r>
        <w:rPr>
          <w:rFonts w:hint="eastAsia" w:ascii="仿宋_GB2312" w:hAnsi="仿宋_GB2312" w:eastAsia="仿宋_GB2312" w:cs="仿宋_GB2312"/>
          <w:b w:val="0"/>
          <w:bCs/>
          <w:color w:val="auto"/>
          <w:sz w:val="32"/>
          <w:szCs w:val="32"/>
          <w:highlight w:val="none"/>
          <w:lang w:val="en-US" w:eastAsia="zh-CN"/>
        </w:rPr>
        <w:t>行政调解机关应当书面记录</w:t>
      </w:r>
      <w:r>
        <w:rPr>
          <w:rFonts w:hint="eastAsia" w:ascii="仿宋_GB2312" w:hAnsi="仿宋_GB2312" w:eastAsia="仿宋_GB2312" w:cs="仿宋_GB2312"/>
          <w:b w:val="0"/>
          <w:bCs/>
          <w:color w:val="auto"/>
          <w:sz w:val="32"/>
          <w:szCs w:val="32"/>
          <w:highlight w:val="none"/>
          <w:lang w:val="en-US" w:eastAsia="zh-Hans"/>
        </w:rPr>
        <w:t>回避理由</w:t>
      </w:r>
      <w:r>
        <w:rPr>
          <w:rFonts w:hint="eastAsia" w:ascii="仿宋_GB2312" w:hAnsi="仿宋_GB2312" w:eastAsia="仿宋_GB2312" w:cs="仿宋_GB2312"/>
          <w:b w:val="0"/>
          <w:bCs/>
          <w:color w:val="auto"/>
          <w:sz w:val="32"/>
          <w:szCs w:val="32"/>
          <w:highlight w:val="none"/>
          <w:lang w:val="en-US" w:eastAsia="zh-CN"/>
        </w:rPr>
        <w:t>，并在3</w:t>
      </w:r>
      <w:r>
        <w:rPr>
          <w:rFonts w:hint="eastAsia" w:ascii="仿宋_GB2312" w:hAnsi="仿宋_GB2312" w:eastAsia="仿宋_GB2312" w:cs="仿宋_GB2312"/>
          <w:b w:val="0"/>
          <w:bCs/>
          <w:color w:val="auto"/>
          <w:sz w:val="32"/>
          <w:szCs w:val="32"/>
          <w:highlight w:val="none"/>
          <w:lang w:val="en-US" w:eastAsia="zh-Hans"/>
        </w:rPr>
        <w:t>个工作日</w:t>
      </w:r>
      <w:r>
        <w:rPr>
          <w:rFonts w:hint="eastAsia" w:ascii="仿宋_GB2312" w:hAnsi="仿宋_GB2312" w:eastAsia="仿宋_GB2312" w:cs="仿宋_GB2312"/>
          <w:b w:val="0"/>
          <w:bCs/>
          <w:color w:val="auto"/>
          <w:sz w:val="32"/>
          <w:szCs w:val="32"/>
          <w:highlight w:val="none"/>
          <w:lang w:val="en-US" w:eastAsia="zh-CN"/>
        </w:rPr>
        <w:t>内</w:t>
      </w:r>
      <w:r>
        <w:rPr>
          <w:rFonts w:hint="eastAsia" w:ascii="仿宋_GB2312" w:hAnsi="仿宋_GB2312" w:eastAsia="仿宋_GB2312" w:cs="仿宋_GB2312"/>
          <w:b w:val="0"/>
          <w:bCs/>
          <w:color w:val="auto"/>
          <w:sz w:val="32"/>
          <w:szCs w:val="32"/>
          <w:highlight w:val="none"/>
          <w:lang w:val="en-US" w:eastAsia="zh-Hans"/>
        </w:rPr>
        <w:t>作出</w:t>
      </w:r>
      <w:r>
        <w:rPr>
          <w:rFonts w:hint="eastAsia" w:ascii="仿宋_GB2312" w:hAnsi="仿宋_GB2312" w:eastAsia="仿宋_GB2312" w:cs="仿宋_GB2312"/>
          <w:b w:val="0"/>
          <w:bCs/>
          <w:color w:val="auto"/>
          <w:sz w:val="32"/>
          <w:szCs w:val="32"/>
          <w:highlight w:val="none"/>
          <w:lang w:val="en-US" w:eastAsia="zh-CN"/>
        </w:rPr>
        <w:t>是否回避的</w:t>
      </w:r>
      <w:r>
        <w:rPr>
          <w:rFonts w:hint="eastAsia" w:ascii="仿宋_GB2312" w:hAnsi="仿宋_GB2312" w:eastAsia="仿宋_GB2312" w:cs="仿宋_GB2312"/>
          <w:b w:val="0"/>
          <w:bCs/>
          <w:color w:val="auto"/>
          <w:sz w:val="32"/>
          <w:szCs w:val="32"/>
          <w:highlight w:val="none"/>
          <w:lang w:val="en-US" w:eastAsia="zh-Hans"/>
        </w:rPr>
        <w:t>决定</w:t>
      </w:r>
      <w:r>
        <w:rPr>
          <w:rFonts w:hint="eastAsia" w:ascii="仿宋_GB2312" w:hAnsi="仿宋_GB2312" w:eastAsia="仿宋_GB2312" w:cs="仿宋_GB2312"/>
          <w:b w:val="0"/>
          <w:bCs/>
          <w:color w:val="auto"/>
          <w:sz w:val="32"/>
          <w:szCs w:val="32"/>
          <w:highlight w:val="none"/>
          <w:lang w:val="en-US" w:eastAsia="zh-CN"/>
        </w:rPr>
        <w:t>。行政调解机关决定回避</w:t>
      </w:r>
      <w:r>
        <w:rPr>
          <w:rFonts w:hint="eastAsia" w:ascii="仿宋_GB2312" w:hAnsi="仿宋_GB2312" w:eastAsia="仿宋_GB2312" w:cs="仿宋_GB2312"/>
          <w:b w:val="0"/>
          <w:bCs/>
          <w:color w:val="auto"/>
          <w:sz w:val="32"/>
          <w:szCs w:val="32"/>
          <w:highlight w:val="none"/>
          <w:lang w:val="en-US" w:eastAsia="zh-Hans"/>
        </w:rPr>
        <w:t>的，</w:t>
      </w:r>
      <w:r>
        <w:rPr>
          <w:rFonts w:hint="eastAsia" w:ascii="仿宋_GB2312" w:hAnsi="仿宋_GB2312" w:eastAsia="仿宋_GB2312" w:cs="仿宋_GB2312"/>
          <w:b w:val="0"/>
          <w:bCs/>
          <w:color w:val="auto"/>
          <w:sz w:val="32"/>
          <w:szCs w:val="32"/>
          <w:highlight w:val="none"/>
          <w:lang w:val="en-US" w:eastAsia="zh-CN"/>
        </w:rPr>
        <w:t>应当</w:t>
      </w:r>
      <w:r>
        <w:rPr>
          <w:rFonts w:hint="eastAsia" w:ascii="仿宋_GB2312" w:hAnsi="仿宋_GB2312" w:eastAsia="仿宋_GB2312" w:cs="仿宋_GB2312"/>
          <w:b w:val="0"/>
          <w:bCs/>
          <w:color w:val="auto"/>
          <w:sz w:val="32"/>
          <w:szCs w:val="32"/>
          <w:highlight w:val="none"/>
          <w:lang w:val="en-US" w:eastAsia="zh-Hans"/>
        </w:rPr>
        <w:t>及时更换</w:t>
      </w:r>
      <w:r>
        <w:rPr>
          <w:rFonts w:hint="eastAsia" w:ascii="仿宋_GB2312" w:hAnsi="仿宋_GB2312" w:eastAsia="仿宋_GB2312" w:cs="仿宋_GB2312"/>
          <w:b w:val="0"/>
          <w:bCs/>
          <w:color w:val="auto"/>
          <w:sz w:val="32"/>
          <w:szCs w:val="32"/>
          <w:highlight w:val="none"/>
          <w:lang w:val="en-US" w:eastAsia="zh-CN"/>
        </w:rPr>
        <w:t>行政</w:t>
      </w:r>
      <w:r>
        <w:rPr>
          <w:rFonts w:hint="eastAsia" w:ascii="仿宋_GB2312" w:hAnsi="仿宋_GB2312" w:eastAsia="仿宋_GB2312" w:cs="仿宋_GB2312"/>
          <w:b w:val="0"/>
          <w:bCs/>
          <w:color w:val="auto"/>
          <w:sz w:val="32"/>
          <w:szCs w:val="32"/>
          <w:highlight w:val="none"/>
          <w:lang w:val="en-US" w:eastAsia="zh-Hans"/>
        </w:rPr>
        <w:t>调解员；</w:t>
      </w:r>
      <w:r>
        <w:rPr>
          <w:rFonts w:hint="eastAsia" w:ascii="仿宋_GB2312" w:hAnsi="仿宋_GB2312" w:eastAsia="仿宋_GB2312" w:cs="仿宋_GB2312"/>
          <w:b w:val="0"/>
          <w:bCs/>
          <w:color w:val="auto"/>
          <w:sz w:val="32"/>
          <w:szCs w:val="32"/>
          <w:highlight w:val="none"/>
          <w:lang w:val="en-US" w:eastAsia="zh-CN"/>
        </w:rPr>
        <w:t>决定不予</w:t>
      </w:r>
      <w:r>
        <w:rPr>
          <w:rFonts w:hint="eastAsia" w:ascii="仿宋_GB2312" w:hAnsi="仿宋_GB2312" w:eastAsia="仿宋_GB2312" w:cs="仿宋_GB2312"/>
          <w:b w:val="0"/>
          <w:bCs/>
          <w:color w:val="auto"/>
          <w:sz w:val="32"/>
          <w:szCs w:val="32"/>
          <w:highlight w:val="none"/>
          <w:lang w:val="en-US" w:eastAsia="zh-Hans"/>
        </w:rPr>
        <w:t>回避的，</w:t>
      </w:r>
      <w:r>
        <w:rPr>
          <w:rFonts w:hint="eastAsia" w:ascii="仿宋_GB2312" w:hAnsi="仿宋_GB2312" w:eastAsia="仿宋_GB2312" w:cs="仿宋_GB2312"/>
          <w:b w:val="0"/>
          <w:bCs/>
          <w:color w:val="auto"/>
          <w:sz w:val="32"/>
          <w:szCs w:val="32"/>
          <w:highlight w:val="none"/>
          <w:lang w:val="en-US" w:eastAsia="zh-CN"/>
        </w:rPr>
        <w:t>应当</w:t>
      </w:r>
      <w:r>
        <w:rPr>
          <w:rFonts w:hint="eastAsia" w:ascii="仿宋_GB2312" w:hAnsi="仿宋_GB2312" w:eastAsia="仿宋_GB2312" w:cs="仿宋_GB2312"/>
          <w:b w:val="0"/>
          <w:bCs/>
          <w:color w:val="auto"/>
          <w:sz w:val="32"/>
          <w:szCs w:val="32"/>
          <w:highlight w:val="none"/>
          <w:lang w:val="en-US" w:eastAsia="zh-Hans"/>
        </w:rPr>
        <w:t>向当事人说明理由。</w:t>
      </w: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Hans"/>
        </w:rPr>
      </w:pPr>
      <w:r>
        <w:rPr>
          <w:rFonts w:hint="eastAsia" w:ascii="黑体" w:hAnsi="黑体" w:eastAsia="黑体" w:cs="黑体"/>
          <w:b w:val="0"/>
          <w:bCs/>
          <w:color w:val="auto"/>
          <w:kern w:val="2"/>
          <w:sz w:val="32"/>
          <w:szCs w:val="32"/>
          <w:highlight w:val="none"/>
          <w:lang w:eastAsia="zh-CN"/>
        </w:rPr>
        <w:t>第十四条</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行</w:t>
      </w:r>
      <w:r>
        <w:rPr>
          <w:rFonts w:hint="eastAsia" w:ascii="仿宋_GB2312" w:hAnsi="仿宋_GB2312" w:eastAsia="仿宋_GB2312" w:cs="仿宋_GB2312"/>
          <w:b w:val="0"/>
          <w:bCs/>
          <w:color w:val="auto"/>
          <w:sz w:val="32"/>
          <w:szCs w:val="32"/>
          <w:highlight w:val="none"/>
          <w:lang w:val="en-US" w:eastAsia="zh-Hans"/>
        </w:rPr>
        <w:t>政调解的当事人应当按时参加调解。</w:t>
      </w: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Hans"/>
        </w:rPr>
      </w:pPr>
      <w:r>
        <w:rPr>
          <w:rFonts w:hint="eastAsia" w:ascii="仿宋_GB2312" w:hAnsi="仿宋_GB2312" w:eastAsia="仿宋_GB2312" w:cs="仿宋_GB2312"/>
          <w:b w:val="0"/>
          <w:bCs/>
          <w:color w:val="auto"/>
          <w:sz w:val="32"/>
          <w:szCs w:val="32"/>
          <w:highlight w:val="none"/>
          <w:lang w:val="en-US" w:eastAsia="zh-CN"/>
        </w:rPr>
        <w:t>公民、法人或者其他组织</w:t>
      </w:r>
      <w:r>
        <w:rPr>
          <w:rFonts w:hint="eastAsia" w:ascii="仿宋_GB2312" w:hAnsi="仿宋_GB2312" w:eastAsia="仿宋_GB2312" w:cs="仿宋_GB2312"/>
          <w:b w:val="0"/>
          <w:bCs/>
          <w:color w:val="auto"/>
          <w:sz w:val="32"/>
          <w:szCs w:val="32"/>
          <w:highlight w:val="none"/>
          <w:lang w:val="en-US" w:eastAsia="zh-Hans"/>
        </w:rPr>
        <w:t>认为与有关争议纠纷有利害关系的，可以向行政调解机关申请作为第三人参加调解。</w:t>
      </w: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Hans"/>
        </w:rPr>
      </w:pPr>
      <w:r>
        <w:rPr>
          <w:rFonts w:hint="eastAsia" w:ascii="仿宋_GB2312" w:hAnsi="仿宋_GB2312" w:eastAsia="仿宋_GB2312" w:cs="仿宋_GB2312"/>
          <w:b w:val="0"/>
          <w:bCs/>
          <w:color w:val="auto"/>
          <w:sz w:val="32"/>
          <w:szCs w:val="32"/>
          <w:highlight w:val="none"/>
          <w:lang w:val="en-US" w:eastAsia="zh-Hans"/>
        </w:rPr>
        <w:t>调解结果直接影响</w:t>
      </w:r>
      <w:r>
        <w:rPr>
          <w:rFonts w:hint="eastAsia" w:ascii="仿宋_GB2312" w:hAnsi="仿宋_GB2312" w:eastAsia="仿宋_GB2312" w:cs="仿宋_GB2312"/>
          <w:b w:val="0"/>
          <w:bCs/>
          <w:color w:val="auto"/>
          <w:sz w:val="32"/>
          <w:szCs w:val="32"/>
          <w:highlight w:val="none"/>
          <w:lang w:val="en-US" w:eastAsia="zh-CN"/>
        </w:rPr>
        <w:t>其他公民、法人或者其他组织</w:t>
      </w:r>
      <w:r>
        <w:rPr>
          <w:rFonts w:hint="eastAsia" w:ascii="仿宋_GB2312" w:hAnsi="仿宋_GB2312" w:eastAsia="仿宋_GB2312" w:cs="仿宋_GB2312"/>
          <w:b w:val="0"/>
          <w:bCs/>
          <w:color w:val="auto"/>
          <w:sz w:val="32"/>
          <w:szCs w:val="32"/>
          <w:highlight w:val="none"/>
          <w:lang w:val="en-US" w:eastAsia="zh-Hans"/>
        </w:rPr>
        <w:t>利益的，行政调解机关应当通知其作为第三人参加调解。</w:t>
      </w:r>
      <w:bookmarkStart w:id="10" w:name="11"/>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Hans"/>
        </w:rPr>
      </w:pPr>
      <w:r>
        <w:rPr>
          <w:rFonts w:hint="eastAsia" w:ascii="黑体" w:hAnsi="黑体" w:eastAsia="黑体" w:cs="黑体"/>
          <w:b w:val="0"/>
          <w:bCs/>
          <w:color w:val="auto"/>
          <w:kern w:val="2"/>
          <w:sz w:val="32"/>
          <w:szCs w:val="32"/>
          <w:highlight w:val="none"/>
          <w:lang w:eastAsia="zh-CN"/>
        </w:rPr>
        <w:t>第十</w:t>
      </w:r>
      <w:r>
        <w:rPr>
          <w:rFonts w:hint="eastAsia" w:ascii="黑体" w:hAnsi="黑体" w:eastAsia="黑体" w:cs="黑体"/>
          <w:b w:val="0"/>
          <w:bCs/>
          <w:color w:val="auto"/>
          <w:kern w:val="2"/>
          <w:sz w:val="32"/>
          <w:szCs w:val="32"/>
          <w:highlight w:val="none"/>
          <w:lang w:val="en-US" w:eastAsia="zh-CN"/>
        </w:rPr>
        <w:t>五</w:t>
      </w:r>
      <w:r>
        <w:rPr>
          <w:rFonts w:hint="eastAsia" w:ascii="黑体" w:hAnsi="黑体" w:eastAsia="黑体" w:cs="黑体"/>
          <w:b w:val="0"/>
          <w:bCs/>
          <w:color w:val="auto"/>
          <w:kern w:val="2"/>
          <w:sz w:val="32"/>
          <w:szCs w:val="32"/>
          <w:highlight w:val="none"/>
          <w:lang w:eastAsia="zh-CN"/>
        </w:rPr>
        <w:t>条</w:t>
      </w:r>
      <w:bookmarkEnd w:id="10"/>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lang w:val="en-US" w:eastAsia="zh-Hans"/>
        </w:rPr>
        <w:t>当事人、第三人可以委托1至2名代理人参加调解。当事人、第三人委托代理人的，应当向行政调解机关提交授权委托书。授权委托书应当载明委托事项、权限和期限。当事人不能参加调解的，应当明确至少1名代理人的委托权限包括承认、放弃、变更调解请求以及签订调解协议。</w:t>
      </w: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Hans"/>
        </w:rPr>
      </w:pPr>
      <w:r>
        <w:rPr>
          <w:rFonts w:hint="eastAsia" w:ascii="仿宋_GB2312" w:hAnsi="仿宋_GB2312" w:eastAsia="仿宋_GB2312" w:cs="仿宋_GB2312"/>
          <w:b w:val="0"/>
          <w:bCs/>
          <w:color w:val="auto"/>
          <w:sz w:val="32"/>
          <w:szCs w:val="32"/>
          <w:highlight w:val="none"/>
          <w:lang w:val="en-US" w:eastAsia="zh-Hans"/>
        </w:rPr>
        <w:t>一方当事人人数</w:t>
      </w:r>
      <w:r>
        <w:rPr>
          <w:rFonts w:hint="eastAsia" w:ascii="仿宋_GB2312" w:hAnsi="仿宋_GB2312" w:eastAsia="仿宋_GB2312" w:cs="仿宋_GB2312"/>
          <w:b w:val="0"/>
          <w:bCs/>
          <w:color w:val="auto"/>
          <w:sz w:val="32"/>
          <w:szCs w:val="32"/>
          <w:highlight w:val="none"/>
          <w:lang w:val="en-US" w:eastAsia="zh-CN"/>
        </w:rPr>
        <w:t>超过5人</w:t>
      </w:r>
      <w:r>
        <w:rPr>
          <w:rFonts w:hint="eastAsia" w:ascii="仿宋_GB2312" w:hAnsi="仿宋_GB2312" w:eastAsia="仿宋_GB2312" w:cs="仿宋_GB2312"/>
          <w:b w:val="0"/>
          <w:bCs/>
          <w:color w:val="auto"/>
          <w:sz w:val="32"/>
          <w:szCs w:val="32"/>
          <w:highlight w:val="none"/>
          <w:lang w:val="en-US" w:eastAsia="zh-Hans"/>
        </w:rPr>
        <w:t>的，</w:t>
      </w:r>
      <w:r>
        <w:rPr>
          <w:rFonts w:hint="eastAsia" w:ascii="仿宋_GB2312" w:hAnsi="仿宋_GB2312" w:eastAsia="仿宋_GB2312" w:cs="仿宋_GB2312"/>
          <w:b w:val="0"/>
          <w:bCs/>
          <w:color w:val="auto"/>
          <w:sz w:val="32"/>
          <w:szCs w:val="32"/>
          <w:highlight w:val="none"/>
          <w:lang w:val="en-US" w:eastAsia="zh-CN"/>
        </w:rPr>
        <w:t>应当推选代表，代表人数不超过5人。</w:t>
      </w: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Hans"/>
        </w:rPr>
      </w:pPr>
      <w:r>
        <w:rPr>
          <w:rFonts w:hint="eastAsia" w:ascii="黑体" w:hAnsi="黑体" w:eastAsia="黑体" w:cs="黑体"/>
          <w:b w:val="0"/>
          <w:bCs/>
          <w:color w:val="auto"/>
          <w:kern w:val="2"/>
          <w:sz w:val="32"/>
          <w:szCs w:val="32"/>
          <w:highlight w:val="none"/>
          <w:lang w:eastAsia="zh-CN"/>
        </w:rPr>
        <w:t>第十</w:t>
      </w:r>
      <w:r>
        <w:rPr>
          <w:rFonts w:hint="eastAsia" w:ascii="黑体" w:hAnsi="黑体" w:eastAsia="黑体" w:cs="黑体"/>
          <w:b w:val="0"/>
          <w:bCs/>
          <w:color w:val="auto"/>
          <w:kern w:val="2"/>
          <w:sz w:val="32"/>
          <w:szCs w:val="32"/>
          <w:highlight w:val="none"/>
          <w:lang w:val="en-US" w:eastAsia="zh-CN"/>
        </w:rPr>
        <w:t>六</w:t>
      </w:r>
      <w:r>
        <w:rPr>
          <w:rFonts w:hint="eastAsia" w:ascii="黑体" w:hAnsi="黑体" w:eastAsia="黑体" w:cs="黑体"/>
          <w:b w:val="0"/>
          <w:bCs/>
          <w:color w:val="auto"/>
          <w:kern w:val="2"/>
          <w:sz w:val="32"/>
          <w:szCs w:val="32"/>
          <w:highlight w:val="none"/>
          <w:lang w:eastAsia="zh-CN"/>
        </w:rPr>
        <w:t>条</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lang w:val="en-US" w:eastAsia="zh-Hans"/>
        </w:rPr>
        <w:t>当事人在行政调解活动中享有下列权利：</w:t>
      </w: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Hans"/>
        </w:rPr>
      </w:pPr>
      <w:r>
        <w:rPr>
          <w:rFonts w:hint="eastAsia" w:ascii="仿宋_GB2312" w:hAnsi="仿宋_GB2312" w:eastAsia="仿宋_GB2312" w:cs="仿宋_GB2312"/>
          <w:b w:val="0"/>
          <w:bCs/>
          <w:color w:val="auto"/>
          <w:sz w:val="32"/>
          <w:szCs w:val="32"/>
          <w:highlight w:val="none"/>
          <w:lang w:val="en-US" w:eastAsia="zh-Hans"/>
        </w:rPr>
        <w:t>（一）自主表达意愿、自愿达成调解协议；</w:t>
      </w: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Hans"/>
        </w:rPr>
      </w:pPr>
      <w:r>
        <w:rPr>
          <w:rFonts w:hint="eastAsia" w:ascii="仿宋_GB2312" w:hAnsi="仿宋_GB2312" w:eastAsia="仿宋_GB2312" w:cs="仿宋_GB2312"/>
          <w:b w:val="0"/>
          <w:bCs/>
          <w:color w:val="auto"/>
          <w:sz w:val="32"/>
          <w:szCs w:val="32"/>
          <w:highlight w:val="none"/>
          <w:lang w:val="en-US" w:eastAsia="zh-Hans"/>
        </w:rPr>
        <w:t>（</w:t>
      </w:r>
      <w:r>
        <w:rPr>
          <w:rFonts w:hint="eastAsia" w:ascii="仿宋_GB2312" w:hAnsi="仿宋_GB2312" w:eastAsia="仿宋_GB2312" w:cs="仿宋_GB2312"/>
          <w:b w:val="0"/>
          <w:bCs/>
          <w:color w:val="auto"/>
          <w:sz w:val="32"/>
          <w:szCs w:val="32"/>
          <w:highlight w:val="none"/>
          <w:lang w:val="en-US" w:eastAsia="zh-CN"/>
        </w:rPr>
        <w:t>二</w:t>
      </w:r>
      <w:r>
        <w:rPr>
          <w:rFonts w:hint="eastAsia" w:ascii="仿宋_GB2312" w:hAnsi="仿宋_GB2312" w:eastAsia="仿宋_GB2312" w:cs="仿宋_GB2312"/>
          <w:b w:val="0"/>
          <w:bCs/>
          <w:color w:val="auto"/>
          <w:sz w:val="32"/>
          <w:szCs w:val="32"/>
          <w:highlight w:val="none"/>
          <w:lang w:val="en-US" w:eastAsia="zh-Hans"/>
        </w:rPr>
        <w:t>）委托代理人参与调解；</w:t>
      </w: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Hans"/>
        </w:rPr>
      </w:pPr>
      <w:r>
        <w:rPr>
          <w:rFonts w:hint="eastAsia" w:ascii="仿宋_GB2312" w:hAnsi="仿宋_GB2312" w:eastAsia="仿宋_GB2312" w:cs="仿宋_GB2312"/>
          <w:b w:val="0"/>
          <w:bCs/>
          <w:color w:val="auto"/>
          <w:sz w:val="32"/>
          <w:szCs w:val="32"/>
          <w:highlight w:val="none"/>
          <w:lang w:val="en-US" w:eastAsia="zh-Hans"/>
        </w:rPr>
        <w:t>（</w:t>
      </w:r>
      <w:r>
        <w:rPr>
          <w:rFonts w:hint="eastAsia" w:ascii="仿宋_GB2312" w:hAnsi="仿宋_GB2312" w:eastAsia="仿宋_GB2312" w:cs="仿宋_GB2312"/>
          <w:b w:val="0"/>
          <w:bCs/>
          <w:color w:val="auto"/>
          <w:sz w:val="32"/>
          <w:szCs w:val="32"/>
          <w:highlight w:val="none"/>
          <w:lang w:val="en-US" w:eastAsia="zh-CN"/>
        </w:rPr>
        <w:t>三</w:t>
      </w:r>
      <w:r>
        <w:rPr>
          <w:rFonts w:hint="eastAsia" w:ascii="仿宋_GB2312" w:hAnsi="仿宋_GB2312" w:eastAsia="仿宋_GB2312" w:cs="仿宋_GB2312"/>
          <w:b w:val="0"/>
          <w:bCs/>
          <w:color w:val="auto"/>
          <w:sz w:val="32"/>
          <w:szCs w:val="32"/>
          <w:highlight w:val="none"/>
          <w:lang w:val="en-US" w:eastAsia="zh-Hans"/>
        </w:rPr>
        <w:t>）要求公开或者不公开进行调解；</w:t>
      </w: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Hans"/>
        </w:rPr>
      </w:pPr>
      <w:r>
        <w:rPr>
          <w:rFonts w:hint="eastAsia" w:ascii="仿宋_GB2312" w:hAnsi="仿宋_GB2312" w:eastAsia="仿宋_GB2312" w:cs="仿宋_GB2312"/>
          <w:b w:val="0"/>
          <w:bCs/>
          <w:color w:val="auto"/>
          <w:sz w:val="32"/>
          <w:szCs w:val="32"/>
          <w:highlight w:val="none"/>
          <w:lang w:val="en-US" w:eastAsia="zh-Hans"/>
        </w:rPr>
        <w:t>（</w:t>
      </w:r>
      <w:r>
        <w:rPr>
          <w:rFonts w:hint="eastAsia" w:ascii="仿宋_GB2312" w:hAnsi="仿宋_GB2312" w:eastAsia="仿宋_GB2312" w:cs="仿宋_GB2312"/>
          <w:b w:val="0"/>
          <w:bCs/>
          <w:color w:val="auto"/>
          <w:sz w:val="32"/>
          <w:szCs w:val="32"/>
          <w:highlight w:val="none"/>
          <w:lang w:val="en-US" w:eastAsia="zh-CN"/>
        </w:rPr>
        <w:t>四</w:t>
      </w:r>
      <w:r>
        <w:rPr>
          <w:rFonts w:hint="eastAsia" w:ascii="仿宋_GB2312" w:hAnsi="仿宋_GB2312" w:eastAsia="仿宋_GB2312" w:cs="仿宋_GB2312"/>
          <w:b w:val="0"/>
          <w:bCs/>
          <w:color w:val="auto"/>
          <w:sz w:val="32"/>
          <w:szCs w:val="32"/>
          <w:highlight w:val="none"/>
          <w:lang w:val="en-US" w:eastAsia="zh-Hans"/>
        </w:rPr>
        <w:t>）接受调解、拒绝调解或者要求中止、终止调解；</w:t>
      </w: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Hans"/>
        </w:rPr>
      </w:pPr>
      <w:r>
        <w:rPr>
          <w:rFonts w:hint="eastAsia" w:ascii="仿宋_GB2312" w:hAnsi="仿宋_GB2312" w:eastAsia="仿宋_GB2312" w:cs="仿宋_GB2312"/>
          <w:b w:val="0"/>
          <w:bCs/>
          <w:color w:val="auto"/>
          <w:sz w:val="32"/>
          <w:szCs w:val="32"/>
          <w:highlight w:val="none"/>
          <w:lang w:val="en-US" w:eastAsia="zh-Hans"/>
        </w:rPr>
        <w:t>（五）依法</w:t>
      </w:r>
      <w:r>
        <w:rPr>
          <w:rFonts w:hint="eastAsia" w:ascii="仿宋_GB2312" w:hAnsi="仿宋_GB2312" w:eastAsia="仿宋_GB2312" w:cs="仿宋_GB2312"/>
          <w:b w:val="0"/>
          <w:bCs/>
          <w:color w:val="auto"/>
          <w:sz w:val="32"/>
          <w:szCs w:val="32"/>
          <w:highlight w:val="none"/>
          <w:lang w:val="en-US" w:eastAsia="zh-CN"/>
        </w:rPr>
        <w:t>申请</w:t>
      </w:r>
      <w:r>
        <w:rPr>
          <w:rFonts w:hint="eastAsia" w:ascii="仿宋_GB2312" w:hAnsi="仿宋_GB2312" w:eastAsia="仿宋_GB2312" w:cs="仿宋_GB2312"/>
          <w:b w:val="0"/>
          <w:bCs/>
          <w:color w:val="auto"/>
          <w:sz w:val="32"/>
          <w:szCs w:val="32"/>
          <w:highlight w:val="none"/>
          <w:lang w:val="en-US" w:eastAsia="zh-Hans"/>
        </w:rPr>
        <w:t>有关</w:t>
      </w:r>
      <w:r>
        <w:rPr>
          <w:rFonts w:hint="eastAsia" w:ascii="仿宋_GB2312" w:hAnsi="仿宋_GB2312" w:eastAsia="仿宋_GB2312" w:cs="仿宋_GB2312"/>
          <w:b w:val="0"/>
          <w:bCs/>
          <w:color w:val="auto"/>
          <w:sz w:val="32"/>
          <w:szCs w:val="32"/>
          <w:highlight w:val="none"/>
          <w:lang w:val="en-US" w:eastAsia="zh-CN"/>
        </w:rPr>
        <w:t>行政</w:t>
      </w:r>
      <w:r>
        <w:rPr>
          <w:rFonts w:hint="eastAsia" w:ascii="仿宋_GB2312" w:hAnsi="仿宋_GB2312" w:eastAsia="仿宋_GB2312" w:cs="仿宋_GB2312"/>
          <w:b w:val="0"/>
          <w:bCs/>
          <w:color w:val="auto"/>
          <w:sz w:val="32"/>
          <w:szCs w:val="32"/>
          <w:highlight w:val="none"/>
          <w:lang w:val="en-US" w:eastAsia="zh-Hans"/>
        </w:rPr>
        <w:t>调解人员回避；</w:t>
      </w: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Hans"/>
        </w:rPr>
      </w:pPr>
      <w:r>
        <w:rPr>
          <w:rFonts w:hint="eastAsia" w:ascii="仿宋_GB2312" w:hAnsi="仿宋_GB2312" w:eastAsia="仿宋_GB2312" w:cs="仿宋_GB2312"/>
          <w:b w:val="0"/>
          <w:bCs/>
          <w:color w:val="auto"/>
          <w:sz w:val="32"/>
          <w:szCs w:val="32"/>
          <w:highlight w:val="none"/>
          <w:lang w:val="en-US" w:eastAsia="zh-Hans"/>
        </w:rPr>
        <w:t>（六）法律、法规、规章规定的其他权利。</w:t>
      </w:r>
      <w:bookmarkStart w:id="11" w:name="13"/>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Hans"/>
        </w:rPr>
      </w:pPr>
      <w:r>
        <w:rPr>
          <w:rFonts w:hint="eastAsia" w:ascii="黑体" w:hAnsi="黑体" w:eastAsia="黑体" w:cs="黑体"/>
          <w:b w:val="0"/>
          <w:bCs/>
          <w:color w:val="auto"/>
          <w:kern w:val="2"/>
          <w:sz w:val="32"/>
          <w:szCs w:val="32"/>
          <w:highlight w:val="none"/>
          <w:lang w:eastAsia="zh-CN"/>
        </w:rPr>
        <w:t>第十</w:t>
      </w:r>
      <w:r>
        <w:rPr>
          <w:rFonts w:hint="eastAsia" w:ascii="黑体" w:hAnsi="黑体" w:eastAsia="黑体" w:cs="黑体"/>
          <w:b w:val="0"/>
          <w:bCs/>
          <w:color w:val="auto"/>
          <w:kern w:val="2"/>
          <w:sz w:val="32"/>
          <w:szCs w:val="32"/>
          <w:highlight w:val="none"/>
          <w:lang w:val="en-US" w:eastAsia="zh-CN"/>
        </w:rPr>
        <w:t>七</w:t>
      </w:r>
      <w:r>
        <w:rPr>
          <w:rFonts w:hint="eastAsia" w:ascii="黑体" w:hAnsi="黑体" w:eastAsia="黑体" w:cs="黑体"/>
          <w:b w:val="0"/>
          <w:bCs/>
          <w:color w:val="auto"/>
          <w:kern w:val="2"/>
          <w:sz w:val="32"/>
          <w:szCs w:val="32"/>
          <w:highlight w:val="none"/>
          <w:lang w:eastAsia="zh-CN"/>
        </w:rPr>
        <w:t>条</w:t>
      </w:r>
      <w:bookmarkEnd w:id="11"/>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lang w:val="en-US" w:eastAsia="zh-Hans"/>
        </w:rPr>
        <w:t>当事人在行政调解活动中应当履行下列义务：</w:t>
      </w: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Hans"/>
        </w:rPr>
      </w:pPr>
      <w:r>
        <w:rPr>
          <w:rFonts w:hint="eastAsia" w:ascii="仿宋_GB2312" w:hAnsi="仿宋_GB2312" w:eastAsia="仿宋_GB2312" w:cs="仿宋_GB2312"/>
          <w:b w:val="0"/>
          <w:bCs/>
          <w:color w:val="auto"/>
          <w:sz w:val="32"/>
          <w:szCs w:val="32"/>
          <w:highlight w:val="none"/>
          <w:lang w:val="en-US" w:eastAsia="zh-Hans"/>
        </w:rPr>
        <w:t>（一）如实陈述纠纷或者争议事实</w:t>
      </w:r>
      <w:r>
        <w:rPr>
          <w:rFonts w:hint="eastAsia" w:ascii="仿宋_GB2312" w:hAnsi="仿宋_GB2312" w:eastAsia="仿宋_GB2312" w:cs="仿宋_GB2312"/>
          <w:b w:val="0"/>
          <w:bCs/>
          <w:color w:val="auto"/>
          <w:sz w:val="32"/>
          <w:szCs w:val="32"/>
          <w:highlight w:val="none"/>
          <w:lang w:val="en-US" w:eastAsia="zh-CN"/>
        </w:rPr>
        <w:t>并</w:t>
      </w:r>
      <w:r>
        <w:rPr>
          <w:rFonts w:hint="eastAsia" w:ascii="仿宋_GB2312" w:hAnsi="仿宋_GB2312" w:eastAsia="仿宋_GB2312" w:cs="仿宋_GB2312"/>
          <w:b w:val="0"/>
          <w:bCs/>
          <w:color w:val="auto"/>
          <w:sz w:val="32"/>
          <w:szCs w:val="32"/>
          <w:highlight w:val="none"/>
          <w:lang w:val="en-US" w:eastAsia="zh-Hans"/>
        </w:rPr>
        <w:t>提交有关证据；</w:t>
      </w: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Hans"/>
        </w:rPr>
        <w:t>（二）遵守调解秩序，尊重调解员</w:t>
      </w:r>
      <w:r>
        <w:rPr>
          <w:rFonts w:hint="eastAsia" w:ascii="仿宋_GB2312" w:hAnsi="仿宋_GB2312" w:eastAsia="仿宋_GB2312" w:cs="仿宋_GB2312"/>
          <w:b w:val="0"/>
          <w:bCs/>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Hans"/>
        </w:rPr>
      </w:pPr>
      <w:r>
        <w:rPr>
          <w:rFonts w:hint="eastAsia" w:ascii="仿宋_GB2312" w:hAnsi="仿宋_GB2312" w:eastAsia="仿宋_GB2312" w:cs="仿宋_GB2312"/>
          <w:b w:val="0"/>
          <w:bCs/>
          <w:color w:val="auto"/>
          <w:sz w:val="32"/>
          <w:szCs w:val="32"/>
          <w:highlight w:val="none"/>
          <w:lang w:val="en-US" w:eastAsia="zh-CN"/>
        </w:rPr>
        <w:t>（三）尊重</w:t>
      </w:r>
      <w:r>
        <w:rPr>
          <w:rFonts w:hint="eastAsia" w:ascii="仿宋_GB2312" w:hAnsi="仿宋_GB2312" w:eastAsia="仿宋_GB2312" w:cs="仿宋_GB2312"/>
          <w:b w:val="0"/>
          <w:bCs/>
          <w:color w:val="auto"/>
          <w:sz w:val="32"/>
          <w:szCs w:val="32"/>
          <w:highlight w:val="none"/>
          <w:lang w:val="en-US" w:eastAsia="zh-Hans"/>
        </w:rPr>
        <w:t>对方当事人</w:t>
      </w:r>
      <w:r>
        <w:rPr>
          <w:rFonts w:hint="eastAsia" w:ascii="仿宋_GB2312" w:hAnsi="仿宋_GB2312" w:eastAsia="仿宋_GB2312" w:cs="仿宋_GB2312"/>
          <w:b w:val="0"/>
          <w:bCs/>
          <w:color w:val="auto"/>
          <w:sz w:val="32"/>
          <w:szCs w:val="32"/>
          <w:highlight w:val="none"/>
          <w:lang w:val="en-US" w:eastAsia="zh-CN"/>
        </w:rPr>
        <w:t>行使权利</w:t>
      </w:r>
      <w:r>
        <w:rPr>
          <w:rFonts w:hint="eastAsia" w:ascii="仿宋_GB2312" w:hAnsi="仿宋_GB2312" w:eastAsia="仿宋_GB2312" w:cs="仿宋_GB2312"/>
          <w:b w:val="0"/>
          <w:bCs/>
          <w:color w:val="auto"/>
          <w:sz w:val="32"/>
          <w:szCs w:val="32"/>
          <w:highlight w:val="none"/>
          <w:lang w:val="en-US" w:eastAsia="zh-Hans"/>
        </w:rPr>
        <w:t>；</w:t>
      </w: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Hans"/>
        </w:rPr>
      </w:pPr>
      <w:r>
        <w:rPr>
          <w:rFonts w:hint="eastAsia" w:ascii="仿宋_GB2312" w:hAnsi="仿宋_GB2312" w:eastAsia="仿宋_GB2312" w:cs="仿宋_GB2312"/>
          <w:b w:val="0"/>
          <w:bCs/>
          <w:color w:val="auto"/>
          <w:sz w:val="32"/>
          <w:szCs w:val="32"/>
          <w:highlight w:val="none"/>
          <w:lang w:val="en-US" w:eastAsia="zh-Hans"/>
        </w:rPr>
        <w:t>（</w:t>
      </w:r>
      <w:r>
        <w:rPr>
          <w:rFonts w:hint="eastAsia" w:ascii="仿宋_GB2312" w:hAnsi="仿宋_GB2312" w:eastAsia="仿宋_GB2312" w:cs="仿宋_GB2312"/>
          <w:b w:val="0"/>
          <w:bCs/>
          <w:color w:val="auto"/>
          <w:sz w:val="32"/>
          <w:szCs w:val="32"/>
          <w:highlight w:val="none"/>
          <w:lang w:val="en-US" w:eastAsia="zh-CN"/>
        </w:rPr>
        <w:t>四</w:t>
      </w:r>
      <w:r>
        <w:rPr>
          <w:rFonts w:hint="eastAsia" w:ascii="仿宋_GB2312" w:hAnsi="仿宋_GB2312" w:eastAsia="仿宋_GB2312" w:cs="仿宋_GB2312"/>
          <w:b w:val="0"/>
          <w:bCs/>
          <w:color w:val="auto"/>
          <w:sz w:val="32"/>
          <w:szCs w:val="32"/>
          <w:highlight w:val="none"/>
          <w:lang w:val="en-US" w:eastAsia="zh-Hans"/>
        </w:rPr>
        <w:t>）自觉</w:t>
      </w:r>
      <w:r>
        <w:rPr>
          <w:rFonts w:hint="eastAsia" w:ascii="仿宋_GB2312" w:hAnsi="仿宋_GB2312" w:eastAsia="仿宋_GB2312" w:cs="仿宋_GB2312"/>
          <w:b w:val="0"/>
          <w:bCs/>
          <w:color w:val="auto"/>
          <w:sz w:val="32"/>
          <w:szCs w:val="32"/>
          <w:highlight w:val="none"/>
          <w:lang w:val="en-US" w:eastAsia="zh-CN"/>
        </w:rPr>
        <w:t>全面</w:t>
      </w:r>
      <w:r>
        <w:rPr>
          <w:rFonts w:hint="eastAsia" w:ascii="仿宋_GB2312" w:hAnsi="仿宋_GB2312" w:eastAsia="仿宋_GB2312" w:cs="仿宋_GB2312"/>
          <w:b w:val="0"/>
          <w:bCs/>
          <w:color w:val="auto"/>
          <w:sz w:val="32"/>
          <w:szCs w:val="32"/>
          <w:highlight w:val="none"/>
          <w:lang w:val="en-US" w:eastAsia="zh-Hans"/>
        </w:rPr>
        <w:t>履行</w:t>
      </w:r>
      <w:r>
        <w:rPr>
          <w:rFonts w:hint="eastAsia" w:ascii="仿宋_GB2312" w:hAnsi="仿宋_GB2312" w:eastAsia="仿宋_GB2312" w:cs="仿宋_GB2312"/>
          <w:b w:val="0"/>
          <w:bCs/>
          <w:color w:val="auto"/>
          <w:sz w:val="32"/>
          <w:szCs w:val="32"/>
          <w:highlight w:val="none"/>
          <w:lang w:val="en-US" w:eastAsia="zh-CN"/>
        </w:rPr>
        <w:t>达成的</w:t>
      </w:r>
      <w:r>
        <w:rPr>
          <w:rFonts w:hint="eastAsia" w:ascii="仿宋_GB2312" w:hAnsi="仿宋_GB2312" w:eastAsia="仿宋_GB2312" w:cs="仿宋_GB2312"/>
          <w:b w:val="0"/>
          <w:bCs/>
          <w:color w:val="auto"/>
          <w:sz w:val="32"/>
          <w:szCs w:val="32"/>
          <w:highlight w:val="none"/>
          <w:lang w:val="en-US" w:eastAsia="zh-Hans"/>
        </w:rPr>
        <w:t>调解协议；</w:t>
      </w: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Hans"/>
        </w:rPr>
        <w:t>（</w:t>
      </w:r>
      <w:r>
        <w:rPr>
          <w:rFonts w:hint="eastAsia" w:ascii="仿宋_GB2312" w:hAnsi="仿宋_GB2312" w:eastAsia="仿宋_GB2312" w:cs="仿宋_GB2312"/>
          <w:b w:val="0"/>
          <w:bCs/>
          <w:color w:val="auto"/>
          <w:sz w:val="32"/>
          <w:szCs w:val="32"/>
          <w:highlight w:val="none"/>
          <w:lang w:val="en-US" w:eastAsia="zh-CN"/>
        </w:rPr>
        <w:t>五</w:t>
      </w:r>
      <w:r>
        <w:rPr>
          <w:rFonts w:hint="eastAsia" w:ascii="仿宋_GB2312" w:hAnsi="仿宋_GB2312" w:eastAsia="仿宋_GB2312" w:cs="仿宋_GB2312"/>
          <w:b w:val="0"/>
          <w:bCs/>
          <w:color w:val="auto"/>
          <w:sz w:val="32"/>
          <w:szCs w:val="32"/>
          <w:highlight w:val="none"/>
          <w:lang w:val="en-US" w:eastAsia="zh-Hans"/>
        </w:rPr>
        <w:t>）法律、法规、规章规定的其他义务。</w:t>
      </w:r>
      <w:bookmarkStart w:id="12" w:name="_Toc1504302754_WPSOffice_Level1"/>
    </w:p>
    <w:p>
      <w:pPr>
        <w:pStyle w:val="3"/>
        <w:keepNext w:val="0"/>
        <w:keepLines w:val="0"/>
        <w:pageBreakBefore w:val="0"/>
        <w:kinsoku/>
        <w:wordWrap/>
        <w:overflowPunct/>
        <w:topLinePunct w:val="0"/>
        <w:autoSpaceDE/>
        <w:autoSpaceDN/>
        <w:bidi w:val="0"/>
        <w:adjustRightInd/>
        <w:snapToGrid/>
        <w:spacing w:before="0" w:after="0" w:line="480" w:lineRule="auto"/>
        <w:ind w:firstLine="640" w:firstLineChars="200"/>
        <w:jc w:val="center"/>
        <w:rPr>
          <w:rFonts w:hint="eastAsia" w:ascii="仿宋_GB2312" w:hAnsi="仿宋_GB2312" w:eastAsia="仿宋_GB2312" w:cs="仿宋_GB2312"/>
          <w:b w:val="0"/>
          <w:bCs/>
          <w:color w:val="auto"/>
          <w:kern w:val="2"/>
          <w:sz w:val="32"/>
          <w:szCs w:val="32"/>
          <w:highlight w:val="none"/>
          <w:lang w:val="en-US" w:eastAsia="zh-Hans"/>
        </w:rPr>
      </w:pPr>
      <w:r>
        <w:rPr>
          <w:rFonts w:hint="eastAsia" w:ascii="黑体" w:hAnsi="黑体" w:eastAsia="黑体" w:cs="黑体"/>
          <w:b w:val="0"/>
          <w:bCs/>
          <w:color w:val="auto"/>
          <w:sz w:val="32"/>
          <w:szCs w:val="32"/>
          <w:highlight w:val="none"/>
          <w:lang w:eastAsia="zh-CN"/>
        </w:rPr>
        <w:t>第</w:t>
      </w:r>
      <w:r>
        <w:rPr>
          <w:rFonts w:hint="eastAsia" w:ascii="黑体" w:hAnsi="黑体" w:eastAsia="黑体" w:cs="黑体"/>
          <w:b w:val="0"/>
          <w:bCs/>
          <w:color w:val="auto"/>
          <w:sz w:val="32"/>
          <w:szCs w:val="32"/>
          <w:highlight w:val="none"/>
          <w:lang w:val="en-US" w:eastAsia="zh-CN"/>
        </w:rPr>
        <w:t>四</w:t>
      </w:r>
      <w:r>
        <w:rPr>
          <w:rFonts w:hint="eastAsia" w:ascii="黑体" w:hAnsi="黑体" w:eastAsia="黑体" w:cs="黑体"/>
          <w:b w:val="0"/>
          <w:bCs/>
          <w:color w:val="auto"/>
          <w:sz w:val="32"/>
          <w:szCs w:val="32"/>
          <w:highlight w:val="none"/>
          <w:lang w:eastAsia="zh-CN"/>
        </w:rPr>
        <w:t>章</w:t>
      </w:r>
      <w:r>
        <w:rPr>
          <w:rFonts w:hint="eastAsia" w:ascii="黑体" w:hAnsi="黑体" w:eastAsia="黑体" w:cs="黑体"/>
          <w:b w:val="0"/>
          <w:bCs/>
          <w:color w:val="auto"/>
          <w:sz w:val="32"/>
          <w:szCs w:val="32"/>
          <w:highlight w:val="none"/>
          <w:lang w:val="en-US" w:eastAsia="zh-CN"/>
        </w:rPr>
        <w:t xml:space="preserve">   </w:t>
      </w:r>
      <w:r>
        <w:rPr>
          <w:rFonts w:hint="eastAsia" w:ascii="黑体" w:hAnsi="黑体" w:eastAsia="黑体" w:cs="黑体"/>
          <w:b w:val="0"/>
          <w:bCs/>
          <w:color w:val="auto"/>
          <w:sz w:val="32"/>
          <w:szCs w:val="32"/>
          <w:highlight w:val="none"/>
          <w:lang w:eastAsia="zh-CN"/>
        </w:rPr>
        <w:t>行政调解程序</w:t>
      </w:r>
      <w:bookmarkEnd w:id="12"/>
      <w:bookmarkStart w:id="13" w:name="14"/>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Hans"/>
        </w:rPr>
      </w:pPr>
      <w:r>
        <w:rPr>
          <w:rFonts w:hint="eastAsia" w:ascii="黑体" w:hAnsi="黑体" w:eastAsia="黑体" w:cs="黑体"/>
          <w:b w:val="0"/>
          <w:bCs/>
          <w:color w:val="auto"/>
          <w:kern w:val="2"/>
          <w:sz w:val="32"/>
          <w:szCs w:val="32"/>
          <w:highlight w:val="none"/>
          <w:lang w:val="en-US" w:eastAsia="zh-Hans"/>
        </w:rPr>
        <w:t>第十</w:t>
      </w:r>
      <w:r>
        <w:rPr>
          <w:rFonts w:hint="eastAsia" w:ascii="黑体" w:hAnsi="黑体" w:eastAsia="黑体" w:cs="黑体"/>
          <w:b w:val="0"/>
          <w:bCs/>
          <w:color w:val="auto"/>
          <w:kern w:val="2"/>
          <w:sz w:val="32"/>
          <w:szCs w:val="32"/>
          <w:highlight w:val="none"/>
          <w:lang w:val="en-US" w:eastAsia="zh-CN"/>
        </w:rPr>
        <w:t>八</w:t>
      </w:r>
      <w:r>
        <w:rPr>
          <w:rFonts w:hint="eastAsia" w:ascii="黑体" w:hAnsi="黑体" w:eastAsia="黑体" w:cs="黑体"/>
          <w:b w:val="0"/>
          <w:bCs/>
          <w:color w:val="auto"/>
          <w:kern w:val="2"/>
          <w:sz w:val="32"/>
          <w:szCs w:val="32"/>
          <w:highlight w:val="none"/>
          <w:lang w:val="en-US" w:eastAsia="zh-Hans"/>
        </w:rPr>
        <w:t>条</w:t>
      </w:r>
      <w:bookmarkEnd w:id="13"/>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lang w:val="en-US" w:eastAsia="zh-Hans"/>
        </w:rPr>
        <w:t>申请行政调解应当符合下列条件：</w:t>
      </w: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Hans"/>
        </w:rPr>
      </w:pPr>
      <w:r>
        <w:rPr>
          <w:rFonts w:hint="eastAsia" w:ascii="仿宋_GB2312" w:hAnsi="仿宋_GB2312" w:eastAsia="仿宋_GB2312" w:cs="仿宋_GB2312"/>
          <w:b w:val="0"/>
          <w:bCs/>
          <w:color w:val="auto"/>
          <w:sz w:val="32"/>
          <w:szCs w:val="32"/>
          <w:highlight w:val="none"/>
          <w:lang w:val="en-US" w:eastAsia="zh-Hans"/>
        </w:rPr>
        <w:t>（一）有明确的各方当事人；</w:t>
      </w: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Hans"/>
        </w:rPr>
      </w:pPr>
      <w:r>
        <w:rPr>
          <w:rFonts w:hint="eastAsia" w:ascii="仿宋_GB2312" w:hAnsi="仿宋_GB2312" w:eastAsia="仿宋_GB2312" w:cs="仿宋_GB2312"/>
          <w:b w:val="0"/>
          <w:bCs/>
          <w:color w:val="auto"/>
          <w:sz w:val="32"/>
          <w:szCs w:val="32"/>
          <w:highlight w:val="none"/>
          <w:lang w:val="en-US" w:eastAsia="zh-Hans"/>
        </w:rPr>
        <w:t>（二）与申请调解的</w:t>
      </w:r>
      <w:r>
        <w:rPr>
          <w:rFonts w:hint="eastAsia" w:ascii="仿宋_GB2312" w:hAnsi="仿宋_GB2312" w:eastAsia="仿宋_GB2312" w:cs="仿宋_GB2312"/>
          <w:b w:val="0"/>
          <w:bCs/>
          <w:color w:val="auto"/>
          <w:sz w:val="32"/>
          <w:szCs w:val="32"/>
          <w:highlight w:val="none"/>
          <w:lang w:val="en-US" w:eastAsia="zh-CN"/>
        </w:rPr>
        <w:t>争议</w:t>
      </w:r>
      <w:r>
        <w:rPr>
          <w:rFonts w:hint="eastAsia" w:ascii="仿宋_GB2312" w:hAnsi="仿宋_GB2312" w:eastAsia="仿宋_GB2312" w:cs="仿宋_GB2312"/>
          <w:b w:val="0"/>
          <w:bCs/>
          <w:color w:val="auto"/>
          <w:sz w:val="32"/>
          <w:szCs w:val="32"/>
          <w:highlight w:val="none"/>
          <w:lang w:val="en-US" w:eastAsia="zh-Hans"/>
        </w:rPr>
        <w:t>纠纷有利害关系；</w:t>
      </w: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Hans"/>
        </w:rPr>
      </w:pPr>
      <w:r>
        <w:rPr>
          <w:rFonts w:hint="eastAsia" w:ascii="仿宋_GB2312" w:hAnsi="仿宋_GB2312" w:eastAsia="仿宋_GB2312" w:cs="仿宋_GB2312"/>
          <w:b w:val="0"/>
          <w:bCs/>
          <w:color w:val="auto"/>
          <w:sz w:val="32"/>
          <w:szCs w:val="32"/>
          <w:highlight w:val="none"/>
          <w:lang w:val="en-US" w:eastAsia="zh-Hans"/>
        </w:rPr>
        <w:t>（三）有明确具体的调解请求、事实和理由；</w:t>
      </w: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Hans"/>
        </w:rPr>
      </w:pPr>
      <w:r>
        <w:rPr>
          <w:rFonts w:hint="eastAsia" w:ascii="仿宋_GB2312" w:hAnsi="仿宋_GB2312" w:eastAsia="仿宋_GB2312" w:cs="仿宋_GB2312"/>
          <w:b w:val="0"/>
          <w:bCs/>
          <w:color w:val="auto"/>
          <w:sz w:val="32"/>
          <w:szCs w:val="32"/>
          <w:highlight w:val="none"/>
          <w:lang w:val="en-US" w:eastAsia="zh-Hans"/>
        </w:rPr>
        <w:t>（四）</w:t>
      </w:r>
      <w:r>
        <w:rPr>
          <w:rFonts w:hint="eastAsia" w:ascii="仿宋_GB2312" w:hAnsi="仿宋_GB2312" w:eastAsia="仿宋_GB2312" w:cs="仿宋_GB2312"/>
          <w:b w:val="0"/>
          <w:bCs/>
          <w:color w:val="auto"/>
          <w:sz w:val="32"/>
          <w:szCs w:val="32"/>
          <w:highlight w:val="none"/>
          <w:lang w:val="en-US" w:eastAsia="zh-CN"/>
        </w:rPr>
        <w:t>争议纠纷符合本办法第九条的规定，且属于</w:t>
      </w:r>
      <w:r>
        <w:rPr>
          <w:rFonts w:hint="eastAsia" w:ascii="仿宋_GB2312" w:hAnsi="仿宋_GB2312" w:eastAsia="仿宋_GB2312" w:cs="仿宋_GB2312"/>
          <w:b w:val="0"/>
          <w:bCs/>
          <w:color w:val="auto"/>
          <w:sz w:val="32"/>
          <w:szCs w:val="32"/>
          <w:highlight w:val="none"/>
          <w:lang w:val="en-US" w:eastAsia="zh-Hans"/>
        </w:rPr>
        <w:t>行政调解机关的职责范围。</w:t>
      </w:r>
      <w:bookmarkStart w:id="14" w:name="15"/>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Hans"/>
        </w:rPr>
      </w:pPr>
      <w:r>
        <w:rPr>
          <w:rFonts w:hint="eastAsia" w:ascii="黑体" w:hAnsi="黑体" w:eastAsia="黑体" w:cs="黑体"/>
          <w:b w:val="0"/>
          <w:bCs/>
          <w:color w:val="auto"/>
          <w:kern w:val="2"/>
          <w:sz w:val="32"/>
          <w:szCs w:val="32"/>
          <w:highlight w:val="none"/>
          <w:lang w:val="en-US" w:eastAsia="zh-Hans"/>
        </w:rPr>
        <w:t>第十</w:t>
      </w:r>
      <w:r>
        <w:rPr>
          <w:rFonts w:hint="eastAsia" w:ascii="黑体" w:hAnsi="黑体" w:eastAsia="黑体" w:cs="黑体"/>
          <w:b w:val="0"/>
          <w:bCs/>
          <w:color w:val="auto"/>
          <w:kern w:val="2"/>
          <w:sz w:val="32"/>
          <w:szCs w:val="32"/>
          <w:highlight w:val="none"/>
          <w:lang w:val="en-US" w:eastAsia="zh-CN"/>
        </w:rPr>
        <w:t>九</w:t>
      </w:r>
      <w:r>
        <w:rPr>
          <w:rFonts w:hint="eastAsia" w:ascii="黑体" w:hAnsi="黑体" w:eastAsia="黑体" w:cs="黑体"/>
          <w:b w:val="0"/>
          <w:bCs/>
          <w:color w:val="auto"/>
          <w:kern w:val="2"/>
          <w:sz w:val="32"/>
          <w:szCs w:val="32"/>
          <w:highlight w:val="none"/>
          <w:lang w:val="en-US" w:eastAsia="zh-Hans"/>
        </w:rPr>
        <w:t>条</w:t>
      </w:r>
      <w:bookmarkEnd w:id="14"/>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lang w:val="en-US" w:eastAsia="zh-Hans"/>
        </w:rPr>
        <w:t>申请行政调解以书面申请为主，对书面申请存在困难的，可以口头申请。</w:t>
      </w: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Hans"/>
        </w:rPr>
      </w:pPr>
      <w:r>
        <w:rPr>
          <w:rFonts w:hint="eastAsia" w:ascii="仿宋_GB2312" w:hAnsi="仿宋_GB2312" w:eastAsia="仿宋_GB2312" w:cs="仿宋_GB2312"/>
          <w:b w:val="0"/>
          <w:bCs/>
          <w:color w:val="auto"/>
          <w:sz w:val="32"/>
          <w:szCs w:val="32"/>
          <w:highlight w:val="none"/>
          <w:lang w:val="en-US" w:eastAsia="zh-Hans"/>
        </w:rPr>
        <w:t>口头申请的，行政调解机关应当记录当事人的基本情况和申请调解的请求、事实和理由，并由申请人签名</w:t>
      </w:r>
      <w:r>
        <w:rPr>
          <w:rFonts w:hint="eastAsia" w:ascii="仿宋_GB2312" w:hAnsi="仿宋_GB2312" w:eastAsia="仿宋_GB2312" w:cs="仿宋_GB2312"/>
          <w:b w:val="0"/>
          <w:bCs/>
          <w:color w:val="auto"/>
          <w:sz w:val="32"/>
          <w:szCs w:val="32"/>
          <w:highlight w:val="none"/>
          <w:lang w:val="en-US" w:eastAsia="zh-CN"/>
        </w:rPr>
        <w:t>或者盖章</w:t>
      </w:r>
      <w:r>
        <w:rPr>
          <w:rFonts w:hint="eastAsia" w:ascii="仿宋_GB2312" w:hAnsi="仿宋_GB2312" w:eastAsia="仿宋_GB2312" w:cs="仿宋_GB2312"/>
          <w:b w:val="0"/>
          <w:bCs/>
          <w:color w:val="auto"/>
          <w:sz w:val="32"/>
          <w:szCs w:val="32"/>
          <w:highlight w:val="none"/>
          <w:lang w:val="en-US" w:eastAsia="zh-Hans"/>
        </w:rPr>
        <w:t>确认。</w:t>
      </w: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Hans"/>
        </w:rPr>
      </w:pPr>
      <w:r>
        <w:rPr>
          <w:rFonts w:hint="eastAsia" w:ascii="仿宋_GB2312" w:hAnsi="仿宋_GB2312" w:eastAsia="仿宋_GB2312" w:cs="仿宋_GB2312"/>
          <w:b w:val="0"/>
          <w:bCs/>
          <w:color w:val="auto"/>
          <w:sz w:val="32"/>
          <w:szCs w:val="32"/>
          <w:highlight w:val="none"/>
          <w:lang w:val="en-US" w:eastAsia="zh-Hans"/>
        </w:rPr>
        <w:t>书面申请的，可以采取当面递交、邮寄或者传真等方式提出。</w:t>
      </w:r>
      <w:bookmarkStart w:id="15" w:name="16"/>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Hans"/>
        </w:rPr>
      </w:pPr>
      <w:r>
        <w:rPr>
          <w:rFonts w:hint="eastAsia" w:ascii="黑体" w:hAnsi="黑体" w:eastAsia="黑体" w:cs="黑体"/>
          <w:b w:val="0"/>
          <w:bCs/>
          <w:color w:val="auto"/>
          <w:kern w:val="2"/>
          <w:sz w:val="32"/>
          <w:szCs w:val="32"/>
          <w:highlight w:val="none"/>
          <w:lang w:val="en-US" w:eastAsia="zh-Hans"/>
        </w:rPr>
        <w:t>第</w:t>
      </w:r>
      <w:r>
        <w:rPr>
          <w:rFonts w:hint="eastAsia" w:ascii="黑体" w:hAnsi="黑体" w:eastAsia="黑体" w:cs="黑体"/>
          <w:b w:val="0"/>
          <w:bCs/>
          <w:color w:val="auto"/>
          <w:kern w:val="2"/>
          <w:sz w:val="32"/>
          <w:szCs w:val="32"/>
          <w:highlight w:val="none"/>
          <w:lang w:val="en-US" w:eastAsia="zh-CN"/>
        </w:rPr>
        <w:t>二十</w:t>
      </w:r>
      <w:r>
        <w:rPr>
          <w:rFonts w:hint="eastAsia" w:ascii="黑体" w:hAnsi="黑体" w:eastAsia="黑体" w:cs="黑体"/>
          <w:b w:val="0"/>
          <w:bCs/>
          <w:color w:val="auto"/>
          <w:kern w:val="2"/>
          <w:sz w:val="32"/>
          <w:szCs w:val="32"/>
          <w:highlight w:val="none"/>
          <w:lang w:val="en-US" w:eastAsia="zh-Hans"/>
        </w:rPr>
        <w:t>条</w:t>
      </w:r>
      <w:bookmarkEnd w:id="15"/>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申</w:t>
      </w:r>
      <w:r>
        <w:rPr>
          <w:rFonts w:hint="eastAsia" w:ascii="仿宋_GB2312" w:hAnsi="仿宋_GB2312" w:eastAsia="仿宋_GB2312" w:cs="仿宋_GB2312"/>
          <w:b w:val="0"/>
          <w:bCs/>
          <w:color w:val="auto"/>
          <w:sz w:val="32"/>
          <w:szCs w:val="32"/>
          <w:highlight w:val="none"/>
          <w:lang w:val="en-US" w:eastAsia="zh-Hans"/>
        </w:rPr>
        <w:t>请人书面申请行政调解的</w:t>
      </w:r>
      <w:r>
        <w:rPr>
          <w:rFonts w:hint="eastAsia" w:ascii="仿宋_GB2312" w:hAnsi="仿宋_GB2312" w:eastAsia="仿宋_GB2312" w:cs="仿宋_GB2312"/>
          <w:b w:val="0"/>
          <w:bCs/>
          <w:color w:val="auto"/>
          <w:sz w:val="32"/>
          <w:szCs w:val="32"/>
          <w:highlight w:val="none"/>
          <w:lang w:val="en-US" w:eastAsia="zh-CN"/>
        </w:rPr>
        <w:t>，应当提交申请书、身份证明等材料。</w:t>
      </w:r>
      <w:r>
        <w:rPr>
          <w:rFonts w:hint="eastAsia" w:ascii="仿宋_GB2312" w:hAnsi="仿宋_GB2312" w:eastAsia="仿宋_GB2312" w:cs="仿宋_GB2312"/>
          <w:b w:val="0"/>
          <w:bCs/>
          <w:color w:val="auto"/>
          <w:sz w:val="32"/>
          <w:szCs w:val="32"/>
          <w:highlight w:val="none"/>
          <w:lang w:val="en-US" w:eastAsia="zh-Hans"/>
        </w:rPr>
        <w:t>申请书应当载明下列事项：</w:t>
      </w: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Hans"/>
        </w:rPr>
      </w:pPr>
      <w:r>
        <w:rPr>
          <w:rFonts w:hint="eastAsia" w:ascii="仿宋_GB2312" w:hAnsi="仿宋_GB2312" w:eastAsia="仿宋_GB2312" w:cs="仿宋_GB2312"/>
          <w:b w:val="0"/>
          <w:bCs/>
          <w:color w:val="auto"/>
          <w:sz w:val="32"/>
          <w:szCs w:val="32"/>
          <w:highlight w:val="none"/>
          <w:lang w:val="en-US" w:eastAsia="zh-Hans"/>
        </w:rPr>
        <w:t>（一）当事人</w:t>
      </w:r>
      <w:r>
        <w:rPr>
          <w:rFonts w:hint="eastAsia" w:ascii="仿宋_GB2312" w:hAnsi="仿宋_GB2312" w:eastAsia="仿宋_GB2312" w:cs="仿宋_GB2312"/>
          <w:b w:val="0"/>
          <w:bCs/>
          <w:color w:val="auto"/>
          <w:sz w:val="32"/>
          <w:szCs w:val="32"/>
          <w:highlight w:val="none"/>
          <w:lang w:val="en-US" w:eastAsia="zh-CN"/>
        </w:rPr>
        <w:t>基本情况</w:t>
      </w:r>
      <w:r>
        <w:rPr>
          <w:rFonts w:hint="eastAsia" w:ascii="仿宋_GB2312" w:hAnsi="仿宋_GB2312" w:eastAsia="仿宋_GB2312" w:cs="仿宋_GB2312"/>
          <w:b w:val="0"/>
          <w:bCs/>
          <w:color w:val="auto"/>
          <w:sz w:val="32"/>
          <w:szCs w:val="32"/>
          <w:highlight w:val="none"/>
          <w:lang w:val="en-US" w:eastAsia="zh-Hans"/>
        </w:rPr>
        <w:t>；</w:t>
      </w: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Hans"/>
        </w:rPr>
      </w:pPr>
      <w:r>
        <w:rPr>
          <w:rFonts w:hint="eastAsia" w:ascii="仿宋_GB2312" w:hAnsi="仿宋_GB2312" w:eastAsia="仿宋_GB2312" w:cs="仿宋_GB2312"/>
          <w:b w:val="0"/>
          <w:bCs/>
          <w:color w:val="auto"/>
          <w:sz w:val="32"/>
          <w:szCs w:val="32"/>
          <w:highlight w:val="none"/>
          <w:lang w:val="en-US" w:eastAsia="zh-Hans"/>
        </w:rPr>
        <w:t>（二）调解请求</w:t>
      </w:r>
      <w:r>
        <w:rPr>
          <w:rFonts w:hint="eastAsia" w:ascii="仿宋_GB2312" w:hAnsi="仿宋_GB2312" w:eastAsia="仿宋_GB2312" w:cs="仿宋_GB2312"/>
          <w:b w:val="0"/>
          <w:bCs/>
          <w:color w:val="auto"/>
          <w:sz w:val="32"/>
          <w:szCs w:val="32"/>
          <w:highlight w:val="none"/>
          <w:lang w:val="en-US" w:eastAsia="zh-CN"/>
        </w:rPr>
        <w:t>、</w:t>
      </w:r>
      <w:r>
        <w:rPr>
          <w:rFonts w:hint="eastAsia" w:ascii="仿宋_GB2312" w:hAnsi="仿宋_GB2312" w:eastAsia="仿宋_GB2312" w:cs="仿宋_GB2312"/>
          <w:b w:val="0"/>
          <w:bCs/>
          <w:color w:val="auto"/>
          <w:sz w:val="32"/>
          <w:szCs w:val="32"/>
          <w:highlight w:val="none"/>
          <w:lang w:val="en-US" w:eastAsia="zh-Hans"/>
        </w:rPr>
        <w:t>事实和理由；</w:t>
      </w: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Hans"/>
        </w:rPr>
      </w:pPr>
      <w:r>
        <w:rPr>
          <w:rFonts w:hint="eastAsia" w:ascii="仿宋_GB2312" w:hAnsi="仿宋_GB2312" w:eastAsia="仿宋_GB2312" w:cs="仿宋_GB2312"/>
          <w:b w:val="0"/>
          <w:bCs/>
          <w:color w:val="auto"/>
          <w:sz w:val="32"/>
          <w:szCs w:val="32"/>
          <w:highlight w:val="none"/>
          <w:lang w:val="en-US" w:eastAsia="zh-Hans"/>
        </w:rPr>
        <w:t>（</w:t>
      </w:r>
      <w:r>
        <w:rPr>
          <w:rFonts w:hint="eastAsia" w:ascii="仿宋_GB2312" w:hAnsi="仿宋_GB2312" w:eastAsia="仿宋_GB2312" w:cs="仿宋_GB2312"/>
          <w:b w:val="0"/>
          <w:bCs/>
          <w:color w:val="auto"/>
          <w:sz w:val="32"/>
          <w:szCs w:val="32"/>
          <w:highlight w:val="none"/>
          <w:lang w:val="en-US" w:eastAsia="zh-CN"/>
        </w:rPr>
        <w:t>三</w:t>
      </w:r>
      <w:r>
        <w:rPr>
          <w:rFonts w:hint="eastAsia" w:ascii="仿宋_GB2312" w:hAnsi="仿宋_GB2312" w:eastAsia="仿宋_GB2312" w:cs="仿宋_GB2312"/>
          <w:b w:val="0"/>
          <w:bCs/>
          <w:color w:val="auto"/>
          <w:sz w:val="32"/>
          <w:szCs w:val="32"/>
          <w:highlight w:val="none"/>
          <w:lang w:val="en-US" w:eastAsia="zh-Hans"/>
        </w:rPr>
        <w:t>）申请人签名或者盖章</w:t>
      </w:r>
      <w:r>
        <w:rPr>
          <w:rFonts w:hint="eastAsia" w:ascii="仿宋_GB2312" w:hAnsi="仿宋_GB2312" w:eastAsia="仿宋_GB2312" w:cs="仿宋_GB2312"/>
          <w:b w:val="0"/>
          <w:bCs/>
          <w:color w:val="auto"/>
          <w:sz w:val="32"/>
          <w:szCs w:val="32"/>
          <w:highlight w:val="none"/>
          <w:lang w:val="en-US" w:eastAsia="zh-CN"/>
        </w:rPr>
        <w:t>，</w:t>
      </w:r>
      <w:r>
        <w:rPr>
          <w:rFonts w:hint="eastAsia" w:ascii="仿宋_GB2312" w:hAnsi="仿宋_GB2312" w:eastAsia="仿宋_GB2312" w:cs="仿宋_GB2312"/>
          <w:b w:val="0"/>
          <w:bCs/>
          <w:color w:val="auto"/>
          <w:sz w:val="32"/>
          <w:szCs w:val="32"/>
          <w:highlight w:val="none"/>
          <w:lang w:val="en-US" w:eastAsia="zh-Hans"/>
        </w:rPr>
        <w:t>申请日期；</w:t>
      </w: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Hans"/>
        </w:rPr>
        <w:t>（</w:t>
      </w:r>
      <w:r>
        <w:rPr>
          <w:rFonts w:hint="eastAsia" w:ascii="仿宋_GB2312" w:hAnsi="仿宋_GB2312" w:eastAsia="仿宋_GB2312" w:cs="仿宋_GB2312"/>
          <w:b w:val="0"/>
          <w:bCs/>
          <w:color w:val="auto"/>
          <w:sz w:val="32"/>
          <w:szCs w:val="32"/>
          <w:highlight w:val="none"/>
          <w:lang w:val="en-US" w:eastAsia="zh-CN"/>
        </w:rPr>
        <w:t>四</w:t>
      </w:r>
      <w:r>
        <w:rPr>
          <w:rFonts w:hint="eastAsia" w:ascii="仿宋_GB2312" w:hAnsi="仿宋_GB2312" w:eastAsia="仿宋_GB2312" w:cs="仿宋_GB2312"/>
          <w:b w:val="0"/>
          <w:bCs/>
          <w:color w:val="auto"/>
          <w:sz w:val="32"/>
          <w:szCs w:val="32"/>
          <w:highlight w:val="none"/>
          <w:lang w:val="en-US" w:eastAsia="zh-Hans"/>
        </w:rPr>
        <w:t>）</w:t>
      </w:r>
      <w:r>
        <w:rPr>
          <w:rFonts w:hint="eastAsia" w:ascii="仿宋_GB2312" w:hAnsi="仿宋_GB2312" w:eastAsia="仿宋_GB2312" w:cs="仿宋_GB2312"/>
          <w:b w:val="0"/>
          <w:bCs/>
          <w:color w:val="auto"/>
          <w:sz w:val="32"/>
          <w:szCs w:val="32"/>
          <w:highlight w:val="none"/>
          <w:lang w:val="en-US" w:eastAsia="zh-CN"/>
        </w:rPr>
        <w:t>其他应当载明的事项。</w:t>
      </w: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Hans"/>
        </w:rPr>
      </w:pPr>
      <w:r>
        <w:rPr>
          <w:rFonts w:hint="eastAsia" w:ascii="仿宋_GB2312" w:hAnsi="仿宋_GB2312" w:eastAsia="仿宋_GB2312" w:cs="仿宋_GB2312"/>
          <w:b w:val="0"/>
          <w:bCs/>
          <w:color w:val="auto"/>
          <w:sz w:val="32"/>
          <w:szCs w:val="32"/>
          <w:highlight w:val="none"/>
        </w:rPr>
        <w:t>行政机关</w:t>
      </w:r>
      <w:r>
        <w:rPr>
          <w:rFonts w:hint="eastAsia" w:ascii="仿宋_GB2312" w:hAnsi="仿宋_GB2312" w:eastAsia="仿宋_GB2312" w:cs="仿宋_GB2312"/>
          <w:b w:val="0"/>
          <w:bCs/>
          <w:color w:val="auto"/>
          <w:sz w:val="32"/>
          <w:szCs w:val="32"/>
          <w:highlight w:val="none"/>
          <w:lang w:eastAsia="zh-CN"/>
        </w:rPr>
        <w:t>及相关组织</w:t>
      </w:r>
      <w:r>
        <w:rPr>
          <w:rFonts w:hint="eastAsia" w:ascii="仿宋_GB2312" w:hAnsi="仿宋_GB2312" w:eastAsia="仿宋_GB2312" w:cs="仿宋_GB2312"/>
          <w:b w:val="0"/>
          <w:bCs/>
          <w:color w:val="auto"/>
          <w:sz w:val="32"/>
          <w:szCs w:val="32"/>
          <w:highlight w:val="none"/>
          <w:lang w:val="en-US" w:eastAsia="zh-Hans"/>
        </w:rPr>
        <w:t>可以制作标准格式的行政调解申请书，供当事人选择使用。</w:t>
      </w:r>
      <w:bookmarkStart w:id="16" w:name="17"/>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黑体" w:hAnsi="黑体" w:eastAsia="黑体" w:cs="黑体"/>
          <w:b w:val="0"/>
          <w:bCs/>
          <w:color w:val="auto"/>
          <w:kern w:val="2"/>
          <w:sz w:val="32"/>
          <w:szCs w:val="32"/>
          <w:highlight w:val="none"/>
          <w:lang w:val="en-US" w:eastAsia="zh-Hans"/>
        </w:rPr>
        <w:t>第</w:t>
      </w:r>
      <w:r>
        <w:rPr>
          <w:rFonts w:hint="eastAsia" w:ascii="黑体" w:hAnsi="黑体" w:eastAsia="黑体" w:cs="黑体"/>
          <w:b w:val="0"/>
          <w:bCs/>
          <w:color w:val="auto"/>
          <w:kern w:val="2"/>
          <w:sz w:val="32"/>
          <w:szCs w:val="32"/>
          <w:highlight w:val="none"/>
          <w:lang w:val="en-US" w:eastAsia="zh-CN"/>
        </w:rPr>
        <w:t>二十一</w:t>
      </w:r>
      <w:r>
        <w:rPr>
          <w:rFonts w:hint="eastAsia" w:ascii="黑体" w:hAnsi="黑体" w:eastAsia="黑体" w:cs="黑体"/>
          <w:b w:val="0"/>
          <w:bCs/>
          <w:color w:val="auto"/>
          <w:kern w:val="2"/>
          <w:sz w:val="32"/>
          <w:szCs w:val="32"/>
          <w:highlight w:val="none"/>
          <w:lang w:val="en-US" w:eastAsia="zh-Hans"/>
        </w:rPr>
        <w:t>条</w:t>
      </w:r>
      <w:bookmarkEnd w:id="16"/>
      <w:r>
        <w:rPr>
          <w:rFonts w:hint="eastAsia" w:ascii="仿宋_GB2312" w:hAnsi="仿宋_GB2312" w:eastAsia="仿宋_GB2312" w:cs="仿宋_GB2312"/>
          <w:b w:val="0"/>
          <w:bCs/>
          <w:color w:val="auto"/>
          <w:sz w:val="32"/>
          <w:szCs w:val="32"/>
          <w:highlight w:val="none"/>
          <w:lang w:val="en-US" w:eastAsia="zh-CN"/>
        </w:rPr>
        <w:t xml:space="preserve">  行政调解机关收到民事纠纷调解申请后，应当自收到申请之日起5个工作日内进行审查并征求其他当事人的意见，符合本办法第十八条规定且其他当事人同意行政调解的，应当受理并向各方当事人送达行政调解受理通知书；不符合本办法第十八条规定或者其他当事人不同意调解的，书面告知申请人，并说明理由。</w:t>
      </w: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行政调解申请材料不齐全或者表述不清楚的，行政调解机关可以当场或者自收到申请之日起5个工作日内一次性通知申请人补正，补正时间不计入调解期限。申请人应当在收到通知后5个工作日内予以补正，无正当理由逾期不补正的，视为申请人放弃行政调解申请。</w:t>
      </w: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法律、法规和规章对行政调解受理期限另有规定的，从其规定。</w:t>
      </w:r>
      <w:bookmarkStart w:id="17" w:name="18"/>
    </w:p>
    <w:p>
      <w:pPr>
        <w:keepNext w:val="0"/>
        <w:keepLines w:val="0"/>
        <w:pageBreakBefore w:val="0"/>
        <w:widowControl/>
        <w:kinsoku/>
        <w:wordWrap/>
        <w:overflowPunct/>
        <w:topLinePunct w:val="0"/>
        <w:autoSpaceDE/>
        <w:autoSpaceDN/>
        <w:bidi w:val="0"/>
        <w:adjustRightInd/>
        <w:snapToGrid/>
        <w:spacing w:afterAutospacing="0" w:line="48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黑体" w:hAnsi="黑体" w:eastAsia="黑体" w:cs="黑体"/>
          <w:b w:val="0"/>
          <w:bCs/>
          <w:color w:val="auto"/>
          <w:kern w:val="2"/>
          <w:sz w:val="32"/>
          <w:szCs w:val="32"/>
          <w:highlight w:val="none"/>
          <w:lang w:val="en-US" w:eastAsia="zh-Hans"/>
        </w:rPr>
        <w:t>第</w:t>
      </w:r>
      <w:r>
        <w:rPr>
          <w:rFonts w:hint="eastAsia" w:ascii="黑体" w:hAnsi="黑体" w:eastAsia="黑体" w:cs="黑体"/>
          <w:b w:val="0"/>
          <w:bCs/>
          <w:color w:val="auto"/>
          <w:kern w:val="2"/>
          <w:sz w:val="32"/>
          <w:szCs w:val="32"/>
          <w:highlight w:val="none"/>
          <w:lang w:val="en-US" w:eastAsia="zh-CN"/>
        </w:rPr>
        <w:t>二十二</w:t>
      </w:r>
      <w:r>
        <w:rPr>
          <w:rFonts w:hint="eastAsia" w:ascii="黑体" w:hAnsi="黑体" w:eastAsia="黑体" w:cs="黑体"/>
          <w:b w:val="0"/>
          <w:bCs/>
          <w:color w:val="auto"/>
          <w:kern w:val="2"/>
          <w:sz w:val="32"/>
          <w:szCs w:val="32"/>
          <w:highlight w:val="none"/>
          <w:lang w:val="en-US" w:eastAsia="zh-Hans"/>
        </w:rPr>
        <w:t>条</w:t>
      </w:r>
      <w:bookmarkEnd w:id="17"/>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行政机关</w:t>
      </w:r>
      <w:r>
        <w:rPr>
          <w:rFonts w:hint="eastAsia" w:ascii="仿宋_GB2312" w:hAnsi="仿宋_GB2312" w:eastAsia="仿宋_GB2312" w:cs="仿宋_GB2312"/>
          <w:b w:val="0"/>
          <w:bCs/>
          <w:color w:val="auto"/>
          <w:sz w:val="32"/>
          <w:szCs w:val="32"/>
          <w:highlight w:val="none"/>
          <w:lang w:eastAsia="zh-CN"/>
        </w:rPr>
        <w:t>及相关组织</w:t>
      </w:r>
      <w:r>
        <w:rPr>
          <w:rFonts w:hint="eastAsia" w:ascii="仿宋_GB2312" w:hAnsi="仿宋_GB2312" w:eastAsia="仿宋_GB2312" w:cs="仿宋_GB2312"/>
          <w:b w:val="0"/>
          <w:bCs/>
          <w:color w:val="auto"/>
          <w:sz w:val="32"/>
          <w:szCs w:val="32"/>
          <w:highlight w:val="none"/>
          <w:lang w:val="en-US" w:eastAsia="zh-CN"/>
        </w:rPr>
        <w:t>对下列民事纠纷，经征得当事人同意，可以主动组织调解：</w:t>
      </w:r>
    </w:p>
    <w:p>
      <w:pPr>
        <w:keepNext w:val="0"/>
        <w:keepLines w:val="0"/>
        <w:pageBreakBefore w:val="0"/>
        <w:widowControl/>
        <w:kinsoku/>
        <w:wordWrap/>
        <w:overflowPunct/>
        <w:topLinePunct w:val="0"/>
        <w:autoSpaceDE/>
        <w:autoSpaceDN/>
        <w:bidi w:val="0"/>
        <w:adjustRightInd/>
        <w:snapToGrid/>
        <w:spacing w:afterAutospacing="0" w:line="48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（一）自然资源、生态环境、公共安全、食品药品安全等领域的纠纷；</w:t>
      </w:r>
    </w:p>
    <w:p>
      <w:pPr>
        <w:keepNext w:val="0"/>
        <w:keepLines w:val="0"/>
        <w:pageBreakBefore w:val="0"/>
        <w:widowControl/>
        <w:kinsoku/>
        <w:wordWrap/>
        <w:overflowPunct/>
        <w:topLinePunct w:val="0"/>
        <w:autoSpaceDE/>
        <w:autoSpaceDN/>
        <w:bidi w:val="0"/>
        <w:adjustRightInd/>
        <w:snapToGrid/>
        <w:spacing w:afterAutospacing="0" w:line="48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（二）涉及人数较多、可能影响社会稳定的纠纷；</w:t>
      </w:r>
    </w:p>
    <w:p>
      <w:pPr>
        <w:keepNext w:val="0"/>
        <w:keepLines w:val="0"/>
        <w:pageBreakBefore w:val="0"/>
        <w:widowControl/>
        <w:kinsoku/>
        <w:wordWrap/>
        <w:overflowPunct/>
        <w:topLinePunct w:val="0"/>
        <w:autoSpaceDE/>
        <w:autoSpaceDN/>
        <w:bidi w:val="0"/>
        <w:adjustRightInd/>
        <w:snapToGrid/>
        <w:spacing w:afterAutospacing="0" w:line="48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（三）</w:t>
      </w:r>
      <w:r>
        <w:rPr>
          <w:rFonts w:hint="eastAsia" w:ascii="仿宋_GB2312" w:hAnsi="仿宋_GB2312" w:eastAsia="仿宋_GB2312" w:cs="仿宋_GB2312"/>
          <w:b w:val="0"/>
          <w:bCs/>
          <w:color w:val="auto"/>
          <w:sz w:val="32"/>
          <w:szCs w:val="32"/>
          <w:highlight w:val="none"/>
        </w:rPr>
        <w:t>行政机关</w:t>
      </w:r>
      <w:r>
        <w:rPr>
          <w:rFonts w:hint="eastAsia" w:ascii="仿宋_GB2312" w:hAnsi="仿宋_GB2312" w:eastAsia="仿宋_GB2312" w:cs="仿宋_GB2312"/>
          <w:b w:val="0"/>
          <w:bCs/>
          <w:color w:val="auto"/>
          <w:sz w:val="32"/>
          <w:szCs w:val="32"/>
          <w:highlight w:val="none"/>
          <w:lang w:eastAsia="zh-CN"/>
        </w:rPr>
        <w:t>及相关组织</w:t>
      </w:r>
      <w:r>
        <w:rPr>
          <w:rFonts w:hint="eastAsia" w:ascii="仿宋_GB2312" w:hAnsi="仿宋_GB2312" w:eastAsia="仿宋_GB2312" w:cs="仿宋_GB2312"/>
          <w:b w:val="0"/>
          <w:bCs/>
          <w:color w:val="auto"/>
          <w:sz w:val="32"/>
          <w:szCs w:val="32"/>
          <w:highlight w:val="none"/>
          <w:lang w:val="en-US" w:eastAsia="zh-CN"/>
        </w:rPr>
        <w:t>在日常管理和行政执法过程中认为需要主动组织调解的其他民事纠纷。</w:t>
      </w:r>
    </w:p>
    <w:p>
      <w:pPr>
        <w:keepNext w:val="0"/>
        <w:keepLines w:val="0"/>
        <w:pageBreakBefore w:val="0"/>
        <w:widowControl/>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CN"/>
        </w:rPr>
      </w:pPr>
      <w:bookmarkStart w:id="18" w:name="23"/>
      <w:r>
        <w:rPr>
          <w:rFonts w:hint="eastAsia" w:ascii="黑体" w:hAnsi="黑体" w:eastAsia="黑体" w:cs="黑体"/>
          <w:b w:val="0"/>
          <w:bCs/>
          <w:color w:val="auto"/>
          <w:sz w:val="32"/>
          <w:szCs w:val="32"/>
          <w:highlight w:val="none"/>
          <w:lang w:val="en-US" w:eastAsia="zh-CN"/>
        </w:rPr>
        <w:t>第二十三条</w:t>
      </w:r>
      <w:r>
        <w:rPr>
          <w:rFonts w:hint="eastAsia" w:ascii="仿宋_GB2312" w:hAnsi="仿宋_GB2312" w:eastAsia="仿宋_GB2312" w:cs="仿宋_GB2312"/>
          <w:b w:val="0"/>
          <w:bCs/>
          <w:color w:val="auto"/>
          <w:sz w:val="32"/>
          <w:szCs w:val="32"/>
          <w:highlight w:val="none"/>
          <w:lang w:val="en-US" w:eastAsia="zh-CN"/>
        </w:rPr>
        <w:t xml:space="preserve">  行政调解机关受理申请或者经当事人同意主动组织调解的，应当提前将调解的时间、地点、调解员等事项告知当事人。</w:t>
      </w:r>
    </w:p>
    <w:p>
      <w:pPr>
        <w:keepNext w:val="0"/>
        <w:keepLines w:val="0"/>
        <w:pageBreakBefore w:val="0"/>
        <w:widowControl/>
        <w:kinsoku/>
        <w:wordWrap/>
        <w:overflowPunct/>
        <w:topLinePunct w:val="0"/>
        <w:autoSpaceDE/>
        <w:autoSpaceDN/>
        <w:bidi w:val="0"/>
        <w:adjustRightInd/>
        <w:snapToGrid/>
        <w:spacing w:afterAutospacing="0" w:line="48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lang w:val="en-US" w:eastAsia="zh-Hans"/>
        </w:rPr>
      </w:pPr>
      <w:r>
        <w:rPr>
          <w:rFonts w:hint="eastAsia" w:ascii="黑体" w:hAnsi="黑体" w:eastAsia="黑体" w:cs="黑体"/>
          <w:b w:val="0"/>
          <w:bCs/>
          <w:color w:val="auto"/>
          <w:kern w:val="2"/>
          <w:sz w:val="32"/>
          <w:szCs w:val="32"/>
          <w:highlight w:val="none"/>
          <w:lang w:val="en-US" w:eastAsia="zh-CN"/>
        </w:rPr>
        <w:t>第二十四条</w:t>
      </w:r>
      <w:r>
        <w:rPr>
          <w:rFonts w:hint="eastAsia" w:ascii="仿宋_GB2312" w:hAnsi="仿宋_GB2312" w:eastAsia="仿宋_GB2312" w:cs="仿宋_GB2312"/>
          <w:b w:val="0"/>
          <w:bCs/>
          <w:color w:val="auto"/>
          <w:sz w:val="32"/>
          <w:szCs w:val="32"/>
          <w:highlight w:val="none"/>
          <w:lang w:val="en-US" w:eastAsia="zh-CN"/>
        </w:rPr>
        <w:t xml:space="preserve">  行政调解机关在受理行政调解申请或者经当事人同意主动组织调解时，应当告知当事人可以通过诉讼等其他法律途径解决争议纠纷。</w:t>
      </w:r>
    </w:p>
    <w:p>
      <w:pPr>
        <w:keepNext w:val="0"/>
        <w:keepLines w:val="0"/>
        <w:pageBreakBefore w:val="0"/>
        <w:widowControl/>
        <w:kinsoku/>
        <w:wordWrap/>
        <w:overflowPunct/>
        <w:topLinePunct w:val="0"/>
        <w:autoSpaceDE/>
        <w:autoSpaceDN/>
        <w:bidi w:val="0"/>
        <w:adjustRightInd/>
        <w:snapToGrid/>
        <w:spacing w:afterAutospacing="0" w:line="48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黑体" w:hAnsi="黑体" w:eastAsia="黑体" w:cs="黑体"/>
          <w:b w:val="0"/>
          <w:bCs/>
          <w:color w:val="auto"/>
          <w:kern w:val="2"/>
          <w:sz w:val="32"/>
          <w:szCs w:val="32"/>
          <w:highlight w:val="none"/>
          <w:lang w:val="en-US" w:eastAsia="zh-Hans"/>
        </w:rPr>
        <w:t>第</w:t>
      </w:r>
      <w:r>
        <w:rPr>
          <w:rFonts w:hint="eastAsia" w:ascii="黑体" w:hAnsi="黑体" w:eastAsia="黑体" w:cs="黑体"/>
          <w:b w:val="0"/>
          <w:bCs/>
          <w:color w:val="auto"/>
          <w:kern w:val="2"/>
          <w:sz w:val="32"/>
          <w:szCs w:val="32"/>
          <w:highlight w:val="none"/>
          <w:lang w:val="en-US" w:eastAsia="zh-CN"/>
        </w:rPr>
        <w:t>二十五</w:t>
      </w:r>
      <w:r>
        <w:rPr>
          <w:rFonts w:hint="eastAsia" w:ascii="黑体" w:hAnsi="黑体" w:eastAsia="黑体" w:cs="黑体"/>
          <w:b w:val="0"/>
          <w:bCs/>
          <w:color w:val="auto"/>
          <w:kern w:val="2"/>
          <w:sz w:val="32"/>
          <w:szCs w:val="32"/>
          <w:highlight w:val="none"/>
          <w:lang w:val="en-US" w:eastAsia="zh-Hans"/>
        </w:rPr>
        <w:t>条</w:t>
      </w:r>
      <w:bookmarkEnd w:id="18"/>
      <w:r>
        <w:rPr>
          <w:rFonts w:hint="eastAsia" w:ascii="仿宋_GB2312" w:hAnsi="仿宋_GB2312" w:eastAsia="仿宋_GB2312" w:cs="仿宋_GB2312"/>
          <w:b w:val="0"/>
          <w:bCs/>
          <w:color w:val="auto"/>
          <w:sz w:val="32"/>
          <w:szCs w:val="32"/>
          <w:highlight w:val="none"/>
          <w:lang w:val="en-US" w:eastAsia="zh-CN"/>
        </w:rPr>
        <w:t xml:space="preserve">  行政调解开始时，行政调解员应当核对当事人身份，宣布行政调解纪律，告知当事人的权利和义务。</w:t>
      </w:r>
      <w:bookmarkStart w:id="19" w:name="24"/>
    </w:p>
    <w:p>
      <w:pPr>
        <w:keepNext w:val="0"/>
        <w:keepLines w:val="0"/>
        <w:pageBreakBefore w:val="0"/>
        <w:widowControl/>
        <w:kinsoku/>
        <w:wordWrap/>
        <w:overflowPunct/>
        <w:topLinePunct w:val="0"/>
        <w:autoSpaceDE/>
        <w:autoSpaceDN/>
        <w:bidi w:val="0"/>
        <w:adjustRightInd/>
        <w:snapToGrid/>
        <w:spacing w:afterAutospacing="0" w:line="48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黑体" w:hAnsi="黑体" w:eastAsia="黑体" w:cs="黑体"/>
          <w:b w:val="0"/>
          <w:bCs/>
          <w:color w:val="auto"/>
          <w:kern w:val="2"/>
          <w:sz w:val="32"/>
          <w:szCs w:val="32"/>
          <w:highlight w:val="none"/>
          <w:lang w:val="en-US" w:eastAsia="zh-Hans"/>
        </w:rPr>
        <w:t>第</w:t>
      </w:r>
      <w:r>
        <w:rPr>
          <w:rFonts w:hint="eastAsia" w:ascii="黑体" w:hAnsi="黑体" w:eastAsia="黑体" w:cs="黑体"/>
          <w:b w:val="0"/>
          <w:bCs/>
          <w:color w:val="auto"/>
          <w:kern w:val="2"/>
          <w:sz w:val="32"/>
          <w:szCs w:val="32"/>
          <w:highlight w:val="none"/>
          <w:lang w:val="en-US" w:eastAsia="zh-CN"/>
        </w:rPr>
        <w:t>二十六</w:t>
      </w:r>
      <w:r>
        <w:rPr>
          <w:rFonts w:hint="eastAsia" w:ascii="黑体" w:hAnsi="黑体" w:eastAsia="黑体" w:cs="黑体"/>
          <w:b w:val="0"/>
          <w:bCs/>
          <w:color w:val="auto"/>
          <w:kern w:val="2"/>
          <w:sz w:val="32"/>
          <w:szCs w:val="32"/>
          <w:highlight w:val="none"/>
          <w:lang w:val="en-US" w:eastAsia="zh-Hans"/>
        </w:rPr>
        <w:t>条</w:t>
      </w:r>
      <w:bookmarkEnd w:id="19"/>
      <w:r>
        <w:rPr>
          <w:rFonts w:hint="eastAsia" w:ascii="仿宋_GB2312" w:hAnsi="仿宋_GB2312" w:eastAsia="仿宋_GB2312" w:cs="仿宋_GB2312"/>
          <w:b w:val="0"/>
          <w:bCs/>
          <w:color w:val="auto"/>
          <w:sz w:val="32"/>
          <w:szCs w:val="32"/>
          <w:highlight w:val="none"/>
          <w:lang w:val="en-US" w:eastAsia="zh-CN"/>
        </w:rPr>
        <w:t xml:space="preserve">  行政调解机关调解民事纠纷，应当听取当事人的陈述、申辩，组织当事人举证、质证，向当事人释明有关法律、法规、规章和政策，在查清基本事实、分清责任的基础上，使当事人自愿达成调解协议。经当事人同意，行政调解可以采取网络、电话、</w:t>
      </w:r>
      <w:r>
        <w:rPr>
          <w:rFonts w:hint="eastAsia" w:ascii="仿宋_GB2312" w:hAnsi="仿宋_GB2312" w:eastAsia="仿宋_GB2312" w:cs="仿宋_GB2312"/>
          <w:b w:val="0"/>
          <w:bCs/>
          <w:color w:val="auto"/>
          <w:sz w:val="32"/>
          <w:szCs w:val="32"/>
          <w:highlight w:val="none"/>
          <w:lang w:val="en-US" w:eastAsia="zh-Hans"/>
        </w:rPr>
        <w:t>视频</w:t>
      </w:r>
      <w:r>
        <w:rPr>
          <w:rFonts w:hint="eastAsia" w:ascii="仿宋_GB2312" w:hAnsi="仿宋_GB2312" w:eastAsia="仿宋_GB2312" w:cs="仿宋_GB2312"/>
          <w:b w:val="0"/>
          <w:bCs/>
          <w:color w:val="auto"/>
          <w:sz w:val="32"/>
          <w:szCs w:val="32"/>
          <w:highlight w:val="none"/>
          <w:lang w:val="en-US" w:eastAsia="zh-CN"/>
        </w:rPr>
        <w:t>等方式进行，并对调解过程予以记录。</w:t>
      </w:r>
    </w:p>
    <w:p>
      <w:pPr>
        <w:keepNext w:val="0"/>
        <w:keepLines w:val="0"/>
        <w:pageBreakBefore w:val="0"/>
        <w:widowControl/>
        <w:kinsoku/>
        <w:wordWrap/>
        <w:overflowPunct/>
        <w:topLinePunct w:val="0"/>
        <w:autoSpaceDE/>
        <w:autoSpaceDN/>
        <w:bidi w:val="0"/>
        <w:adjustRightInd/>
        <w:snapToGrid/>
        <w:spacing w:afterAutospacing="0" w:line="48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lang w:val="en-US" w:eastAsia="zh-Hans"/>
        </w:rPr>
      </w:pPr>
      <w:r>
        <w:rPr>
          <w:rFonts w:hint="eastAsia" w:ascii="仿宋_GB2312" w:hAnsi="仿宋_GB2312" w:eastAsia="仿宋_GB2312" w:cs="仿宋_GB2312"/>
          <w:b w:val="0"/>
          <w:bCs/>
          <w:color w:val="auto"/>
          <w:sz w:val="32"/>
          <w:szCs w:val="32"/>
          <w:highlight w:val="none"/>
          <w:lang w:val="en-US" w:eastAsia="zh-CN"/>
        </w:rPr>
        <w:t>对重大复杂的民事纠纷，经当事人同意，行政调解机关可以采取现场调查、召开协调会等方式进行调解，并同步录音录像。</w:t>
      </w:r>
    </w:p>
    <w:p>
      <w:pPr>
        <w:keepNext w:val="0"/>
        <w:keepLines w:val="0"/>
        <w:pageBreakBefore w:val="0"/>
        <w:widowControl/>
        <w:kinsoku/>
        <w:wordWrap/>
        <w:overflowPunct/>
        <w:topLinePunct w:val="0"/>
        <w:autoSpaceDE/>
        <w:autoSpaceDN/>
        <w:bidi w:val="0"/>
        <w:adjustRightInd/>
        <w:snapToGrid/>
        <w:spacing w:afterAutospacing="0" w:line="48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黑体" w:hAnsi="黑体" w:eastAsia="黑体" w:cs="黑体"/>
          <w:b w:val="0"/>
          <w:bCs/>
          <w:color w:val="auto"/>
          <w:kern w:val="2"/>
          <w:sz w:val="32"/>
          <w:szCs w:val="32"/>
          <w:highlight w:val="none"/>
          <w:lang w:val="en-US" w:eastAsia="zh-Hans"/>
        </w:rPr>
        <w:t>第</w:t>
      </w:r>
      <w:r>
        <w:rPr>
          <w:rFonts w:hint="eastAsia" w:ascii="黑体" w:hAnsi="黑体" w:eastAsia="黑体" w:cs="黑体"/>
          <w:b w:val="0"/>
          <w:bCs/>
          <w:color w:val="auto"/>
          <w:kern w:val="2"/>
          <w:sz w:val="32"/>
          <w:szCs w:val="32"/>
          <w:highlight w:val="none"/>
          <w:lang w:val="en-US" w:eastAsia="zh-CN"/>
        </w:rPr>
        <w:t>二十七</w:t>
      </w:r>
      <w:r>
        <w:rPr>
          <w:rFonts w:hint="eastAsia" w:ascii="黑体" w:hAnsi="黑体" w:eastAsia="黑体" w:cs="黑体"/>
          <w:b w:val="0"/>
          <w:bCs/>
          <w:color w:val="auto"/>
          <w:kern w:val="2"/>
          <w:sz w:val="32"/>
          <w:szCs w:val="32"/>
          <w:highlight w:val="none"/>
          <w:lang w:val="en-US" w:eastAsia="zh-Hans"/>
        </w:rPr>
        <w:t>条</w:t>
      </w:r>
      <w:r>
        <w:rPr>
          <w:rFonts w:hint="eastAsia" w:ascii="仿宋_GB2312" w:hAnsi="仿宋_GB2312" w:eastAsia="仿宋_GB2312" w:cs="仿宋_GB2312"/>
          <w:b w:val="0"/>
          <w:bCs/>
          <w:color w:val="auto"/>
          <w:sz w:val="32"/>
          <w:szCs w:val="32"/>
          <w:highlight w:val="none"/>
          <w:lang w:val="en-US" w:eastAsia="zh-CN"/>
        </w:rPr>
        <w:t xml:space="preserve">  当事人应当向行政调解机关如实提供证据，并对所提供证据的真实性负责。</w:t>
      </w:r>
    </w:p>
    <w:p>
      <w:pPr>
        <w:keepNext w:val="0"/>
        <w:keepLines w:val="0"/>
        <w:pageBreakBefore w:val="0"/>
        <w:widowControl/>
        <w:kinsoku/>
        <w:wordWrap/>
        <w:overflowPunct/>
        <w:topLinePunct w:val="0"/>
        <w:autoSpaceDE/>
        <w:autoSpaceDN/>
        <w:bidi w:val="0"/>
        <w:adjustRightInd/>
        <w:snapToGrid/>
        <w:spacing w:afterAutospacing="0" w:line="48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行政调解机关可以依申请在其职权范围内进行调查取证或者依职权主动进行调查、核实证据</w:t>
      </w:r>
      <w:bookmarkStart w:id="20" w:name="21"/>
      <w:r>
        <w:rPr>
          <w:rFonts w:hint="eastAsia" w:ascii="仿宋_GB2312" w:hAnsi="仿宋_GB2312" w:eastAsia="仿宋_GB2312" w:cs="仿宋_GB2312"/>
          <w:b w:val="0"/>
          <w:bCs/>
          <w:color w:val="auto"/>
          <w:sz w:val="32"/>
          <w:szCs w:val="32"/>
          <w:highlight w:val="none"/>
          <w:lang w:val="en-US" w:eastAsia="zh-CN"/>
        </w:rPr>
        <w:t>，相关单位和个人应当予以配合。</w:t>
      </w:r>
      <w:bookmarkEnd w:id="20"/>
    </w:p>
    <w:p>
      <w:pPr>
        <w:keepNext w:val="0"/>
        <w:keepLines w:val="0"/>
        <w:pageBreakBefore w:val="0"/>
        <w:widowControl/>
        <w:kinsoku/>
        <w:wordWrap/>
        <w:overflowPunct/>
        <w:topLinePunct w:val="0"/>
        <w:autoSpaceDE/>
        <w:autoSpaceDN/>
        <w:bidi w:val="0"/>
        <w:adjustRightInd/>
        <w:snapToGrid/>
        <w:spacing w:afterAutospacing="0" w:line="48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行政调解涉及专门事项需要检测、检验、检疫、鉴定的，当事人可以共同委托或者申请行政调解机关委托专门机构进行，费用由当事人协商承担。法律、法规和规章另有规定的，从其规定。</w:t>
      </w:r>
      <w:bookmarkStart w:id="21" w:name="22"/>
    </w:p>
    <w:bookmarkEnd w:id="21"/>
    <w:p>
      <w:pPr>
        <w:keepNext w:val="0"/>
        <w:keepLines w:val="0"/>
        <w:pageBreakBefore w:val="0"/>
        <w:widowControl/>
        <w:kinsoku/>
        <w:wordWrap/>
        <w:overflowPunct/>
        <w:topLinePunct w:val="0"/>
        <w:autoSpaceDE/>
        <w:autoSpaceDN/>
        <w:bidi w:val="0"/>
        <w:adjustRightInd/>
        <w:snapToGrid/>
        <w:spacing w:afterAutospacing="0" w:line="48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lang w:val="en-US" w:eastAsia="zh-CN"/>
        </w:rPr>
      </w:pPr>
      <w:bookmarkStart w:id="22" w:name="25"/>
      <w:r>
        <w:rPr>
          <w:rFonts w:hint="eastAsia" w:ascii="黑体" w:hAnsi="黑体" w:eastAsia="黑体" w:cs="黑体"/>
          <w:b w:val="0"/>
          <w:bCs/>
          <w:color w:val="auto"/>
          <w:kern w:val="2"/>
          <w:sz w:val="32"/>
          <w:szCs w:val="32"/>
          <w:highlight w:val="none"/>
          <w:lang w:val="en-US" w:eastAsia="zh-Hans"/>
        </w:rPr>
        <w:t>第</w:t>
      </w:r>
      <w:r>
        <w:rPr>
          <w:rFonts w:hint="eastAsia" w:ascii="黑体" w:hAnsi="黑体" w:eastAsia="黑体" w:cs="黑体"/>
          <w:b w:val="0"/>
          <w:bCs/>
          <w:color w:val="auto"/>
          <w:kern w:val="2"/>
          <w:sz w:val="32"/>
          <w:szCs w:val="32"/>
          <w:highlight w:val="none"/>
          <w:lang w:val="en-US" w:eastAsia="zh-CN"/>
        </w:rPr>
        <w:t>二十八</w:t>
      </w:r>
      <w:r>
        <w:rPr>
          <w:rFonts w:hint="eastAsia" w:ascii="黑体" w:hAnsi="黑体" w:eastAsia="黑体" w:cs="黑体"/>
          <w:b w:val="0"/>
          <w:bCs/>
          <w:color w:val="auto"/>
          <w:kern w:val="2"/>
          <w:sz w:val="32"/>
          <w:szCs w:val="32"/>
          <w:highlight w:val="none"/>
          <w:lang w:val="en-US" w:eastAsia="zh-Hans"/>
        </w:rPr>
        <w:t>条</w:t>
      </w:r>
      <w:bookmarkEnd w:id="22"/>
      <w:r>
        <w:rPr>
          <w:rFonts w:hint="eastAsia" w:ascii="仿宋_GB2312" w:hAnsi="仿宋_GB2312" w:eastAsia="仿宋_GB2312" w:cs="仿宋_GB2312"/>
          <w:b w:val="0"/>
          <w:bCs/>
          <w:color w:val="auto"/>
          <w:sz w:val="32"/>
          <w:szCs w:val="32"/>
          <w:highlight w:val="none"/>
          <w:lang w:val="en-US" w:eastAsia="zh-CN"/>
        </w:rPr>
        <w:t xml:space="preserve">  行政调解机关调解争议纠纷，应当自受理之日起30日内调解终结；情况复杂或者有其他特殊情形的，经行政调解机关负责人批准可以适当延长，延长期限不超过30日。法律、法规和规章另有规定的，从其规定。</w:t>
      </w:r>
    </w:p>
    <w:p>
      <w:pPr>
        <w:keepNext w:val="0"/>
        <w:keepLines w:val="0"/>
        <w:pageBreakBefore w:val="0"/>
        <w:widowControl/>
        <w:kinsoku/>
        <w:wordWrap/>
        <w:overflowPunct/>
        <w:topLinePunct w:val="0"/>
        <w:autoSpaceDE/>
        <w:autoSpaceDN/>
        <w:bidi w:val="0"/>
        <w:adjustRightInd/>
        <w:snapToGrid/>
        <w:spacing w:afterAutospacing="0" w:line="48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行政调解的期限不包括检测、检验、检疫、鉴定等调查取证的时间。</w:t>
      </w:r>
      <w:bookmarkStart w:id="23" w:name="26"/>
    </w:p>
    <w:bookmarkEnd w:id="23"/>
    <w:p>
      <w:pPr>
        <w:keepNext w:val="0"/>
        <w:keepLines w:val="0"/>
        <w:pageBreakBefore w:val="0"/>
        <w:widowControl/>
        <w:kinsoku/>
        <w:wordWrap/>
        <w:overflowPunct/>
        <w:topLinePunct w:val="0"/>
        <w:autoSpaceDE/>
        <w:autoSpaceDN/>
        <w:bidi w:val="0"/>
        <w:adjustRightInd/>
        <w:snapToGrid/>
        <w:spacing w:afterAutospacing="0" w:line="48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lang w:val="en-US" w:eastAsia="zh-CN"/>
        </w:rPr>
      </w:pPr>
      <w:bookmarkStart w:id="24" w:name="27"/>
      <w:r>
        <w:rPr>
          <w:rFonts w:hint="eastAsia" w:ascii="黑体" w:hAnsi="黑体" w:eastAsia="黑体" w:cs="黑体"/>
          <w:b w:val="0"/>
          <w:bCs/>
          <w:color w:val="auto"/>
          <w:kern w:val="2"/>
          <w:sz w:val="32"/>
          <w:szCs w:val="32"/>
          <w:highlight w:val="none"/>
          <w:lang w:val="en-US" w:eastAsia="zh-Hans"/>
        </w:rPr>
        <w:t>第</w:t>
      </w:r>
      <w:r>
        <w:rPr>
          <w:rFonts w:hint="eastAsia" w:ascii="黑体" w:hAnsi="黑体" w:eastAsia="黑体" w:cs="黑体"/>
          <w:b w:val="0"/>
          <w:bCs/>
          <w:color w:val="auto"/>
          <w:kern w:val="2"/>
          <w:sz w:val="32"/>
          <w:szCs w:val="32"/>
          <w:highlight w:val="none"/>
          <w:lang w:val="en-US" w:eastAsia="zh-CN"/>
        </w:rPr>
        <w:t>二十九</w:t>
      </w:r>
      <w:r>
        <w:rPr>
          <w:rFonts w:hint="eastAsia" w:ascii="黑体" w:hAnsi="黑体" w:eastAsia="黑体" w:cs="黑体"/>
          <w:b w:val="0"/>
          <w:bCs/>
          <w:color w:val="auto"/>
          <w:kern w:val="2"/>
          <w:sz w:val="32"/>
          <w:szCs w:val="32"/>
          <w:highlight w:val="none"/>
          <w:lang w:val="en-US" w:eastAsia="zh-Hans"/>
        </w:rPr>
        <w:t>条</w:t>
      </w:r>
      <w:bookmarkEnd w:id="24"/>
      <w:r>
        <w:rPr>
          <w:rFonts w:hint="eastAsia" w:ascii="仿宋_GB2312" w:hAnsi="仿宋_GB2312" w:eastAsia="仿宋_GB2312" w:cs="仿宋_GB2312"/>
          <w:b w:val="0"/>
          <w:bCs/>
          <w:color w:val="auto"/>
          <w:sz w:val="32"/>
          <w:szCs w:val="32"/>
          <w:highlight w:val="none"/>
          <w:lang w:val="en-US" w:eastAsia="zh-CN"/>
        </w:rPr>
        <w:t xml:space="preserve">  有下列情形之一的，行政调解中止：</w:t>
      </w:r>
    </w:p>
    <w:p>
      <w:pPr>
        <w:keepNext w:val="0"/>
        <w:keepLines w:val="0"/>
        <w:pageBreakBefore w:val="0"/>
        <w:widowControl/>
        <w:kinsoku/>
        <w:wordWrap/>
        <w:overflowPunct/>
        <w:topLinePunct w:val="0"/>
        <w:autoSpaceDE/>
        <w:autoSpaceDN/>
        <w:bidi w:val="0"/>
        <w:adjustRightInd/>
        <w:snapToGrid/>
        <w:spacing w:afterAutospacing="0" w:line="48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（一）一方当事人因正当理由经对方当事人认可,暂时不能参加调解或者中途要求暂停调解的；</w:t>
      </w:r>
    </w:p>
    <w:p>
      <w:pPr>
        <w:keepNext w:val="0"/>
        <w:keepLines w:val="0"/>
        <w:pageBreakBefore w:val="0"/>
        <w:widowControl/>
        <w:kinsoku/>
        <w:wordWrap/>
        <w:overflowPunct/>
        <w:topLinePunct w:val="0"/>
        <w:autoSpaceDE/>
        <w:autoSpaceDN/>
        <w:bidi w:val="0"/>
        <w:adjustRightInd/>
        <w:snapToGrid/>
        <w:spacing w:afterAutospacing="0" w:line="48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（二）发生不可抗力或者意外事件的；</w:t>
      </w:r>
    </w:p>
    <w:p>
      <w:pPr>
        <w:keepNext w:val="0"/>
        <w:keepLines w:val="0"/>
        <w:pageBreakBefore w:val="0"/>
        <w:widowControl/>
        <w:kinsoku/>
        <w:wordWrap/>
        <w:overflowPunct/>
        <w:topLinePunct w:val="0"/>
        <w:autoSpaceDE/>
        <w:autoSpaceDN/>
        <w:bidi w:val="0"/>
        <w:adjustRightInd/>
        <w:snapToGrid/>
        <w:spacing w:afterAutospacing="0" w:line="48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（三）法律、法规、规章规定的其他需要中止调解的情形。</w:t>
      </w:r>
    </w:p>
    <w:p>
      <w:pPr>
        <w:keepNext w:val="0"/>
        <w:keepLines w:val="0"/>
        <w:pageBreakBefore w:val="0"/>
        <w:widowControl/>
        <w:kinsoku/>
        <w:wordWrap/>
        <w:overflowPunct/>
        <w:topLinePunct w:val="0"/>
        <w:autoSpaceDE/>
        <w:autoSpaceDN/>
        <w:bidi w:val="0"/>
        <w:adjustRightInd/>
        <w:snapToGrid/>
        <w:spacing w:afterAutospacing="0" w:line="48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中止时间不计入调解期限。</w:t>
      </w:r>
    </w:p>
    <w:p>
      <w:pPr>
        <w:keepNext w:val="0"/>
        <w:keepLines w:val="0"/>
        <w:pageBreakBefore w:val="0"/>
        <w:widowControl/>
        <w:kinsoku/>
        <w:wordWrap/>
        <w:overflowPunct/>
        <w:topLinePunct w:val="0"/>
        <w:autoSpaceDE/>
        <w:autoSpaceDN/>
        <w:bidi w:val="0"/>
        <w:adjustRightInd/>
        <w:snapToGrid/>
        <w:spacing w:afterAutospacing="0" w:line="48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行政调解机关中止、恢复行政调解的，应当及时告知当事人。</w:t>
      </w:r>
      <w:bookmarkStart w:id="25" w:name="28"/>
    </w:p>
    <w:p>
      <w:pPr>
        <w:keepNext w:val="0"/>
        <w:keepLines w:val="0"/>
        <w:pageBreakBefore w:val="0"/>
        <w:widowControl/>
        <w:kinsoku/>
        <w:wordWrap/>
        <w:overflowPunct/>
        <w:topLinePunct w:val="0"/>
        <w:autoSpaceDE/>
        <w:autoSpaceDN/>
        <w:bidi w:val="0"/>
        <w:adjustRightInd/>
        <w:snapToGrid/>
        <w:spacing w:afterAutospacing="0" w:line="48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黑体" w:hAnsi="黑体" w:eastAsia="黑体" w:cs="黑体"/>
          <w:b w:val="0"/>
          <w:bCs/>
          <w:color w:val="auto"/>
          <w:kern w:val="2"/>
          <w:sz w:val="32"/>
          <w:szCs w:val="32"/>
          <w:highlight w:val="none"/>
          <w:lang w:val="en-US" w:eastAsia="zh-Hans"/>
        </w:rPr>
        <w:t>第</w:t>
      </w:r>
      <w:r>
        <w:rPr>
          <w:rFonts w:hint="eastAsia" w:ascii="黑体" w:hAnsi="黑体" w:eastAsia="黑体" w:cs="黑体"/>
          <w:b w:val="0"/>
          <w:bCs/>
          <w:color w:val="auto"/>
          <w:kern w:val="2"/>
          <w:sz w:val="32"/>
          <w:szCs w:val="32"/>
          <w:highlight w:val="none"/>
          <w:lang w:val="en-US" w:eastAsia="zh-CN"/>
        </w:rPr>
        <w:t>三十</w:t>
      </w:r>
      <w:r>
        <w:rPr>
          <w:rFonts w:hint="eastAsia" w:ascii="黑体" w:hAnsi="黑体" w:eastAsia="黑体" w:cs="黑体"/>
          <w:b w:val="0"/>
          <w:bCs/>
          <w:color w:val="auto"/>
          <w:kern w:val="2"/>
          <w:sz w:val="32"/>
          <w:szCs w:val="32"/>
          <w:highlight w:val="none"/>
          <w:lang w:val="en-US" w:eastAsia="zh-Hans"/>
        </w:rPr>
        <w:t>条</w:t>
      </w:r>
      <w:bookmarkEnd w:id="25"/>
      <w:r>
        <w:rPr>
          <w:rFonts w:hint="eastAsia" w:ascii="仿宋_GB2312" w:hAnsi="仿宋_GB2312" w:eastAsia="仿宋_GB2312" w:cs="仿宋_GB2312"/>
          <w:b w:val="0"/>
          <w:bCs/>
          <w:color w:val="auto"/>
          <w:sz w:val="32"/>
          <w:szCs w:val="32"/>
          <w:highlight w:val="none"/>
          <w:lang w:val="en-US" w:eastAsia="zh-CN"/>
        </w:rPr>
        <w:t xml:space="preserve">  有下列情形之一的，行政调解机关应当终止调解：</w:t>
      </w:r>
    </w:p>
    <w:p>
      <w:pPr>
        <w:keepNext w:val="0"/>
        <w:keepLines w:val="0"/>
        <w:pageBreakBefore w:val="0"/>
        <w:widowControl/>
        <w:kinsoku/>
        <w:wordWrap/>
        <w:overflowPunct/>
        <w:topLinePunct w:val="0"/>
        <w:autoSpaceDE/>
        <w:autoSpaceDN/>
        <w:bidi w:val="0"/>
        <w:adjustRightInd/>
        <w:snapToGrid/>
        <w:spacing w:afterAutospacing="0" w:line="48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（一）当事人要求终止调解或者调解期限届满未达成调解协议的；</w:t>
      </w:r>
    </w:p>
    <w:p>
      <w:pPr>
        <w:keepNext w:val="0"/>
        <w:keepLines w:val="0"/>
        <w:pageBreakBefore w:val="0"/>
        <w:widowControl/>
        <w:kinsoku/>
        <w:wordWrap/>
        <w:overflowPunct/>
        <w:topLinePunct w:val="0"/>
        <w:autoSpaceDE/>
        <w:autoSpaceDN/>
        <w:bidi w:val="0"/>
        <w:adjustRightInd/>
        <w:snapToGrid/>
        <w:spacing w:afterAutospacing="0" w:line="48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（二）当事人无正当理由缺席或者中途退出调解的；</w:t>
      </w:r>
    </w:p>
    <w:p>
      <w:pPr>
        <w:keepNext w:val="0"/>
        <w:keepLines w:val="0"/>
        <w:pageBreakBefore w:val="0"/>
        <w:widowControl/>
        <w:kinsoku/>
        <w:wordWrap/>
        <w:overflowPunct/>
        <w:topLinePunct w:val="0"/>
        <w:autoSpaceDE/>
        <w:autoSpaceDN/>
        <w:bidi w:val="0"/>
        <w:adjustRightInd/>
        <w:snapToGrid/>
        <w:spacing w:afterAutospacing="0" w:line="48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（三）调解结果涉及第三人利益，第三人不同意调解的；</w:t>
      </w:r>
    </w:p>
    <w:p>
      <w:pPr>
        <w:keepNext w:val="0"/>
        <w:keepLines w:val="0"/>
        <w:pageBreakBefore w:val="0"/>
        <w:widowControl/>
        <w:kinsoku/>
        <w:wordWrap/>
        <w:overflowPunct/>
        <w:topLinePunct w:val="0"/>
        <w:autoSpaceDE/>
        <w:autoSpaceDN/>
        <w:bidi w:val="0"/>
        <w:adjustRightInd/>
        <w:snapToGrid/>
        <w:spacing w:afterAutospacing="0" w:line="48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（四）当事人在调解过程中就民事纠纷提起诉讼或者申请仲裁的；</w:t>
      </w:r>
    </w:p>
    <w:p>
      <w:pPr>
        <w:keepNext w:val="0"/>
        <w:keepLines w:val="0"/>
        <w:pageBreakBefore w:val="0"/>
        <w:widowControl/>
        <w:kinsoku/>
        <w:wordWrap/>
        <w:overflowPunct/>
        <w:topLinePunct w:val="0"/>
        <w:autoSpaceDE/>
        <w:autoSpaceDN/>
        <w:bidi w:val="0"/>
        <w:adjustRightInd/>
        <w:snapToGrid/>
        <w:spacing w:afterAutospacing="0" w:line="48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（五）公民死亡或者法人、其他组织终止，无权利义务承受人或者权利义务承受人放弃行政调解的；</w:t>
      </w:r>
    </w:p>
    <w:p>
      <w:pPr>
        <w:keepNext w:val="0"/>
        <w:keepLines w:val="0"/>
        <w:pageBreakBefore w:val="0"/>
        <w:widowControl/>
        <w:kinsoku/>
        <w:wordWrap/>
        <w:overflowPunct/>
        <w:topLinePunct w:val="0"/>
        <w:autoSpaceDE/>
        <w:autoSpaceDN/>
        <w:bidi w:val="0"/>
        <w:adjustRightInd/>
        <w:snapToGrid/>
        <w:spacing w:afterAutospacing="0" w:line="48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（六）法律、法规、规章规定的其他需要终止调解的情形。</w:t>
      </w:r>
    </w:p>
    <w:p>
      <w:pPr>
        <w:keepNext w:val="0"/>
        <w:keepLines w:val="0"/>
        <w:pageBreakBefore w:val="0"/>
        <w:widowControl/>
        <w:kinsoku/>
        <w:wordWrap/>
        <w:overflowPunct/>
        <w:topLinePunct w:val="0"/>
        <w:autoSpaceDE/>
        <w:autoSpaceDN/>
        <w:bidi w:val="0"/>
        <w:adjustRightInd/>
        <w:snapToGrid/>
        <w:spacing w:afterAutospacing="0" w:line="48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行政调解终止的，行政调解机关应当制作行政调解终止通知书并送达各方当事人。</w:t>
      </w:r>
      <w:r>
        <w:rPr>
          <w:rFonts w:hint="eastAsia" w:ascii="仿宋_GB2312" w:hAnsi="仿宋_GB2312" w:eastAsia="仿宋_GB2312" w:cs="仿宋_GB2312"/>
          <w:b w:val="0"/>
          <w:bCs/>
          <w:color w:val="auto"/>
          <w:kern w:val="0"/>
          <w:sz w:val="32"/>
          <w:szCs w:val="32"/>
          <w:highlight w:val="none"/>
          <w:u w:val="none"/>
          <w:lang w:val="en-US" w:eastAsia="zh-CN" w:bidi="ar"/>
        </w:rPr>
        <w:t>当场调解或者适用简易程序调解的，行政调解机关应当将相关情况记录在案，经当事人签名或者盖章等方式确认后，可以不制作行政调解终止通知书。</w:t>
      </w:r>
    </w:p>
    <w:p>
      <w:pPr>
        <w:keepNext w:val="0"/>
        <w:keepLines w:val="0"/>
        <w:pageBreakBefore w:val="0"/>
        <w:widowControl/>
        <w:kinsoku/>
        <w:wordWrap/>
        <w:overflowPunct/>
        <w:topLinePunct w:val="0"/>
        <w:autoSpaceDE/>
        <w:autoSpaceDN/>
        <w:bidi w:val="0"/>
        <w:adjustRightInd/>
        <w:snapToGrid/>
        <w:spacing w:afterAutospacing="0" w:line="48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黑体" w:hAnsi="黑体" w:eastAsia="黑体" w:cs="黑体"/>
          <w:b w:val="0"/>
          <w:bCs/>
          <w:color w:val="auto"/>
          <w:kern w:val="2"/>
          <w:sz w:val="32"/>
          <w:szCs w:val="32"/>
          <w:highlight w:val="none"/>
          <w:lang w:val="en-US" w:eastAsia="zh-Hans"/>
        </w:rPr>
        <w:t>第</w:t>
      </w:r>
      <w:r>
        <w:rPr>
          <w:rFonts w:hint="eastAsia" w:ascii="黑体" w:hAnsi="黑体" w:eastAsia="黑体" w:cs="黑体"/>
          <w:b w:val="0"/>
          <w:bCs/>
          <w:color w:val="auto"/>
          <w:kern w:val="2"/>
          <w:sz w:val="32"/>
          <w:szCs w:val="32"/>
          <w:highlight w:val="none"/>
          <w:lang w:val="en-US" w:eastAsia="zh-CN"/>
        </w:rPr>
        <w:t>三十一</w:t>
      </w:r>
      <w:r>
        <w:rPr>
          <w:rFonts w:hint="eastAsia" w:ascii="黑体" w:hAnsi="黑体" w:eastAsia="黑体" w:cs="黑体"/>
          <w:b w:val="0"/>
          <w:bCs/>
          <w:color w:val="auto"/>
          <w:kern w:val="2"/>
          <w:sz w:val="32"/>
          <w:szCs w:val="32"/>
          <w:highlight w:val="none"/>
          <w:lang w:val="en-US" w:eastAsia="zh-Hans"/>
        </w:rPr>
        <w:t>条</w:t>
      </w:r>
      <w:r>
        <w:rPr>
          <w:rFonts w:hint="eastAsia" w:ascii="仿宋_GB2312" w:hAnsi="仿宋_GB2312" w:eastAsia="仿宋_GB2312" w:cs="仿宋_GB2312"/>
          <w:b w:val="0"/>
          <w:bCs/>
          <w:color w:val="auto"/>
          <w:sz w:val="32"/>
          <w:szCs w:val="32"/>
          <w:highlight w:val="none"/>
          <w:lang w:val="en-US" w:eastAsia="zh-CN"/>
        </w:rPr>
        <w:t xml:space="preserve">  对事实清楚、权利义务关系明确、争议不大或者所涉金额较小的纠纷，经双方当事人同意，行政调解申请、受理和调处可以适用简易程序。</w:t>
      </w:r>
    </w:p>
    <w:p>
      <w:pPr>
        <w:keepNext w:val="0"/>
        <w:keepLines w:val="0"/>
        <w:pageBreakBefore w:val="0"/>
        <w:widowControl/>
        <w:kinsoku/>
        <w:wordWrap/>
        <w:overflowPunct/>
        <w:topLinePunct w:val="0"/>
        <w:autoSpaceDE/>
        <w:autoSpaceDN/>
        <w:bidi w:val="0"/>
        <w:adjustRightInd/>
        <w:snapToGrid/>
        <w:spacing w:afterAutospacing="0" w:line="48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适用简易程序进行调解的，申请人可以口头申请。行政调解机关可以当场组织调解或者用电话、短信等简便方式通知当事人，由1名行政调解员主持调解。调解可以直接围绕调解请求，采用灵活简便的方式进行。当事人达成一致意见的，行政调解机关现场制作行政调解笔录，由当事人在行政调解笔录上签名或者盖章确认。不能达成一致意见的，行政调解机关应当告知当事人解决纠纷的其他途径。</w:t>
      </w:r>
    </w:p>
    <w:p>
      <w:pPr>
        <w:keepNext w:val="0"/>
        <w:keepLines w:val="0"/>
        <w:pageBreakBefore w:val="0"/>
        <w:widowControl/>
        <w:kinsoku/>
        <w:wordWrap/>
        <w:overflowPunct/>
        <w:topLinePunct w:val="0"/>
        <w:autoSpaceDE/>
        <w:autoSpaceDN/>
        <w:bidi w:val="0"/>
        <w:adjustRightInd/>
        <w:snapToGrid/>
        <w:spacing w:afterAutospacing="0" w:line="48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适用简易程序调解，不受本办法第二十一条、第二十六条规定的限制，但应当听取当事人的陈述、申辩意见。</w:t>
      </w:r>
      <w:bookmarkStart w:id="26" w:name="_Toc2111036845_WPSOffice_Level1"/>
    </w:p>
    <w:p>
      <w:pPr>
        <w:pStyle w:val="3"/>
        <w:keepNext w:val="0"/>
        <w:keepLines w:val="0"/>
        <w:pageBreakBefore w:val="0"/>
        <w:kinsoku/>
        <w:wordWrap/>
        <w:overflowPunct/>
        <w:topLinePunct w:val="0"/>
        <w:autoSpaceDE/>
        <w:autoSpaceDN/>
        <w:bidi w:val="0"/>
        <w:adjustRightInd/>
        <w:snapToGrid/>
        <w:spacing w:before="0" w:after="0" w:line="480" w:lineRule="auto"/>
        <w:ind w:firstLine="640" w:firstLineChars="200"/>
        <w:jc w:val="center"/>
        <w:rPr>
          <w:rFonts w:hint="eastAsia" w:ascii="仿宋_GB2312" w:hAnsi="仿宋_GB2312" w:eastAsia="仿宋_GB2312" w:cs="仿宋_GB2312"/>
          <w:b w:val="0"/>
          <w:bCs/>
          <w:color w:val="auto"/>
          <w:kern w:val="2"/>
          <w:sz w:val="32"/>
          <w:szCs w:val="32"/>
          <w:highlight w:val="none"/>
          <w:lang w:val="en-US" w:eastAsia="zh-Hans"/>
        </w:rPr>
      </w:pPr>
      <w:r>
        <w:rPr>
          <w:rFonts w:hint="eastAsia" w:ascii="黑体" w:hAnsi="黑体" w:eastAsia="黑体" w:cs="黑体"/>
          <w:b w:val="0"/>
          <w:bCs/>
          <w:color w:val="auto"/>
          <w:sz w:val="32"/>
          <w:szCs w:val="32"/>
          <w:highlight w:val="none"/>
          <w:lang w:eastAsia="zh-CN"/>
        </w:rPr>
        <w:t>第</w:t>
      </w:r>
      <w:r>
        <w:rPr>
          <w:rFonts w:hint="eastAsia" w:ascii="黑体" w:hAnsi="黑体" w:eastAsia="黑体" w:cs="黑体"/>
          <w:b w:val="0"/>
          <w:bCs/>
          <w:color w:val="auto"/>
          <w:sz w:val="32"/>
          <w:szCs w:val="32"/>
          <w:highlight w:val="none"/>
          <w:lang w:val="en-US" w:eastAsia="zh-CN"/>
        </w:rPr>
        <w:t>五</w:t>
      </w:r>
      <w:r>
        <w:rPr>
          <w:rFonts w:hint="eastAsia" w:ascii="黑体" w:hAnsi="黑体" w:eastAsia="黑体" w:cs="黑体"/>
          <w:b w:val="0"/>
          <w:bCs/>
          <w:color w:val="auto"/>
          <w:sz w:val="32"/>
          <w:szCs w:val="32"/>
          <w:highlight w:val="none"/>
          <w:lang w:eastAsia="zh-CN"/>
        </w:rPr>
        <w:t>章</w:t>
      </w:r>
      <w:r>
        <w:rPr>
          <w:rFonts w:hint="eastAsia" w:ascii="黑体" w:hAnsi="黑体" w:eastAsia="黑体" w:cs="黑体"/>
          <w:b w:val="0"/>
          <w:bCs/>
          <w:color w:val="auto"/>
          <w:sz w:val="32"/>
          <w:szCs w:val="32"/>
          <w:highlight w:val="none"/>
          <w:lang w:val="en-US" w:eastAsia="zh-CN"/>
        </w:rPr>
        <w:t xml:space="preserve">   </w:t>
      </w:r>
      <w:r>
        <w:rPr>
          <w:rFonts w:hint="eastAsia" w:ascii="黑体" w:hAnsi="黑体" w:eastAsia="黑体" w:cs="黑体"/>
          <w:b w:val="0"/>
          <w:bCs/>
          <w:color w:val="auto"/>
          <w:sz w:val="32"/>
          <w:szCs w:val="32"/>
          <w:highlight w:val="none"/>
          <w:lang w:eastAsia="zh-CN"/>
        </w:rPr>
        <w:t>行政调解协议</w:t>
      </w:r>
      <w:bookmarkEnd w:id="26"/>
      <w:bookmarkStart w:id="27" w:name="29"/>
    </w:p>
    <w:p>
      <w:pPr>
        <w:keepNext w:val="0"/>
        <w:keepLines w:val="0"/>
        <w:pageBreakBefore w:val="0"/>
        <w:widowControl/>
        <w:kinsoku/>
        <w:wordWrap/>
        <w:overflowPunct/>
        <w:topLinePunct w:val="0"/>
        <w:autoSpaceDE/>
        <w:autoSpaceDN/>
        <w:bidi w:val="0"/>
        <w:adjustRightInd/>
        <w:snapToGrid/>
        <w:spacing w:afterAutospacing="0" w:line="48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黑体" w:hAnsi="黑体" w:eastAsia="黑体" w:cs="黑体"/>
          <w:b w:val="0"/>
          <w:bCs/>
          <w:color w:val="auto"/>
          <w:kern w:val="2"/>
          <w:sz w:val="32"/>
          <w:szCs w:val="32"/>
          <w:highlight w:val="none"/>
          <w:lang w:val="en-US" w:eastAsia="zh-Hans"/>
        </w:rPr>
        <w:t>第</w:t>
      </w:r>
      <w:r>
        <w:rPr>
          <w:rFonts w:hint="eastAsia" w:ascii="黑体" w:hAnsi="黑体" w:eastAsia="黑体" w:cs="黑体"/>
          <w:b w:val="0"/>
          <w:bCs/>
          <w:color w:val="auto"/>
          <w:kern w:val="2"/>
          <w:sz w:val="32"/>
          <w:szCs w:val="32"/>
          <w:highlight w:val="none"/>
          <w:lang w:val="en-US" w:eastAsia="zh-CN"/>
        </w:rPr>
        <w:t>三十二</w:t>
      </w:r>
      <w:r>
        <w:rPr>
          <w:rFonts w:hint="eastAsia" w:ascii="黑体" w:hAnsi="黑体" w:eastAsia="黑体" w:cs="黑体"/>
          <w:b w:val="0"/>
          <w:bCs/>
          <w:color w:val="auto"/>
          <w:kern w:val="2"/>
          <w:sz w:val="32"/>
          <w:szCs w:val="32"/>
          <w:highlight w:val="none"/>
          <w:lang w:val="en-US" w:eastAsia="zh-Hans"/>
        </w:rPr>
        <w:t>条</w:t>
      </w:r>
      <w:bookmarkEnd w:id="27"/>
      <w:r>
        <w:rPr>
          <w:rFonts w:hint="eastAsia" w:ascii="仿宋_GB2312" w:hAnsi="仿宋_GB2312" w:eastAsia="仿宋_GB2312" w:cs="仿宋_GB2312"/>
          <w:b w:val="0"/>
          <w:bCs/>
          <w:color w:val="auto"/>
          <w:sz w:val="32"/>
          <w:szCs w:val="32"/>
          <w:highlight w:val="none"/>
          <w:lang w:val="en-US" w:eastAsia="zh-CN"/>
        </w:rPr>
        <w:t xml:space="preserve">  经调解达成协议的，行政调解机关应当制作行政调解协议书。</w:t>
      </w:r>
    </w:p>
    <w:p>
      <w:pPr>
        <w:keepNext w:val="0"/>
        <w:keepLines w:val="0"/>
        <w:pageBreakBefore w:val="0"/>
        <w:widowControl/>
        <w:kinsoku/>
        <w:wordWrap/>
        <w:overflowPunct/>
        <w:topLinePunct w:val="0"/>
        <w:autoSpaceDE/>
        <w:autoSpaceDN/>
        <w:bidi w:val="0"/>
        <w:adjustRightInd/>
        <w:snapToGrid/>
        <w:spacing w:line="480" w:lineRule="auto"/>
        <w:ind w:firstLine="640" w:firstLineChars="200"/>
        <w:jc w:val="both"/>
        <w:outlineLvl w:val="9"/>
        <w:rPr>
          <w:rFonts w:hint="eastAsia" w:ascii="仿宋_GB2312" w:hAnsi="仿宋_GB2312" w:eastAsia="仿宋_GB2312" w:cs="仿宋_GB2312"/>
          <w:b w:val="0"/>
          <w:bCs/>
          <w:color w:val="auto"/>
          <w:sz w:val="32"/>
          <w:szCs w:val="32"/>
          <w:highlight w:val="yellow"/>
          <w:lang w:val="en-US" w:eastAsia="zh-CN"/>
        </w:rPr>
      </w:pPr>
      <w:r>
        <w:rPr>
          <w:rFonts w:hint="eastAsia" w:ascii="仿宋_GB2312" w:hAnsi="仿宋_GB2312" w:eastAsia="仿宋_GB2312" w:cs="仿宋_GB2312"/>
          <w:b w:val="0"/>
          <w:bCs/>
          <w:color w:val="auto"/>
          <w:sz w:val="32"/>
          <w:szCs w:val="32"/>
          <w:highlight w:val="none"/>
          <w:lang w:val="en-US" w:eastAsia="zh-CN"/>
        </w:rPr>
        <w:t>适用简易程序调解、当事人自行和解、调解协议能够即时履行或者当事人认为无须制作调解协议书的，可以不制作行政调解协议书，由行政调解员将争议事项、调解请求、调解结果等调解情况记录在案，并经各方当事人签名或者盖章确认。</w:t>
      </w:r>
      <w:bookmarkStart w:id="28" w:name="30"/>
    </w:p>
    <w:p>
      <w:pPr>
        <w:keepNext w:val="0"/>
        <w:keepLines w:val="0"/>
        <w:pageBreakBefore w:val="0"/>
        <w:widowControl/>
        <w:kinsoku/>
        <w:wordWrap/>
        <w:overflowPunct/>
        <w:topLinePunct w:val="0"/>
        <w:autoSpaceDE/>
        <w:autoSpaceDN/>
        <w:bidi w:val="0"/>
        <w:adjustRightInd/>
        <w:snapToGrid/>
        <w:spacing w:afterAutospacing="0" w:line="48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黑体" w:hAnsi="黑体" w:eastAsia="黑体" w:cs="黑体"/>
          <w:b w:val="0"/>
          <w:bCs/>
          <w:color w:val="auto"/>
          <w:kern w:val="2"/>
          <w:sz w:val="32"/>
          <w:szCs w:val="32"/>
          <w:highlight w:val="none"/>
          <w:lang w:val="en-US" w:eastAsia="zh-Hans"/>
        </w:rPr>
        <w:t>第</w:t>
      </w:r>
      <w:r>
        <w:rPr>
          <w:rFonts w:hint="eastAsia" w:ascii="黑体" w:hAnsi="黑体" w:eastAsia="黑体" w:cs="黑体"/>
          <w:b w:val="0"/>
          <w:bCs/>
          <w:color w:val="auto"/>
          <w:kern w:val="2"/>
          <w:sz w:val="32"/>
          <w:szCs w:val="32"/>
          <w:highlight w:val="none"/>
          <w:lang w:val="en-US" w:eastAsia="zh-CN"/>
        </w:rPr>
        <w:t>三十三</w:t>
      </w:r>
      <w:r>
        <w:rPr>
          <w:rFonts w:hint="eastAsia" w:ascii="黑体" w:hAnsi="黑体" w:eastAsia="黑体" w:cs="黑体"/>
          <w:b w:val="0"/>
          <w:bCs/>
          <w:color w:val="auto"/>
          <w:kern w:val="2"/>
          <w:sz w:val="32"/>
          <w:szCs w:val="32"/>
          <w:highlight w:val="none"/>
          <w:lang w:val="en-US" w:eastAsia="zh-Hans"/>
        </w:rPr>
        <w:t>条</w:t>
      </w:r>
      <w:bookmarkEnd w:id="28"/>
      <w:r>
        <w:rPr>
          <w:rFonts w:hint="eastAsia" w:ascii="仿宋_GB2312" w:hAnsi="仿宋_GB2312" w:eastAsia="仿宋_GB2312" w:cs="仿宋_GB2312"/>
          <w:b w:val="0"/>
          <w:bCs/>
          <w:color w:val="auto"/>
          <w:sz w:val="32"/>
          <w:szCs w:val="32"/>
          <w:highlight w:val="none"/>
          <w:lang w:val="en-US" w:eastAsia="zh-CN"/>
        </w:rPr>
        <w:t xml:space="preserve">  行政调解协议书应当载明下列事项：</w:t>
      </w:r>
    </w:p>
    <w:p>
      <w:pPr>
        <w:keepNext w:val="0"/>
        <w:keepLines w:val="0"/>
        <w:pageBreakBefore w:val="0"/>
        <w:widowControl/>
        <w:kinsoku/>
        <w:wordWrap/>
        <w:overflowPunct/>
        <w:topLinePunct w:val="0"/>
        <w:autoSpaceDE/>
        <w:autoSpaceDN/>
        <w:bidi w:val="0"/>
        <w:adjustRightInd/>
        <w:snapToGrid/>
        <w:spacing w:afterAutospacing="0" w:line="48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（一）当事人、第三人以及委托代理人的基本情况；</w:t>
      </w:r>
    </w:p>
    <w:p>
      <w:pPr>
        <w:keepNext w:val="0"/>
        <w:keepLines w:val="0"/>
        <w:pageBreakBefore w:val="0"/>
        <w:widowControl/>
        <w:kinsoku/>
        <w:wordWrap/>
        <w:overflowPunct/>
        <w:topLinePunct w:val="0"/>
        <w:autoSpaceDE/>
        <w:autoSpaceDN/>
        <w:bidi w:val="0"/>
        <w:adjustRightInd/>
        <w:snapToGrid/>
        <w:spacing w:afterAutospacing="0" w:line="48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（二）争议事项以及调解请求；</w:t>
      </w:r>
    </w:p>
    <w:p>
      <w:pPr>
        <w:keepNext w:val="0"/>
        <w:keepLines w:val="0"/>
        <w:pageBreakBefore w:val="0"/>
        <w:widowControl/>
        <w:kinsoku/>
        <w:wordWrap/>
        <w:overflowPunct/>
        <w:topLinePunct w:val="0"/>
        <w:autoSpaceDE/>
        <w:autoSpaceDN/>
        <w:bidi w:val="0"/>
        <w:adjustRightInd/>
        <w:snapToGrid/>
        <w:spacing w:afterAutospacing="0" w:line="48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（三）调解协议内容、履行的方式和期限；</w:t>
      </w:r>
    </w:p>
    <w:p>
      <w:pPr>
        <w:keepNext w:val="0"/>
        <w:keepLines w:val="0"/>
        <w:pageBreakBefore w:val="0"/>
        <w:widowControl/>
        <w:kinsoku/>
        <w:wordWrap/>
        <w:overflowPunct/>
        <w:topLinePunct w:val="0"/>
        <w:autoSpaceDE/>
        <w:autoSpaceDN/>
        <w:bidi w:val="0"/>
        <w:adjustRightInd/>
        <w:snapToGrid/>
        <w:spacing w:afterAutospacing="0" w:line="48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（四）其他约定事项。</w:t>
      </w:r>
    </w:p>
    <w:p>
      <w:pPr>
        <w:keepNext w:val="0"/>
        <w:keepLines w:val="0"/>
        <w:pageBreakBefore w:val="0"/>
        <w:widowControl/>
        <w:kinsoku/>
        <w:wordWrap/>
        <w:overflowPunct/>
        <w:topLinePunct w:val="0"/>
        <w:autoSpaceDE/>
        <w:autoSpaceDN/>
        <w:bidi w:val="0"/>
        <w:adjustRightInd/>
        <w:snapToGrid/>
        <w:spacing w:afterAutospacing="0" w:line="48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行政调解</w:t>
      </w:r>
      <w:r>
        <w:rPr>
          <w:rFonts w:hint="eastAsia" w:ascii="仿宋_GB2312" w:hAnsi="仿宋_GB2312" w:eastAsia="仿宋_GB2312" w:cs="仿宋_GB2312"/>
          <w:b w:val="0"/>
          <w:bCs/>
          <w:sz w:val="32"/>
          <w:szCs w:val="32"/>
          <w:highlight w:val="none"/>
          <w:lang w:val="en-US" w:eastAsia="zh-CN"/>
        </w:rPr>
        <w:t>协议书应当由各方当事人签名或者盖章，并加盖行政调解机关印章，</w:t>
      </w:r>
      <w:r>
        <w:rPr>
          <w:rFonts w:hint="eastAsia" w:ascii="仿宋_GB2312" w:hAnsi="仿宋_GB2312" w:eastAsia="仿宋_GB2312" w:cs="仿宋_GB2312"/>
          <w:b w:val="0"/>
          <w:bCs/>
          <w:color w:val="auto"/>
          <w:sz w:val="32"/>
          <w:szCs w:val="32"/>
          <w:highlight w:val="none"/>
          <w:lang w:val="en-US" w:eastAsia="zh-CN"/>
        </w:rPr>
        <w:t>当事人各执一份，行政调解机关留存一份。</w:t>
      </w: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第三十四条</w:t>
      </w:r>
      <w:r>
        <w:rPr>
          <w:rFonts w:hint="eastAsia" w:ascii="仿宋_GB2312" w:hAnsi="仿宋_GB2312" w:eastAsia="仿宋_GB2312" w:cs="仿宋_GB2312"/>
          <w:b w:val="0"/>
          <w:bCs/>
          <w:color w:val="auto"/>
          <w:sz w:val="32"/>
          <w:szCs w:val="32"/>
          <w:highlight w:val="none"/>
          <w:lang w:val="en-US" w:eastAsia="zh-CN"/>
        </w:rPr>
        <w:t xml:space="preserve">  行政调解协议书自各方当事人签名或者盖章之日起生效。符合本办法第三十二条第二款规定的，自当事人签名或者盖章确认之日起生效。当事人另有约定的除外。</w:t>
      </w: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黑体" w:hAnsi="黑体" w:eastAsia="黑体" w:cs="黑体"/>
          <w:b w:val="0"/>
          <w:bCs/>
          <w:color w:val="auto"/>
          <w:kern w:val="2"/>
          <w:sz w:val="32"/>
          <w:szCs w:val="32"/>
          <w:highlight w:val="none"/>
          <w:lang w:val="en-US" w:eastAsia="zh-Hans"/>
        </w:rPr>
        <w:t>第</w:t>
      </w:r>
      <w:r>
        <w:rPr>
          <w:rFonts w:hint="eastAsia" w:ascii="黑体" w:hAnsi="黑体" w:eastAsia="黑体" w:cs="黑体"/>
          <w:b w:val="0"/>
          <w:bCs/>
          <w:color w:val="auto"/>
          <w:kern w:val="2"/>
          <w:sz w:val="32"/>
          <w:szCs w:val="32"/>
          <w:highlight w:val="none"/>
          <w:lang w:val="en-US" w:eastAsia="zh-CN"/>
        </w:rPr>
        <w:t>三十五</w:t>
      </w:r>
      <w:r>
        <w:rPr>
          <w:rFonts w:hint="eastAsia" w:ascii="黑体" w:hAnsi="黑体" w:eastAsia="黑体" w:cs="黑体"/>
          <w:b w:val="0"/>
          <w:bCs/>
          <w:color w:val="auto"/>
          <w:kern w:val="2"/>
          <w:sz w:val="32"/>
          <w:szCs w:val="32"/>
          <w:highlight w:val="none"/>
          <w:lang w:val="en-US" w:eastAsia="zh-Hans"/>
        </w:rPr>
        <w:t>条</w:t>
      </w:r>
      <w:r>
        <w:rPr>
          <w:rFonts w:hint="eastAsia" w:ascii="仿宋_GB2312" w:hAnsi="仿宋_GB2312" w:eastAsia="仿宋_GB2312" w:cs="仿宋_GB2312"/>
          <w:b w:val="0"/>
          <w:bCs/>
          <w:color w:val="auto"/>
          <w:sz w:val="32"/>
          <w:szCs w:val="32"/>
          <w:highlight w:val="none"/>
          <w:lang w:val="en-US" w:eastAsia="zh-CN"/>
        </w:rPr>
        <w:t xml:space="preserve">  行政调解协议对当事人具有法律约束力，当事人应当按照协议履行义务。</w:t>
      </w:r>
      <w:bookmarkStart w:id="29" w:name="33"/>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黑体" w:hAnsi="黑体" w:eastAsia="黑体" w:cs="黑体"/>
          <w:b w:val="0"/>
          <w:bCs/>
          <w:color w:val="auto"/>
          <w:kern w:val="2"/>
          <w:sz w:val="32"/>
          <w:szCs w:val="32"/>
          <w:highlight w:val="none"/>
          <w:lang w:val="en-US" w:eastAsia="zh-Hans"/>
        </w:rPr>
        <w:t>第</w:t>
      </w:r>
      <w:r>
        <w:rPr>
          <w:rFonts w:hint="eastAsia" w:ascii="黑体" w:hAnsi="黑体" w:eastAsia="黑体" w:cs="黑体"/>
          <w:b w:val="0"/>
          <w:bCs/>
          <w:color w:val="auto"/>
          <w:kern w:val="2"/>
          <w:sz w:val="32"/>
          <w:szCs w:val="32"/>
          <w:highlight w:val="none"/>
          <w:lang w:val="en-US" w:eastAsia="zh-CN"/>
        </w:rPr>
        <w:t>三十六</w:t>
      </w:r>
      <w:r>
        <w:rPr>
          <w:rFonts w:hint="eastAsia" w:ascii="黑体" w:hAnsi="黑体" w:eastAsia="黑体" w:cs="黑体"/>
          <w:b w:val="0"/>
          <w:bCs/>
          <w:color w:val="auto"/>
          <w:kern w:val="2"/>
          <w:sz w:val="32"/>
          <w:szCs w:val="32"/>
          <w:highlight w:val="none"/>
          <w:lang w:val="en-US" w:eastAsia="zh-Hans"/>
        </w:rPr>
        <w:t>条</w:t>
      </w:r>
      <w:bookmarkEnd w:id="29"/>
      <w:r>
        <w:rPr>
          <w:rFonts w:hint="eastAsia" w:ascii="仿宋_GB2312" w:hAnsi="仿宋_GB2312" w:eastAsia="仿宋_GB2312" w:cs="仿宋_GB2312"/>
          <w:b w:val="0"/>
          <w:bCs/>
          <w:color w:val="auto"/>
          <w:sz w:val="32"/>
          <w:szCs w:val="32"/>
          <w:highlight w:val="none"/>
          <w:lang w:val="en-US" w:eastAsia="zh-CN"/>
        </w:rPr>
        <w:t xml:space="preserve">  有关民事纠纷经行政调解达成调解协议且符合人民法院司法确认受案范围，当事人认为有必要的，可以自调解协议生效之日起30日内，共同向有管辖权的人民法院申请司法确认。</w:t>
      </w:r>
      <w:r>
        <w:rPr>
          <w:rFonts w:hint="eastAsia" w:ascii="仿宋_GB2312" w:hAnsi="仿宋_GB2312" w:eastAsia="仿宋_GB2312" w:cs="仿宋_GB2312"/>
          <w:b w:val="0"/>
          <w:bCs/>
          <w:i w:val="0"/>
          <w:color w:val="auto"/>
          <w:sz w:val="32"/>
          <w:szCs w:val="32"/>
          <w:highlight w:val="none"/>
        </w:rPr>
        <w:t>经人民法院</w:t>
      </w:r>
      <w:r>
        <w:rPr>
          <w:rFonts w:hint="eastAsia" w:ascii="仿宋_GB2312" w:hAnsi="仿宋_GB2312" w:eastAsia="仿宋_GB2312" w:cs="仿宋_GB2312"/>
          <w:b w:val="0"/>
          <w:bCs/>
          <w:i w:val="0"/>
          <w:color w:val="auto"/>
          <w:sz w:val="32"/>
          <w:szCs w:val="32"/>
          <w:highlight w:val="none"/>
          <w:lang w:eastAsia="zh-CN"/>
        </w:rPr>
        <w:t>裁定</w:t>
      </w:r>
      <w:r>
        <w:rPr>
          <w:rFonts w:hint="eastAsia" w:ascii="仿宋_GB2312" w:hAnsi="仿宋_GB2312" w:eastAsia="仿宋_GB2312" w:cs="仿宋_GB2312"/>
          <w:b w:val="0"/>
          <w:bCs/>
          <w:i w:val="0"/>
          <w:color w:val="auto"/>
          <w:sz w:val="32"/>
          <w:szCs w:val="32"/>
          <w:highlight w:val="none"/>
        </w:rPr>
        <w:t>有效的行政调解协议，一方当事人</w:t>
      </w:r>
      <w:r>
        <w:rPr>
          <w:rFonts w:hint="eastAsia" w:ascii="仿宋_GB2312" w:hAnsi="仿宋_GB2312" w:eastAsia="仿宋_GB2312" w:cs="仿宋_GB2312"/>
          <w:b w:val="0"/>
          <w:bCs/>
          <w:i w:val="0"/>
          <w:color w:val="auto"/>
          <w:sz w:val="32"/>
          <w:szCs w:val="32"/>
          <w:highlight w:val="none"/>
          <w:lang w:eastAsia="zh-CN"/>
        </w:rPr>
        <w:t>拒绝</w:t>
      </w:r>
      <w:r>
        <w:rPr>
          <w:rFonts w:hint="eastAsia" w:ascii="仿宋_GB2312" w:hAnsi="仿宋_GB2312" w:eastAsia="仿宋_GB2312" w:cs="仿宋_GB2312"/>
          <w:b w:val="0"/>
          <w:bCs/>
          <w:i w:val="0"/>
          <w:color w:val="auto"/>
          <w:sz w:val="32"/>
          <w:szCs w:val="32"/>
          <w:highlight w:val="none"/>
        </w:rPr>
        <w:t>履行或者</w:t>
      </w:r>
      <w:r>
        <w:rPr>
          <w:rFonts w:hint="eastAsia" w:ascii="仿宋_GB2312" w:hAnsi="仿宋_GB2312" w:eastAsia="仿宋_GB2312" w:cs="仿宋_GB2312"/>
          <w:b w:val="0"/>
          <w:bCs/>
          <w:i w:val="0"/>
          <w:color w:val="auto"/>
          <w:sz w:val="32"/>
          <w:szCs w:val="32"/>
          <w:highlight w:val="none"/>
          <w:lang w:eastAsia="zh-CN"/>
        </w:rPr>
        <w:t>未全部</w:t>
      </w:r>
      <w:r>
        <w:rPr>
          <w:rFonts w:hint="eastAsia" w:ascii="仿宋_GB2312" w:hAnsi="仿宋_GB2312" w:eastAsia="仿宋_GB2312" w:cs="仿宋_GB2312"/>
          <w:b w:val="0"/>
          <w:bCs/>
          <w:i w:val="0"/>
          <w:color w:val="auto"/>
          <w:sz w:val="32"/>
          <w:szCs w:val="32"/>
          <w:highlight w:val="none"/>
        </w:rPr>
        <w:t>履行的，对方当事人可以向人民法院申请执行。</w:t>
      </w: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有关民事纠纷经行政调解达成调解协议，当事人认为有必要的，可以依法申请公证。经公证的以给付为内容并载明债务人愿意接受强制执行承诺的行政调解协议，一方当事人不履行或者不适当履行的，对方当事人可以依法向有管辖权的人民法院申请执行。</w:t>
      </w: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以金钱或者有价证券给付为内容的有关民事纠纷的行政调解协议，债权人可以依法向人民法院申请支付令。</w:t>
      </w:r>
    </w:p>
    <w:p>
      <w:pPr>
        <w:keepNext w:val="0"/>
        <w:keepLines w:val="0"/>
        <w:pageBreakBefore w:val="0"/>
        <w:widowControl/>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黑体" w:hAnsi="黑体" w:eastAsia="黑体" w:cs="黑体"/>
          <w:b w:val="0"/>
          <w:bCs/>
          <w:color w:val="auto"/>
          <w:kern w:val="2"/>
          <w:sz w:val="32"/>
          <w:szCs w:val="32"/>
          <w:highlight w:val="none"/>
          <w:lang w:val="en-US" w:eastAsia="zh-Hans"/>
        </w:rPr>
        <w:t>第</w:t>
      </w:r>
      <w:r>
        <w:rPr>
          <w:rFonts w:hint="eastAsia" w:ascii="黑体" w:hAnsi="黑体" w:eastAsia="黑体" w:cs="黑体"/>
          <w:b w:val="0"/>
          <w:bCs/>
          <w:color w:val="auto"/>
          <w:kern w:val="2"/>
          <w:sz w:val="32"/>
          <w:szCs w:val="32"/>
          <w:highlight w:val="none"/>
          <w:lang w:val="en-US" w:eastAsia="zh-CN"/>
        </w:rPr>
        <w:t>三十七</w:t>
      </w:r>
      <w:r>
        <w:rPr>
          <w:rFonts w:hint="eastAsia" w:ascii="黑体" w:hAnsi="黑体" w:eastAsia="黑体" w:cs="黑体"/>
          <w:b w:val="0"/>
          <w:bCs/>
          <w:color w:val="auto"/>
          <w:kern w:val="2"/>
          <w:sz w:val="32"/>
          <w:szCs w:val="32"/>
          <w:highlight w:val="none"/>
          <w:lang w:val="en-US" w:eastAsia="zh-Hans"/>
        </w:rPr>
        <w:t>条</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行</w:t>
      </w:r>
      <w:r>
        <w:rPr>
          <w:rFonts w:hint="eastAsia" w:ascii="仿宋_GB2312" w:hAnsi="仿宋_GB2312" w:eastAsia="仿宋_GB2312" w:cs="仿宋_GB2312"/>
          <w:b w:val="0"/>
          <w:bCs/>
          <w:color w:val="auto"/>
          <w:sz w:val="32"/>
          <w:szCs w:val="32"/>
          <w:highlight w:val="none"/>
          <w:lang w:val="en-US" w:eastAsia="zh-CN"/>
        </w:rPr>
        <w:t>政调解机关应当建立行政调解工作档案，将行政调解申请、受理、工作过程、协议等相关材料装订成册，立卷归档，一案一卷，专人保管。</w:t>
      </w:r>
      <w:bookmarkStart w:id="30" w:name="_Toc972158746_WPSOffice_Level1"/>
    </w:p>
    <w:p>
      <w:pPr>
        <w:pStyle w:val="3"/>
        <w:keepNext w:val="0"/>
        <w:keepLines w:val="0"/>
        <w:pageBreakBefore w:val="0"/>
        <w:kinsoku/>
        <w:wordWrap/>
        <w:overflowPunct/>
        <w:topLinePunct w:val="0"/>
        <w:autoSpaceDE/>
        <w:autoSpaceDN/>
        <w:bidi w:val="0"/>
        <w:adjustRightInd/>
        <w:snapToGrid/>
        <w:spacing w:before="0" w:after="0" w:afterAutospacing="0" w:line="480" w:lineRule="auto"/>
        <w:ind w:firstLine="640" w:firstLineChars="200"/>
        <w:jc w:val="center"/>
        <w:textAlignment w:val="auto"/>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第</w:t>
      </w:r>
      <w:r>
        <w:rPr>
          <w:rFonts w:hint="eastAsia" w:ascii="黑体" w:hAnsi="黑体" w:eastAsia="黑体" w:cs="黑体"/>
          <w:b w:val="0"/>
          <w:bCs/>
          <w:color w:val="auto"/>
          <w:sz w:val="32"/>
          <w:szCs w:val="32"/>
          <w:highlight w:val="none"/>
          <w:lang w:val="en-US" w:eastAsia="zh-CN"/>
        </w:rPr>
        <w:t>六</w:t>
      </w:r>
      <w:r>
        <w:rPr>
          <w:rFonts w:hint="eastAsia" w:ascii="黑体" w:hAnsi="黑体" w:eastAsia="黑体" w:cs="黑体"/>
          <w:b w:val="0"/>
          <w:bCs/>
          <w:color w:val="auto"/>
          <w:sz w:val="32"/>
          <w:szCs w:val="32"/>
          <w:highlight w:val="none"/>
          <w:lang w:eastAsia="zh-CN"/>
        </w:rPr>
        <w:t>章</w:t>
      </w:r>
      <w:r>
        <w:rPr>
          <w:rFonts w:hint="eastAsia" w:ascii="黑体" w:hAnsi="黑体" w:eastAsia="黑体" w:cs="黑体"/>
          <w:b w:val="0"/>
          <w:bCs/>
          <w:color w:val="auto"/>
          <w:sz w:val="32"/>
          <w:szCs w:val="32"/>
          <w:highlight w:val="none"/>
          <w:lang w:val="en-US" w:eastAsia="zh-CN"/>
        </w:rPr>
        <w:t xml:space="preserve">   </w:t>
      </w:r>
      <w:r>
        <w:rPr>
          <w:rFonts w:hint="eastAsia" w:ascii="黑体" w:hAnsi="黑体" w:eastAsia="黑体" w:cs="黑体"/>
          <w:b w:val="0"/>
          <w:bCs/>
          <w:color w:val="auto"/>
          <w:sz w:val="32"/>
          <w:szCs w:val="32"/>
          <w:highlight w:val="none"/>
          <w:lang w:eastAsia="zh-CN"/>
        </w:rPr>
        <w:t>工作保障和监督</w:t>
      </w:r>
      <w:bookmarkEnd w:id="30"/>
    </w:p>
    <w:p>
      <w:pPr>
        <w:rPr>
          <w:rFonts w:hint="eastAsia"/>
          <w:lang w:eastAsia="zh-CN"/>
        </w:rPr>
      </w:pP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黑体" w:hAnsi="黑体" w:eastAsia="黑体" w:cs="黑体"/>
          <w:b w:val="0"/>
          <w:bCs/>
          <w:color w:val="auto"/>
          <w:kern w:val="2"/>
          <w:sz w:val="32"/>
          <w:szCs w:val="32"/>
          <w:highlight w:val="none"/>
          <w:lang w:eastAsia="zh-CN"/>
        </w:rPr>
        <w:t>第</w:t>
      </w:r>
      <w:r>
        <w:rPr>
          <w:rFonts w:hint="eastAsia" w:ascii="黑体" w:hAnsi="黑体" w:eastAsia="黑体" w:cs="黑体"/>
          <w:b w:val="0"/>
          <w:bCs/>
          <w:color w:val="auto"/>
          <w:kern w:val="2"/>
          <w:sz w:val="32"/>
          <w:szCs w:val="32"/>
          <w:highlight w:val="none"/>
          <w:lang w:val="en-US" w:eastAsia="zh-CN"/>
        </w:rPr>
        <w:t>三十八</w:t>
      </w:r>
      <w:r>
        <w:rPr>
          <w:rFonts w:hint="eastAsia" w:ascii="黑体" w:hAnsi="黑体" w:eastAsia="黑体" w:cs="黑体"/>
          <w:b w:val="0"/>
          <w:bCs/>
          <w:color w:val="auto"/>
          <w:kern w:val="2"/>
          <w:sz w:val="32"/>
          <w:szCs w:val="32"/>
          <w:highlight w:val="none"/>
          <w:lang w:eastAsia="zh-CN"/>
        </w:rPr>
        <w:t>条</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行政机关</w:t>
      </w:r>
      <w:r>
        <w:rPr>
          <w:rFonts w:hint="eastAsia" w:ascii="仿宋_GB2312" w:hAnsi="仿宋_GB2312" w:eastAsia="仿宋_GB2312" w:cs="仿宋_GB2312"/>
          <w:b w:val="0"/>
          <w:bCs/>
          <w:color w:val="auto"/>
          <w:sz w:val="32"/>
          <w:szCs w:val="32"/>
          <w:highlight w:val="none"/>
          <w:lang w:eastAsia="zh-CN"/>
        </w:rPr>
        <w:t>及相关组织</w:t>
      </w:r>
      <w:r>
        <w:rPr>
          <w:rFonts w:hint="eastAsia" w:ascii="仿宋_GB2312" w:hAnsi="仿宋_GB2312" w:eastAsia="仿宋_GB2312" w:cs="仿宋_GB2312"/>
          <w:b w:val="0"/>
          <w:bCs/>
          <w:color w:val="auto"/>
          <w:sz w:val="32"/>
          <w:szCs w:val="32"/>
          <w:highlight w:val="none"/>
          <w:lang w:val="en-US" w:eastAsia="zh-CN"/>
        </w:rPr>
        <w:t>应当配备相应的人员、办公场所和设施设备，保障行政调解工作正常开展。</w:t>
      </w: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rPr>
        <w:t>行政机关</w:t>
      </w:r>
      <w:r>
        <w:rPr>
          <w:rFonts w:hint="eastAsia" w:ascii="仿宋_GB2312" w:hAnsi="仿宋_GB2312" w:eastAsia="仿宋_GB2312" w:cs="仿宋_GB2312"/>
          <w:b w:val="0"/>
          <w:bCs/>
          <w:color w:val="auto"/>
          <w:sz w:val="32"/>
          <w:szCs w:val="32"/>
          <w:highlight w:val="none"/>
          <w:lang w:eastAsia="zh-CN"/>
        </w:rPr>
        <w:t>及相关组织</w:t>
      </w:r>
      <w:r>
        <w:rPr>
          <w:rFonts w:hint="eastAsia" w:ascii="仿宋_GB2312" w:hAnsi="仿宋_GB2312" w:eastAsia="仿宋_GB2312" w:cs="仿宋_GB2312"/>
          <w:b w:val="0"/>
          <w:bCs/>
          <w:color w:val="auto"/>
          <w:sz w:val="32"/>
          <w:szCs w:val="32"/>
          <w:highlight w:val="none"/>
          <w:lang w:val="en-US" w:eastAsia="zh-CN"/>
        </w:rPr>
        <w:t>可以根据需要成立行政调解委员会，具体负责开展行政调解工作。对消费者权益保护、交通损害赔偿、劳动保障、治安管理等行政调解任务较重的领域，相关部门应当成立行政调解委员会，并根据需要配置行政调解室、接待室。</w:t>
      </w: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有关</w:t>
      </w:r>
      <w:r>
        <w:rPr>
          <w:rFonts w:hint="eastAsia" w:ascii="仿宋_GB2312" w:hAnsi="仿宋_GB2312" w:eastAsia="仿宋_GB2312" w:cs="仿宋_GB2312"/>
          <w:b w:val="0"/>
          <w:bCs/>
          <w:color w:val="auto"/>
          <w:sz w:val="32"/>
          <w:szCs w:val="32"/>
          <w:highlight w:val="none"/>
        </w:rPr>
        <w:t>行政机关</w:t>
      </w:r>
      <w:r>
        <w:rPr>
          <w:rFonts w:hint="eastAsia" w:ascii="仿宋_GB2312" w:hAnsi="仿宋_GB2312" w:eastAsia="仿宋_GB2312" w:cs="仿宋_GB2312"/>
          <w:b w:val="0"/>
          <w:bCs/>
          <w:color w:val="auto"/>
          <w:sz w:val="32"/>
          <w:szCs w:val="32"/>
          <w:highlight w:val="none"/>
          <w:lang w:eastAsia="zh-CN"/>
        </w:rPr>
        <w:t>及相关组织</w:t>
      </w:r>
      <w:r>
        <w:rPr>
          <w:rFonts w:hint="eastAsia" w:ascii="仿宋_GB2312" w:hAnsi="仿宋_GB2312" w:eastAsia="仿宋_GB2312" w:cs="仿宋_GB2312"/>
          <w:b w:val="0"/>
          <w:bCs/>
          <w:color w:val="auto"/>
          <w:sz w:val="32"/>
          <w:szCs w:val="32"/>
          <w:highlight w:val="none"/>
          <w:lang w:val="en-US" w:eastAsia="zh-CN"/>
        </w:rPr>
        <w:t>应当将行政调解组织建立情况及时抄送同级司法行政机关。</w:t>
      </w:r>
    </w:p>
    <w:p>
      <w:pPr>
        <w:keepNext w:val="0"/>
        <w:keepLines w:val="0"/>
        <w:pageBreakBefore w:val="0"/>
        <w:widowControl/>
        <w:kinsoku/>
        <w:wordWrap/>
        <w:overflowPunct/>
        <w:topLinePunct w:val="0"/>
        <w:autoSpaceDE/>
        <w:autoSpaceDN/>
        <w:bidi w:val="0"/>
        <w:adjustRightInd/>
        <w:snapToGrid/>
        <w:spacing w:afterAutospacing="0" w:line="48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黑体" w:hAnsi="黑体" w:eastAsia="黑体" w:cs="黑体"/>
          <w:b w:val="0"/>
          <w:bCs/>
          <w:color w:val="auto"/>
          <w:kern w:val="2"/>
          <w:sz w:val="32"/>
          <w:szCs w:val="32"/>
          <w:highlight w:val="none"/>
          <w:lang w:val="en-US" w:eastAsia="zh-CN"/>
        </w:rPr>
        <w:t>第三十九条</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行政机关</w:t>
      </w:r>
      <w:r>
        <w:rPr>
          <w:rFonts w:hint="eastAsia" w:ascii="仿宋_GB2312" w:hAnsi="仿宋_GB2312" w:eastAsia="仿宋_GB2312" w:cs="仿宋_GB2312"/>
          <w:b w:val="0"/>
          <w:bCs/>
          <w:color w:val="auto"/>
          <w:sz w:val="32"/>
          <w:szCs w:val="32"/>
          <w:highlight w:val="none"/>
          <w:lang w:eastAsia="zh-CN"/>
        </w:rPr>
        <w:t>及相关组织</w:t>
      </w:r>
      <w:r>
        <w:rPr>
          <w:rFonts w:hint="eastAsia" w:ascii="仿宋_GB2312" w:hAnsi="仿宋_GB2312" w:eastAsia="仿宋_GB2312" w:cs="仿宋_GB2312"/>
          <w:b w:val="0"/>
          <w:bCs/>
          <w:color w:val="auto"/>
          <w:sz w:val="32"/>
          <w:szCs w:val="32"/>
          <w:highlight w:val="none"/>
          <w:lang w:val="en-US" w:eastAsia="zh-CN"/>
        </w:rPr>
        <w:t>可以建立行政调解员名录并向社会公布，积极引导、支持政府法律顾问、公职律师依法参与本单位行政调解工作。</w:t>
      </w:r>
    </w:p>
    <w:p>
      <w:pPr>
        <w:keepNext w:val="0"/>
        <w:keepLines w:val="0"/>
        <w:pageBreakBefore w:val="0"/>
        <w:widowControl/>
        <w:kinsoku/>
        <w:wordWrap/>
        <w:overflowPunct/>
        <w:topLinePunct w:val="0"/>
        <w:autoSpaceDE/>
        <w:autoSpaceDN/>
        <w:bidi w:val="0"/>
        <w:adjustRightInd/>
        <w:snapToGrid/>
        <w:spacing w:afterAutospacing="0" w:line="48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县级以上地方人民政府司法行政部门可以建立行政调解专家库，为行政调解工作提供专业意见。</w:t>
      </w:r>
    </w:p>
    <w:p>
      <w:pPr>
        <w:keepNext w:val="0"/>
        <w:keepLines w:val="0"/>
        <w:pageBreakBefore w:val="0"/>
        <w:widowControl/>
        <w:kinsoku/>
        <w:wordWrap/>
        <w:overflowPunct/>
        <w:topLinePunct w:val="0"/>
        <w:autoSpaceDE/>
        <w:autoSpaceDN/>
        <w:bidi w:val="0"/>
        <w:adjustRightInd/>
        <w:snapToGrid/>
        <w:spacing w:afterAutospacing="0" w:line="48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黑体" w:hAnsi="黑体" w:eastAsia="黑体" w:cs="黑体"/>
          <w:b w:val="0"/>
          <w:bCs/>
          <w:color w:val="auto"/>
          <w:kern w:val="2"/>
          <w:sz w:val="32"/>
          <w:szCs w:val="32"/>
          <w:highlight w:val="none"/>
          <w:lang w:val="en-US" w:eastAsia="zh-Hans"/>
        </w:rPr>
        <w:t>第</w:t>
      </w:r>
      <w:r>
        <w:rPr>
          <w:rFonts w:hint="eastAsia" w:ascii="黑体" w:hAnsi="黑体" w:eastAsia="黑体" w:cs="黑体"/>
          <w:b w:val="0"/>
          <w:bCs/>
          <w:color w:val="auto"/>
          <w:kern w:val="2"/>
          <w:sz w:val="32"/>
          <w:szCs w:val="32"/>
          <w:highlight w:val="none"/>
          <w:lang w:val="en-US" w:eastAsia="zh-CN"/>
        </w:rPr>
        <w:t>四十</w:t>
      </w:r>
      <w:r>
        <w:rPr>
          <w:rFonts w:hint="eastAsia" w:ascii="黑体" w:hAnsi="黑体" w:eastAsia="黑体" w:cs="黑体"/>
          <w:b w:val="0"/>
          <w:bCs/>
          <w:color w:val="auto"/>
          <w:kern w:val="2"/>
          <w:sz w:val="32"/>
          <w:szCs w:val="32"/>
          <w:highlight w:val="none"/>
          <w:lang w:val="en-US" w:eastAsia="zh-Hans"/>
        </w:rPr>
        <w:t>条</w:t>
      </w:r>
      <w:r>
        <w:rPr>
          <w:rFonts w:hint="eastAsia" w:ascii="仿宋_GB2312" w:hAnsi="仿宋_GB2312" w:eastAsia="仿宋_GB2312" w:cs="仿宋_GB2312"/>
          <w:b w:val="0"/>
          <w:bCs/>
          <w:color w:val="auto"/>
          <w:sz w:val="32"/>
          <w:szCs w:val="32"/>
          <w:highlight w:val="none"/>
          <w:lang w:val="en-US" w:eastAsia="zh-CN"/>
        </w:rPr>
        <w:t xml:space="preserve">  行政调解所需工作经费由同级财政保障。</w:t>
      </w:r>
    </w:p>
    <w:p>
      <w:pPr>
        <w:keepNext w:val="0"/>
        <w:keepLines w:val="0"/>
        <w:pageBreakBefore w:val="0"/>
        <w:widowControl/>
        <w:kinsoku/>
        <w:wordWrap/>
        <w:overflowPunct/>
        <w:topLinePunct w:val="0"/>
        <w:autoSpaceDE/>
        <w:autoSpaceDN/>
        <w:bidi w:val="0"/>
        <w:adjustRightInd/>
        <w:snapToGrid/>
        <w:spacing w:afterAutospacing="0" w:line="48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rPr>
        <w:t>行政机关</w:t>
      </w:r>
      <w:r>
        <w:rPr>
          <w:rFonts w:hint="eastAsia" w:ascii="仿宋_GB2312" w:hAnsi="仿宋_GB2312" w:eastAsia="仿宋_GB2312" w:cs="仿宋_GB2312"/>
          <w:b w:val="0"/>
          <w:bCs/>
          <w:color w:val="auto"/>
          <w:sz w:val="32"/>
          <w:szCs w:val="32"/>
          <w:highlight w:val="none"/>
          <w:lang w:eastAsia="zh-CN"/>
        </w:rPr>
        <w:t>及相关组织</w:t>
      </w:r>
      <w:r>
        <w:rPr>
          <w:rFonts w:hint="eastAsia" w:ascii="仿宋_GB2312" w:hAnsi="仿宋_GB2312" w:eastAsia="仿宋_GB2312" w:cs="仿宋_GB2312"/>
          <w:b w:val="0"/>
          <w:bCs/>
          <w:color w:val="auto"/>
          <w:sz w:val="32"/>
          <w:szCs w:val="32"/>
          <w:highlight w:val="none"/>
          <w:lang w:val="en-US" w:eastAsia="zh-CN"/>
        </w:rPr>
        <w:t>公职律师参与行政调解的，</w:t>
      </w:r>
      <w:r>
        <w:rPr>
          <w:rFonts w:hint="eastAsia" w:ascii="仿宋_GB2312" w:hAnsi="仿宋_GB2312" w:eastAsia="仿宋_GB2312" w:cs="仿宋_GB2312"/>
          <w:b w:val="0"/>
          <w:bCs/>
          <w:color w:val="auto"/>
          <w:sz w:val="32"/>
          <w:szCs w:val="32"/>
          <w:highlight w:val="none"/>
        </w:rPr>
        <w:t>行政机关</w:t>
      </w:r>
      <w:r>
        <w:rPr>
          <w:rFonts w:hint="eastAsia" w:ascii="仿宋_GB2312" w:hAnsi="仿宋_GB2312" w:eastAsia="仿宋_GB2312" w:cs="仿宋_GB2312"/>
          <w:b w:val="0"/>
          <w:bCs/>
          <w:color w:val="auto"/>
          <w:sz w:val="32"/>
          <w:szCs w:val="32"/>
          <w:highlight w:val="none"/>
          <w:lang w:eastAsia="zh-CN"/>
        </w:rPr>
        <w:t>及相关组织</w:t>
      </w:r>
      <w:r>
        <w:rPr>
          <w:rFonts w:hint="eastAsia" w:ascii="仿宋_GB2312" w:hAnsi="仿宋_GB2312" w:eastAsia="仿宋_GB2312" w:cs="仿宋_GB2312"/>
          <w:b w:val="0"/>
          <w:bCs/>
          <w:color w:val="auto"/>
          <w:sz w:val="32"/>
          <w:szCs w:val="32"/>
          <w:highlight w:val="none"/>
          <w:lang w:val="en-US" w:eastAsia="zh-CN"/>
        </w:rPr>
        <w:t>应当给予工作保障。</w:t>
      </w: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黑体" w:hAnsi="黑体" w:eastAsia="黑体" w:cs="黑体"/>
          <w:b w:val="0"/>
          <w:bCs/>
          <w:color w:val="auto"/>
          <w:kern w:val="2"/>
          <w:sz w:val="32"/>
          <w:szCs w:val="32"/>
          <w:highlight w:val="none"/>
          <w:lang w:val="en-US" w:eastAsia="zh-Hans"/>
        </w:rPr>
        <w:t>第</w:t>
      </w:r>
      <w:r>
        <w:rPr>
          <w:rFonts w:hint="eastAsia" w:ascii="黑体" w:hAnsi="黑体" w:eastAsia="黑体" w:cs="黑体"/>
          <w:b w:val="0"/>
          <w:bCs/>
          <w:color w:val="auto"/>
          <w:kern w:val="2"/>
          <w:sz w:val="32"/>
          <w:szCs w:val="32"/>
          <w:highlight w:val="none"/>
          <w:lang w:val="en-US" w:eastAsia="zh-CN"/>
        </w:rPr>
        <w:t>四十一</w:t>
      </w:r>
      <w:r>
        <w:rPr>
          <w:rFonts w:hint="eastAsia" w:ascii="黑体" w:hAnsi="黑体" w:eastAsia="黑体" w:cs="黑体"/>
          <w:b w:val="0"/>
          <w:bCs/>
          <w:color w:val="auto"/>
          <w:kern w:val="2"/>
          <w:sz w:val="32"/>
          <w:szCs w:val="32"/>
          <w:highlight w:val="none"/>
          <w:lang w:val="en-US" w:eastAsia="zh-Hans"/>
        </w:rPr>
        <w:t>条</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行政机关</w:t>
      </w:r>
      <w:r>
        <w:rPr>
          <w:rFonts w:hint="eastAsia" w:ascii="仿宋_GB2312" w:hAnsi="仿宋_GB2312" w:eastAsia="仿宋_GB2312" w:cs="仿宋_GB2312"/>
          <w:b w:val="0"/>
          <w:bCs/>
          <w:color w:val="auto"/>
          <w:sz w:val="32"/>
          <w:szCs w:val="32"/>
          <w:highlight w:val="none"/>
          <w:lang w:eastAsia="zh-CN"/>
        </w:rPr>
        <w:t>及相关组织</w:t>
      </w:r>
      <w:r>
        <w:rPr>
          <w:rFonts w:hint="eastAsia" w:ascii="仿宋_GB2312" w:hAnsi="仿宋_GB2312" w:eastAsia="仿宋_GB2312" w:cs="仿宋_GB2312"/>
          <w:b w:val="0"/>
          <w:bCs/>
          <w:color w:val="auto"/>
          <w:sz w:val="32"/>
          <w:szCs w:val="32"/>
          <w:highlight w:val="none"/>
          <w:lang w:val="en-US" w:eastAsia="zh-CN"/>
        </w:rPr>
        <w:t>应当建立健全行政调解工作信息报告和统计分析制度，及时总结交流行政调解工作经验做法，定期对行政调解案件数量、争议纠纷类型、结案方式等情况进行统计分析，及时向同级司法行政部门报送，并纳入法治政府建设年度报告。</w:t>
      </w:r>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outlineLvl w:val="9"/>
        <w:rPr>
          <w:rFonts w:hint="eastAsia" w:ascii="仿宋_GB2312" w:hAnsi="仿宋_GB2312" w:eastAsia="仿宋_GB2312" w:cs="仿宋_GB2312"/>
          <w:b w:val="0"/>
          <w:bCs/>
          <w:color w:val="auto"/>
          <w:kern w:val="2"/>
          <w:sz w:val="32"/>
          <w:szCs w:val="32"/>
          <w:highlight w:val="none"/>
          <w:lang w:eastAsia="zh-CN"/>
        </w:rPr>
      </w:pPr>
      <w:r>
        <w:rPr>
          <w:rFonts w:hint="eastAsia" w:ascii="黑体" w:hAnsi="黑体" w:eastAsia="黑体" w:cs="黑体"/>
          <w:b w:val="0"/>
          <w:bCs/>
          <w:color w:val="auto"/>
          <w:kern w:val="2"/>
          <w:sz w:val="32"/>
          <w:szCs w:val="32"/>
          <w:highlight w:val="none"/>
          <w:lang w:val="en-US" w:eastAsia="zh-Hans"/>
        </w:rPr>
        <w:t>第</w:t>
      </w:r>
      <w:r>
        <w:rPr>
          <w:rFonts w:hint="eastAsia" w:ascii="黑体" w:hAnsi="黑体" w:eastAsia="黑体" w:cs="黑体"/>
          <w:b w:val="0"/>
          <w:bCs/>
          <w:color w:val="auto"/>
          <w:kern w:val="2"/>
          <w:sz w:val="32"/>
          <w:szCs w:val="32"/>
          <w:highlight w:val="none"/>
          <w:lang w:val="en-US" w:eastAsia="zh-CN"/>
        </w:rPr>
        <w:t>四十二</w:t>
      </w:r>
      <w:r>
        <w:rPr>
          <w:rFonts w:hint="eastAsia" w:ascii="黑体" w:hAnsi="黑体" w:eastAsia="黑体" w:cs="黑体"/>
          <w:b w:val="0"/>
          <w:bCs/>
          <w:color w:val="auto"/>
          <w:kern w:val="2"/>
          <w:sz w:val="32"/>
          <w:szCs w:val="32"/>
          <w:highlight w:val="none"/>
          <w:lang w:val="en-US" w:eastAsia="zh-Hans"/>
        </w:rPr>
        <w:t>条</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行政机关</w:t>
      </w:r>
      <w:r>
        <w:rPr>
          <w:rFonts w:hint="eastAsia" w:ascii="仿宋_GB2312" w:hAnsi="仿宋_GB2312" w:eastAsia="仿宋_GB2312" w:cs="仿宋_GB2312"/>
          <w:b w:val="0"/>
          <w:bCs/>
          <w:color w:val="auto"/>
          <w:sz w:val="32"/>
          <w:szCs w:val="32"/>
          <w:highlight w:val="none"/>
          <w:lang w:eastAsia="zh-CN"/>
        </w:rPr>
        <w:t>及相关组织</w:t>
      </w:r>
      <w:r>
        <w:rPr>
          <w:rFonts w:hint="eastAsia" w:ascii="仿宋_GB2312" w:hAnsi="仿宋_GB2312" w:eastAsia="仿宋_GB2312" w:cs="仿宋_GB2312"/>
          <w:b w:val="0"/>
          <w:bCs/>
          <w:color w:val="auto"/>
          <w:sz w:val="32"/>
          <w:szCs w:val="32"/>
          <w:highlight w:val="none"/>
          <w:lang w:val="en-US" w:eastAsia="zh-CN"/>
        </w:rPr>
        <w:t>应当建立行政调解工作目标责任制，对本地区、本部门开展民事纠纷行政调解的效果进行全面评估。</w:t>
      </w:r>
      <w:bookmarkStart w:id="31" w:name="_Toc1760878403_WPSOffice_Level1"/>
    </w:p>
    <w:p>
      <w:pPr>
        <w:pStyle w:val="3"/>
        <w:keepNext w:val="0"/>
        <w:keepLines w:val="0"/>
        <w:pageBreakBefore w:val="0"/>
        <w:kinsoku/>
        <w:wordWrap/>
        <w:overflowPunct/>
        <w:topLinePunct w:val="0"/>
        <w:autoSpaceDE/>
        <w:autoSpaceDN/>
        <w:bidi w:val="0"/>
        <w:adjustRightInd/>
        <w:snapToGrid/>
        <w:spacing w:before="0" w:after="0" w:line="480" w:lineRule="auto"/>
        <w:ind w:firstLine="640" w:firstLineChars="200"/>
        <w:jc w:val="center"/>
        <w:rPr>
          <w:rFonts w:hint="eastAsia" w:ascii="仿宋_GB2312" w:hAnsi="仿宋_GB2312" w:eastAsia="仿宋_GB2312" w:cs="仿宋_GB2312"/>
          <w:b w:val="0"/>
          <w:bCs/>
          <w:color w:val="auto"/>
          <w:kern w:val="2"/>
          <w:sz w:val="32"/>
          <w:szCs w:val="32"/>
          <w:highlight w:val="none"/>
          <w:lang w:eastAsia="zh-CN"/>
        </w:rPr>
      </w:pPr>
      <w:r>
        <w:rPr>
          <w:rFonts w:hint="eastAsia" w:ascii="黑体" w:hAnsi="黑体" w:eastAsia="黑体" w:cs="黑体"/>
          <w:b w:val="0"/>
          <w:bCs/>
          <w:color w:val="auto"/>
          <w:kern w:val="2"/>
          <w:sz w:val="32"/>
          <w:szCs w:val="32"/>
          <w:highlight w:val="none"/>
          <w:lang w:eastAsia="zh-CN"/>
        </w:rPr>
        <w:t>第</w:t>
      </w:r>
      <w:r>
        <w:rPr>
          <w:rFonts w:hint="eastAsia" w:ascii="黑体" w:hAnsi="黑体" w:eastAsia="黑体" w:cs="黑体"/>
          <w:b w:val="0"/>
          <w:bCs/>
          <w:color w:val="auto"/>
          <w:kern w:val="2"/>
          <w:sz w:val="32"/>
          <w:szCs w:val="32"/>
          <w:highlight w:val="none"/>
          <w:lang w:val="en-US" w:eastAsia="zh-CN"/>
        </w:rPr>
        <w:t>七</w:t>
      </w:r>
      <w:r>
        <w:rPr>
          <w:rFonts w:hint="eastAsia" w:ascii="黑体" w:hAnsi="黑体" w:eastAsia="黑体" w:cs="黑体"/>
          <w:b w:val="0"/>
          <w:bCs/>
          <w:color w:val="auto"/>
          <w:kern w:val="2"/>
          <w:sz w:val="32"/>
          <w:szCs w:val="32"/>
          <w:highlight w:val="none"/>
          <w:lang w:eastAsia="zh-CN"/>
        </w:rPr>
        <w:t>章</w:t>
      </w:r>
      <w:r>
        <w:rPr>
          <w:rFonts w:hint="eastAsia" w:ascii="黑体" w:hAnsi="黑体" w:eastAsia="黑体" w:cs="黑体"/>
          <w:b w:val="0"/>
          <w:bCs/>
          <w:color w:val="auto"/>
          <w:kern w:val="2"/>
          <w:sz w:val="32"/>
          <w:szCs w:val="32"/>
          <w:highlight w:val="none"/>
          <w:lang w:val="en-US" w:eastAsia="zh-CN"/>
        </w:rPr>
        <w:t xml:space="preserve">   </w:t>
      </w:r>
      <w:r>
        <w:rPr>
          <w:rFonts w:hint="eastAsia" w:ascii="黑体" w:hAnsi="黑体" w:eastAsia="黑体" w:cs="黑体"/>
          <w:b w:val="0"/>
          <w:bCs/>
          <w:color w:val="auto"/>
          <w:kern w:val="2"/>
          <w:sz w:val="32"/>
          <w:szCs w:val="32"/>
          <w:highlight w:val="none"/>
          <w:lang w:eastAsia="zh-CN"/>
        </w:rPr>
        <w:t>附</w:t>
      </w:r>
      <w:r>
        <w:rPr>
          <w:rFonts w:hint="eastAsia" w:ascii="黑体" w:hAnsi="黑体" w:eastAsia="黑体" w:cs="黑体"/>
          <w:b w:val="0"/>
          <w:bCs/>
          <w:color w:val="auto"/>
          <w:kern w:val="2"/>
          <w:sz w:val="32"/>
          <w:szCs w:val="32"/>
          <w:highlight w:val="none"/>
          <w:lang w:val="en-US" w:eastAsia="zh-CN"/>
        </w:rPr>
        <w:t xml:space="preserve">  </w:t>
      </w:r>
      <w:r>
        <w:rPr>
          <w:rFonts w:hint="eastAsia" w:ascii="黑体" w:hAnsi="黑体" w:eastAsia="黑体" w:cs="黑体"/>
          <w:b w:val="0"/>
          <w:bCs/>
          <w:color w:val="auto"/>
          <w:kern w:val="2"/>
          <w:sz w:val="32"/>
          <w:szCs w:val="32"/>
          <w:highlight w:val="none"/>
          <w:lang w:eastAsia="zh-CN"/>
        </w:rPr>
        <w:t>则</w:t>
      </w:r>
      <w:bookmarkEnd w:id="31"/>
    </w:p>
    <w:p>
      <w:pPr>
        <w:keepNext w:val="0"/>
        <w:keepLines w:val="0"/>
        <w:pageBreakBefore w:val="0"/>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黑体" w:hAnsi="黑体" w:eastAsia="黑体" w:cs="黑体"/>
          <w:b w:val="0"/>
          <w:bCs/>
          <w:color w:val="auto"/>
          <w:kern w:val="2"/>
          <w:sz w:val="32"/>
          <w:szCs w:val="32"/>
          <w:highlight w:val="none"/>
          <w:lang w:val="en-US" w:eastAsia="zh-CN"/>
        </w:rPr>
        <w:t>第四十三条</w:t>
      </w:r>
      <w:r>
        <w:rPr>
          <w:rFonts w:hint="eastAsia" w:ascii="仿宋_GB2312" w:hAnsi="仿宋_GB2312" w:eastAsia="仿宋_GB2312" w:cs="仿宋_GB2312"/>
          <w:b w:val="0"/>
          <w:bCs/>
          <w:color w:val="auto"/>
          <w:kern w:val="2"/>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lang w:val="en-US" w:eastAsia="zh-CN"/>
        </w:rPr>
        <w:t>本办法所称的“以上”，包括本数；所称的“超过”，不包括本数。</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80" w:lineRule="auto"/>
        <w:ind w:firstLine="640"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黑体" w:hAnsi="黑体" w:eastAsia="黑体" w:cs="黑体"/>
          <w:b w:val="0"/>
          <w:bCs/>
          <w:color w:val="auto"/>
          <w:kern w:val="2"/>
          <w:sz w:val="32"/>
          <w:szCs w:val="32"/>
          <w:highlight w:val="none"/>
          <w:lang w:val="en-US" w:eastAsia="zh-Hans"/>
        </w:rPr>
        <w:t>第</w:t>
      </w:r>
      <w:r>
        <w:rPr>
          <w:rFonts w:hint="eastAsia" w:ascii="黑体" w:hAnsi="黑体" w:eastAsia="黑体" w:cs="黑体"/>
          <w:b w:val="0"/>
          <w:bCs/>
          <w:color w:val="auto"/>
          <w:kern w:val="2"/>
          <w:sz w:val="32"/>
          <w:szCs w:val="32"/>
          <w:highlight w:val="none"/>
          <w:lang w:val="en-US" w:eastAsia="zh-CN"/>
        </w:rPr>
        <w:t>四十四</w:t>
      </w:r>
      <w:r>
        <w:rPr>
          <w:rFonts w:hint="eastAsia" w:ascii="黑体" w:hAnsi="黑体" w:eastAsia="黑体" w:cs="黑体"/>
          <w:b w:val="0"/>
          <w:bCs/>
          <w:color w:val="auto"/>
          <w:kern w:val="2"/>
          <w:sz w:val="32"/>
          <w:szCs w:val="32"/>
          <w:highlight w:val="none"/>
          <w:lang w:val="en-US" w:eastAsia="zh-Hans"/>
        </w:rPr>
        <w:t>条</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本</w:t>
      </w:r>
      <w:r>
        <w:rPr>
          <w:rFonts w:hint="eastAsia" w:ascii="仿宋_GB2312" w:hAnsi="仿宋_GB2312" w:eastAsia="仿宋_GB2312" w:cs="仿宋_GB2312"/>
          <w:b w:val="0"/>
          <w:bCs/>
          <w:color w:val="auto"/>
          <w:sz w:val="32"/>
          <w:szCs w:val="32"/>
          <w:highlight w:val="none"/>
          <w:lang w:val="en-US" w:eastAsia="zh-CN"/>
        </w:rPr>
        <w:t>办法自2023</w:t>
      </w:r>
      <w:r>
        <w:rPr>
          <w:rFonts w:hint="eastAsia" w:ascii="仿宋_GB2312" w:hAnsi="仿宋_GB2312" w:eastAsia="仿宋_GB2312" w:cs="仿宋_GB2312"/>
          <w:b w:val="0"/>
          <w:bCs/>
          <w:color w:val="auto"/>
          <w:sz w:val="32"/>
          <w:szCs w:val="32"/>
          <w:highlight w:val="none"/>
          <w:lang w:val="en-US" w:eastAsia="zh-Hans"/>
        </w:rPr>
        <w:t>年</w:t>
      </w:r>
      <w:r>
        <w:rPr>
          <w:rFonts w:hint="eastAsia" w:ascii="仿宋_GB2312" w:hAnsi="仿宋_GB2312" w:eastAsia="仿宋_GB2312" w:cs="仿宋_GB2312"/>
          <w:b w:val="0"/>
          <w:bCs/>
          <w:color w:val="auto"/>
          <w:sz w:val="32"/>
          <w:szCs w:val="32"/>
          <w:highlight w:val="none"/>
          <w:lang w:val="en-US" w:eastAsia="zh-CN"/>
        </w:rPr>
        <w:t>3</w:t>
      </w:r>
      <w:r>
        <w:rPr>
          <w:rFonts w:hint="eastAsia" w:ascii="仿宋_GB2312" w:hAnsi="仿宋_GB2312" w:eastAsia="仿宋_GB2312" w:cs="仿宋_GB2312"/>
          <w:b w:val="0"/>
          <w:bCs/>
          <w:color w:val="auto"/>
          <w:sz w:val="32"/>
          <w:szCs w:val="32"/>
          <w:highlight w:val="none"/>
          <w:lang w:val="en-US" w:eastAsia="zh-Hans"/>
        </w:rPr>
        <w:t>月</w:t>
      </w:r>
      <w:r>
        <w:rPr>
          <w:rFonts w:hint="eastAsia" w:ascii="仿宋_GB2312" w:hAnsi="仿宋_GB2312" w:eastAsia="仿宋_GB2312" w:cs="仿宋_GB2312"/>
          <w:b w:val="0"/>
          <w:bCs/>
          <w:color w:val="auto"/>
          <w:sz w:val="32"/>
          <w:szCs w:val="32"/>
          <w:highlight w:val="none"/>
          <w:lang w:val="en-US" w:eastAsia="zh-CN"/>
        </w:rPr>
        <w:t>1日起施行。</w:t>
      </w:r>
    </w:p>
    <w:p>
      <w:pPr>
        <w:rPr>
          <w:rFonts w:hint="eastAsia" w:ascii="仿宋_GB2312" w:hAnsi="仿宋_GB2312" w:eastAsia="仿宋_GB2312" w:cs="仿宋_GB2312"/>
          <w:b w:val="0"/>
          <w:bCs/>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0000000000000000000"/>
    <w:charset w:val="86"/>
    <w:family w:val="auto"/>
    <w:pitch w:val="default"/>
    <w:sig w:usb0="00000000" w:usb1="00000000" w:usb2="00000016" w:usb3="00000000" w:csb0="00040001" w:csb1="00000000"/>
  </w:font>
  <w:font w:name="方正书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简体">
    <w:panose1 w:val="02000000000000000000"/>
    <w:charset w:val="86"/>
    <w:family w:val="script"/>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501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5016" w:leftChars="2280" w:firstLine="6400" w:firstLineChars="2000"/>
      <w:jc w:val="right"/>
      <w:rPr>
        <w:rFonts w:ascii="宋体" w:hAnsi="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cs="宋体"/>
        <w:b/>
        <w:bCs/>
        <w:color w:val="005192"/>
        <w:sz w:val="28"/>
        <w:szCs w:val="44"/>
      </w:rPr>
      <w:t xml:space="preserve">四川省人民政府发布     </w:t>
    </w:r>
  </w:p>
  <w:p>
    <w:pPr>
      <w:pStyle w:val="7"/>
      <w:wordWrap w:val="0"/>
      <w:ind w:left="5016"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val="0"/>
      <w:textAlignment w:val="center"/>
      <w:rPr>
        <w:rFonts w:ascii="宋体" w:hAnsi="宋体" w:cs="宋体"/>
        <w:b/>
        <w:bCs/>
        <w:color w:val="005192"/>
        <w:sz w:val="32"/>
      </w:rPr>
    </w:pPr>
    <w:r>
      <w:rPr>
        <w:rFonts w:hint="eastAsia"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widowControl w:val="0"/>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四川省人民政府规章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yYmIyZjI4MWZmY2MzNjk3NDA5Y2FhYjgyNGU5OWIifQ=="/>
  </w:docVars>
  <w:rsids>
    <w:rsidRoot w:val="7C9011D9"/>
    <w:rsid w:val="000E656E"/>
    <w:rsid w:val="001034A7"/>
    <w:rsid w:val="00370AE9"/>
    <w:rsid w:val="004D0ECA"/>
    <w:rsid w:val="005F07AB"/>
    <w:rsid w:val="00784363"/>
    <w:rsid w:val="0086582C"/>
    <w:rsid w:val="008E4C5F"/>
    <w:rsid w:val="009804D4"/>
    <w:rsid w:val="009A2F00"/>
    <w:rsid w:val="009C0FEC"/>
    <w:rsid w:val="00BA2082"/>
    <w:rsid w:val="00D77ACA"/>
    <w:rsid w:val="00EF2808"/>
    <w:rsid w:val="019E71BD"/>
    <w:rsid w:val="03A831D5"/>
    <w:rsid w:val="05440955"/>
    <w:rsid w:val="066E5641"/>
    <w:rsid w:val="06A67E67"/>
    <w:rsid w:val="080F63D8"/>
    <w:rsid w:val="09341458"/>
    <w:rsid w:val="0CE65B2C"/>
    <w:rsid w:val="0D5C5CF8"/>
    <w:rsid w:val="101F0538"/>
    <w:rsid w:val="10254BD6"/>
    <w:rsid w:val="13A23C39"/>
    <w:rsid w:val="152D2DCA"/>
    <w:rsid w:val="1B3F107D"/>
    <w:rsid w:val="1C2F445F"/>
    <w:rsid w:val="1C86388D"/>
    <w:rsid w:val="1E466CFF"/>
    <w:rsid w:val="22440422"/>
    <w:rsid w:val="23F13B42"/>
    <w:rsid w:val="25BC157F"/>
    <w:rsid w:val="26F83633"/>
    <w:rsid w:val="2A206E04"/>
    <w:rsid w:val="2F9D68BF"/>
    <w:rsid w:val="2FCE575A"/>
    <w:rsid w:val="2FFC7EDE"/>
    <w:rsid w:val="31A15F24"/>
    <w:rsid w:val="3775564D"/>
    <w:rsid w:val="39A232A0"/>
    <w:rsid w:val="3A1C636B"/>
    <w:rsid w:val="3B5A6BBB"/>
    <w:rsid w:val="3BE16DE7"/>
    <w:rsid w:val="3D153F92"/>
    <w:rsid w:val="3E0E7999"/>
    <w:rsid w:val="3EDA13A6"/>
    <w:rsid w:val="3F5730EA"/>
    <w:rsid w:val="426562BA"/>
    <w:rsid w:val="42F058B7"/>
    <w:rsid w:val="436109F6"/>
    <w:rsid w:val="441A38D4"/>
    <w:rsid w:val="49B91357"/>
    <w:rsid w:val="4AEC52E8"/>
    <w:rsid w:val="4BC77339"/>
    <w:rsid w:val="4C9236C5"/>
    <w:rsid w:val="4E2A37E2"/>
    <w:rsid w:val="4F751AD4"/>
    <w:rsid w:val="50414CBD"/>
    <w:rsid w:val="51E247E8"/>
    <w:rsid w:val="526F08CC"/>
    <w:rsid w:val="52F46F0B"/>
    <w:rsid w:val="55274B4C"/>
    <w:rsid w:val="55E064E0"/>
    <w:rsid w:val="5A4F3EF9"/>
    <w:rsid w:val="5D0D7ECB"/>
    <w:rsid w:val="5D520E27"/>
    <w:rsid w:val="608816D1"/>
    <w:rsid w:val="63FD1F6A"/>
    <w:rsid w:val="69D03F98"/>
    <w:rsid w:val="6B16644B"/>
    <w:rsid w:val="6BF75DB0"/>
    <w:rsid w:val="6C09760A"/>
    <w:rsid w:val="6C0E3A78"/>
    <w:rsid w:val="6D0E3F22"/>
    <w:rsid w:val="714A2531"/>
    <w:rsid w:val="71E9213F"/>
    <w:rsid w:val="747D3D77"/>
    <w:rsid w:val="75AA717D"/>
    <w:rsid w:val="7C8C5323"/>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NEU-BZ" w:eastAsia="宋体" w:cs="Times New Roman"/>
      <w:sz w:val="22"/>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4">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PlainText"/>
    <w:basedOn w:val="1"/>
    <w:qFormat/>
    <w:uiPriority w:val="0"/>
    <w:pPr>
      <w:textAlignment w:val="baseline"/>
    </w:pPr>
    <w:rPr>
      <w:rFonts w:ascii="宋体" w:hAnsi="Courier New"/>
    </w:r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10">
    <w:name w:val="Strong"/>
    <w:basedOn w:val="9"/>
    <w:qFormat/>
    <w:uiPriority w:val="22"/>
    <w:rPr>
      <w:b/>
      <w:bCs/>
    </w:rPr>
  </w:style>
  <w:style w:type="character" w:styleId="11">
    <w:name w:val="page number"/>
    <w:basedOn w:val="9"/>
    <w:qFormat/>
    <w:uiPriority w:val="0"/>
  </w:style>
  <w:style w:type="paragraph" w:customStyle="1" w:styleId="12">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13">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4">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5">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6">
    <w:name w:val="批注框文本 字符"/>
    <w:basedOn w:val="9"/>
    <w:link w:val="5"/>
    <w:qFormat/>
    <w:uiPriority w:val="0"/>
    <w:rPr>
      <w:rFonts w:ascii="Calibri" w:hAnsi="NEU-BZ"/>
      <w:sz w:val="18"/>
      <w:szCs w:val="18"/>
    </w:rPr>
  </w:style>
  <w:style w:type="paragraph" w:styleId="17">
    <w:name w:val="List Paragraph"/>
    <w:basedOn w:val="1"/>
    <w:qFormat/>
    <w:uiPriority w:val="99"/>
    <w:pPr>
      <w:ind w:firstLine="420" w:firstLineChars="200"/>
    </w:pPr>
  </w:style>
  <w:style w:type="paragraph" w:customStyle="1" w:styleId="18">
    <w:name w:val="常用样式（方正仿宋简）"/>
    <w:basedOn w:val="1"/>
    <w:unhideWhenUsed/>
    <w:qFormat/>
    <w:uiPriority w:val="0"/>
    <w:pPr>
      <w:spacing w:line="560" w:lineRule="exact"/>
      <w:ind w:firstLine="640" w:firstLineChars="200"/>
    </w:pPr>
    <w:rPr>
      <w:rFonts w:ascii="Calibri" w:hAnsi="Calibri" w:eastAsia="方正仿宋简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5627</Words>
  <Characters>5643</Characters>
  <Lines>3</Lines>
  <Paragraphs>9</Paragraphs>
  <TotalTime>27</TotalTime>
  <ScaleCrop>false</ScaleCrop>
  <LinksUpToDate>false</LinksUpToDate>
  <CharactersWithSpaces>5762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2021-11-11T02:41:00Z</dcterms:created>
  <dc:creator>t</dc:creator>
  <cp:lastModifiedBy>86153</cp:lastModifiedBy>
  <cp:lastPrinted>2021-09-22T01:19:00Z</cp:lastPrinted>
  <dcterms:modified xsi:type="dcterms:W3CDTF">2024-05-22T02:49:00Z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B4155C16FD10481A91B9AD37C8745C8B_13</vt:lpwstr>
  </property>
</Properties>
</file>