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82C" w:rsidRDefault="0086582C">
      <w:pPr>
        <w:adjustRightInd w:val="0"/>
        <w:snapToGrid w:val="0"/>
        <w:spacing w:line="600" w:lineRule="exact"/>
        <w:jc w:val="center"/>
        <w:rPr>
          <w:rFonts w:ascii="方正小标宋简体" w:eastAsia="方正小标宋简体"/>
          <w:sz w:val="44"/>
          <w:szCs w:val="44"/>
        </w:rPr>
      </w:pPr>
    </w:p>
    <w:p w:rsidR="0086582C" w:rsidRDefault="0086582C">
      <w:pPr>
        <w:adjustRightInd w:val="0"/>
        <w:snapToGrid w:val="0"/>
        <w:spacing w:line="600" w:lineRule="exact"/>
        <w:jc w:val="center"/>
        <w:rPr>
          <w:rFonts w:ascii="方正小标宋简体" w:eastAsia="方正小标宋简体"/>
          <w:sz w:val="44"/>
          <w:szCs w:val="44"/>
        </w:rPr>
      </w:pPr>
    </w:p>
    <w:p w:rsidR="00D12F0A" w:rsidRPr="00D12F0A" w:rsidRDefault="00D12F0A" w:rsidP="00D12F0A">
      <w:pPr>
        <w:adjustRightInd w:val="0"/>
        <w:snapToGrid w:val="0"/>
        <w:spacing w:line="600" w:lineRule="exact"/>
        <w:jc w:val="center"/>
        <w:rPr>
          <w:rFonts w:asciiTheme="majorEastAsia" w:eastAsiaTheme="majorEastAsia" w:hAnsiTheme="majorEastAsia" w:cstheme="majorEastAsia"/>
          <w:sz w:val="44"/>
          <w:szCs w:val="44"/>
        </w:rPr>
      </w:pPr>
      <w:bookmarkStart w:id="0" w:name="OLE_LINK1"/>
      <w:r w:rsidRPr="00D12F0A">
        <w:rPr>
          <w:rFonts w:asciiTheme="majorEastAsia" w:eastAsiaTheme="majorEastAsia" w:hAnsiTheme="majorEastAsia" w:cstheme="majorEastAsia" w:hint="eastAsia"/>
          <w:sz w:val="44"/>
          <w:szCs w:val="44"/>
        </w:rPr>
        <w:t>四川省人民政府</w:t>
      </w:r>
    </w:p>
    <w:p w:rsidR="0086582C" w:rsidRDefault="00D12F0A" w:rsidP="00D12F0A">
      <w:pPr>
        <w:adjustRightInd w:val="0"/>
        <w:snapToGrid w:val="0"/>
        <w:spacing w:line="600" w:lineRule="exact"/>
        <w:jc w:val="center"/>
        <w:rPr>
          <w:rFonts w:asciiTheme="majorEastAsia" w:eastAsiaTheme="majorEastAsia" w:hAnsiTheme="majorEastAsia" w:cstheme="majorEastAsia"/>
          <w:sz w:val="44"/>
          <w:szCs w:val="44"/>
        </w:rPr>
      </w:pPr>
      <w:r w:rsidRPr="00D12F0A">
        <w:rPr>
          <w:rFonts w:asciiTheme="majorEastAsia" w:eastAsiaTheme="majorEastAsia" w:hAnsiTheme="majorEastAsia" w:cstheme="majorEastAsia" w:hint="eastAsia"/>
          <w:sz w:val="44"/>
          <w:szCs w:val="44"/>
        </w:rPr>
        <w:t>关于中国（四川）自由贸易试验区实施第三批省级管理事项的决定</w:t>
      </w:r>
    </w:p>
    <w:bookmarkEnd w:id="0"/>
    <w:p w:rsidR="0086582C" w:rsidRPr="000E656E" w:rsidRDefault="00D12F0A" w:rsidP="00D12F0A">
      <w:pPr>
        <w:adjustRightInd w:val="0"/>
        <w:snapToGrid w:val="0"/>
        <w:spacing w:line="600" w:lineRule="exact"/>
        <w:rPr>
          <w:rFonts w:ascii="楷体_GB2312" w:eastAsia="楷体_GB2312" w:hAnsi="楷体"/>
          <w:sz w:val="32"/>
          <w:szCs w:val="32"/>
        </w:rPr>
      </w:pPr>
      <w:r>
        <w:rPr>
          <w:rFonts w:ascii="楷体_GB2312" w:eastAsia="楷体_GB2312" w:hAnsi="楷体" w:hint="eastAsia"/>
          <w:sz w:val="32"/>
          <w:szCs w:val="32"/>
        </w:rPr>
        <w:t xml:space="preserve">　　</w:t>
      </w:r>
      <w:r w:rsidR="009A2F00" w:rsidRPr="000E656E">
        <w:rPr>
          <w:rFonts w:ascii="楷体_GB2312" w:eastAsia="楷体_GB2312" w:hAnsi="楷体" w:hint="eastAsia"/>
          <w:sz w:val="32"/>
          <w:szCs w:val="32"/>
        </w:rPr>
        <w:t>（</w:t>
      </w:r>
      <w:r w:rsidRPr="00D12F0A">
        <w:rPr>
          <w:rFonts w:ascii="楷体_GB2312" w:eastAsia="楷体_GB2312" w:hAnsi="楷体"/>
          <w:sz w:val="32"/>
          <w:szCs w:val="32"/>
        </w:rPr>
        <w:t>2020年10月9日四川省人民政府令第341号公布　自2020年11月9日起施行）</w:t>
      </w:r>
    </w:p>
    <w:p w:rsidR="0086582C" w:rsidRDefault="0086582C" w:rsidP="00D12F0A">
      <w:pPr>
        <w:rPr>
          <w:rFonts w:ascii="黑体" w:eastAsia="黑体" w:hAnsi="黑体" w:cs="黑体"/>
          <w:sz w:val="32"/>
          <w:szCs w:val="32"/>
        </w:rPr>
      </w:pPr>
    </w:p>
    <w:p w:rsidR="00D12F0A" w:rsidRPr="00D12F0A" w:rsidRDefault="009A2F00" w:rsidP="00D12F0A">
      <w:pPr>
        <w:rPr>
          <w:rFonts w:ascii="仿宋_GB2312" w:eastAsia="仿宋_GB2312" w:hAnsi="仿宋" w:cs="仿宋"/>
          <w:sz w:val="32"/>
          <w:szCs w:val="32"/>
        </w:rPr>
      </w:pPr>
      <w:r>
        <w:rPr>
          <w:rFonts w:ascii="仿宋" w:eastAsia="仿宋" w:hAnsi="仿宋" w:cs="仿宋" w:hint="eastAsia"/>
          <w:sz w:val="32"/>
          <w:szCs w:val="32"/>
        </w:rPr>
        <w:t xml:space="preserve">　　</w:t>
      </w:r>
      <w:r w:rsidR="00D12F0A" w:rsidRPr="00D12F0A">
        <w:rPr>
          <w:rFonts w:ascii="仿宋_GB2312" w:eastAsia="仿宋_GB2312" w:hAnsi="仿宋" w:cs="仿宋" w:hint="eastAsia"/>
          <w:sz w:val="32"/>
          <w:szCs w:val="32"/>
        </w:rPr>
        <w:t>经研究，决定由省直有关部门（单位）下放或委托成都高新区管委会、天府新区成都管委会、成都市双流区人民政府、成都市</w:t>
      </w:r>
      <w:proofErr w:type="gramStart"/>
      <w:r w:rsidR="00D12F0A" w:rsidRPr="00D12F0A">
        <w:rPr>
          <w:rFonts w:ascii="仿宋_GB2312" w:eastAsia="仿宋_GB2312" w:hAnsi="仿宋" w:cs="仿宋" w:hint="eastAsia"/>
          <w:sz w:val="32"/>
          <w:szCs w:val="32"/>
        </w:rPr>
        <w:t>青白江</w:t>
      </w:r>
      <w:proofErr w:type="gramEnd"/>
      <w:r w:rsidR="00D12F0A" w:rsidRPr="00D12F0A">
        <w:rPr>
          <w:rFonts w:ascii="仿宋_GB2312" w:eastAsia="仿宋_GB2312" w:hAnsi="仿宋" w:cs="仿宋" w:hint="eastAsia"/>
          <w:sz w:val="32"/>
          <w:szCs w:val="32"/>
        </w:rPr>
        <w:t>区人民政府和中国</w:t>
      </w:r>
      <w:r w:rsidR="00D12F0A" w:rsidRPr="00D12F0A">
        <w:rPr>
          <w:rFonts w:ascii="仿宋_GB2312" w:eastAsia="仿宋_GB2312" w:hAnsi="仿宋" w:cs="仿宋"/>
          <w:sz w:val="32"/>
          <w:szCs w:val="32"/>
        </w:rPr>
        <w:t>(四川)自贸试验区川南临港片区管委会实施14项省级管理事项。下放事项自本决定公布之日起30日后生效，由承接主体实施；委托事项由省直有关部门（单位）与承接主体签订行政委托书后实施。</w:t>
      </w:r>
    </w:p>
    <w:p w:rsidR="00D12F0A" w:rsidRPr="00D12F0A" w:rsidRDefault="00D12F0A" w:rsidP="00D12F0A">
      <w:pPr>
        <w:rPr>
          <w:rFonts w:ascii="仿宋_GB2312" w:eastAsia="仿宋_GB2312" w:hAnsi="仿宋" w:cs="仿宋"/>
          <w:sz w:val="32"/>
          <w:szCs w:val="32"/>
        </w:rPr>
      </w:pPr>
      <w:r>
        <w:rPr>
          <w:rFonts w:ascii="仿宋_GB2312" w:eastAsia="仿宋_GB2312" w:hAnsi="仿宋" w:cs="仿宋" w:hint="eastAsia"/>
          <w:sz w:val="32"/>
          <w:szCs w:val="32"/>
        </w:rPr>
        <w:t xml:space="preserve">　　</w:t>
      </w:r>
      <w:r w:rsidRPr="00D12F0A">
        <w:rPr>
          <w:rFonts w:ascii="仿宋_GB2312" w:eastAsia="仿宋_GB2312" w:hAnsi="仿宋" w:cs="仿宋" w:hint="eastAsia"/>
          <w:sz w:val="32"/>
          <w:szCs w:val="32"/>
        </w:rPr>
        <w:t>根据《中国（四川）自由贸易试验区条例》和《四川省人民政府关于推进中国（四川）自由贸易试验区引领性工程建设的指导意见》（川府发〔</w:t>
      </w:r>
      <w:r w:rsidRPr="00D12F0A">
        <w:rPr>
          <w:rFonts w:ascii="仿宋_GB2312" w:eastAsia="仿宋_GB2312" w:hAnsi="仿宋" w:cs="仿宋"/>
          <w:sz w:val="32"/>
          <w:szCs w:val="32"/>
        </w:rPr>
        <w:t>2018〕30号），协同改革先行区</w:t>
      </w:r>
      <w:proofErr w:type="gramStart"/>
      <w:r w:rsidRPr="00D12F0A">
        <w:rPr>
          <w:rFonts w:ascii="仿宋_GB2312" w:eastAsia="仿宋_GB2312" w:hAnsi="仿宋" w:cs="仿宋"/>
          <w:sz w:val="32"/>
          <w:szCs w:val="32"/>
        </w:rPr>
        <w:t>比照自</w:t>
      </w:r>
      <w:proofErr w:type="gramEnd"/>
      <w:r w:rsidRPr="00D12F0A">
        <w:rPr>
          <w:rFonts w:ascii="仿宋_GB2312" w:eastAsia="仿宋_GB2312" w:hAnsi="仿宋" w:cs="仿宋"/>
          <w:sz w:val="32"/>
          <w:szCs w:val="32"/>
        </w:rPr>
        <w:t>贸试验区同步承接省级管理事项，承接主体为所在县（市、区）人民政府、省级以上园区管委会。</w:t>
      </w:r>
    </w:p>
    <w:p w:rsidR="00D12F0A" w:rsidRPr="00D12F0A" w:rsidRDefault="00D12F0A" w:rsidP="00D12F0A">
      <w:pPr>
        <w:rPr>
          <w:rFonts w:ascii="仿宋_GB2312" w:eastAsia="仿宋_GB2312" w:hAnsi="仿宋" w:cs="仿宋"/>
          <w:sz w:val="32"/>
          <w:szCs w:val="32"/>
        </w:rPr>
      </w:pPr>
      <w:r w:rsidRPr="00D12F0A">
        <w:rPr>
          <w:rFonts w:ascii="仿宋_GB2312" w:eastAsia="仿宋_GB2312" w:hAnsi="仿宋" w:cs="仿宋" w:hint="eastAsia"/>
          <w:sz w:val="32"/>
          <w:szCs w:val="32"/>
        </w:rPr>
        <w:lastRenderedPageBreak/>
        <w:t>以上承接主体应制</w:t>
      </w:r>
      <w:proofErr w:type="gramStart"/>
      <w:r w:rsidRPr="00D12F0A">
        <w:rPr>
          <w:rFonts w:ascii="仿宋_GB2312" w:eastAsia="仿宋_GB2312" w:hAnsi="仿宋" w:cs="仿宋" w:hint="eastAsia"/>
          <w:sz w:val="32"/>
          <w:szCs w:val="32"/>
        </w:rPr>
        <w:t>定加强事</w:t>
      </w:r>
      <w:proofErr w:type="gramEnd"/>
      <w:r w:rsidRPr="00D12F0A">
        <w:rPr>
          <w:rFonts w:ascii="仿宋_GB2312" w:eastAsia="仿宋_GB2312" w:hAnsi="仿宋" w:cs="仿宋" w:hint="eastAsia"/>
          <w:sz w:val="32"/>
          <w:szCs w:val="32"/>
        </w:rPr>
        <w:t>中事后监管的具体措施，报</w:t>
      </w:r>
      <w:proofErr w:type="gramStart"/>
      <w:r w:rsidRPr="00D12F0A">
        <w:rPr>
          <w:rFonts w:ascii="仿宋_GB2312" w:eastAsia="仿宋_GB2312" w:hAnsi="仿宋" w:cs="仿宋" w:hint="eastAsia"/>
          <w:sz w:val="32"/>
          <w:szCs w:val="32"/>
        </w:rPr>
        <w:t>原实施</w:t>
      </w:r>
      <w:proofErr w:type="gramEnd"/>
      <w:r w:rsidRPr="00D12F0A">
        <w:rPr>
          <w:rFonts w:ascii="仿宋_GB2312" w:eastAsia="仿宋_GB2312" w:hAnsi="仿宋" w:cs="仿宋" w:hint="eastAsia"/>
          <w:sz w:val="32"/>
          <w:szCs w:val="32"/>
        </w:rPr>
        <w:t>部门、省委编办和中国（四川）自由贸易试验区工作办公室备案。承接主体不得将省级管理事项扩大至自贸试验区、协同改革先行区实施范围以外的地区。根据改革发展需要，中国（四川）自由贸易试验区工作办公室会同省委编办等有关部门，可以对承接主体实施的省级管理事项进行调减。</w:t>
      </w:r>
      <w:r w:rsidRPr="00D12F0A">
        <w:rPr>
          <w:rFonts w:ascii="仿宋_GB2312" w:eastAsia="仿宋_GB2312" w:hAnsi="仿宋" w:cs="仿宋"/>
          <w:sz w:val="32"/>
          <w:szCs w:val="32"/>
        </w:rPr>
        <w:t xml:space="preserve">                  </w:t>
      </w:r>
    </w:p>
    <w:p w:rsidR="00D12F0A" w:rsidRDefault="00D12F0A" w:rsidP="00D12F0A">
      <w:pP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D12F0A" w:rsidRDefault="00D12F0A" w:rsidP="00D12F0A">
      <w:pPr>
        <w:rPr>
          <w:rFonts w:ascii="仿宋_GB2312" w:eastAsia="仿宋_GB2312" w:hAnsi="仿宋" w:cs="仿宋"/>
          <w:sz w:val="32"/>
          <w:szCs w:val="32"/>
        </w:rPr>
      </w:pPr>
    </w:p>
    <w:p w:rsidR="0086582C" w:rsidRDefault="00D12F0A" w:rsidP="00D12F0A">
      <w:pPr>
        <w:rPr>
          <w:rFonts w:ascii="仿宋" w:eastAsia="仿宋" w:hAnsi="仿宋" w:cs="仿宋"/>
          <w:sz w:val="32"/>
          <w:szCs w:val="32"/>
        </w:rPr>
      </w:pPr>
      <w:r>
        <w:rPr>
          <w:rFonts w:ascii="仿宋_GB2312" w:eastAsia="仿宋_GB2312" w:hAnsi="仿宋" w:cs="仿宋" w:hint="eastAsia"/>
          <w:sz w:val="32"/>
          <w:szCs w:val="32"/>
        </w:rPr>
        <w:t xml:space="preserve">　　</w:t>
      </w:r>
      <w:r w:rsidRPr="00D12F0A">
        <w:rPr>
          <w:rFonts w:ascii="仿宋_GB2312" w:eastAsia="仿宋_GB2312" w:hAnsi="仿宋" w:cs="仿宋" w:hint="eastAsia"/>
          <w:sz w:val="32"/>
          <w:szCs w:val="32"/>
        </w:rPr>
        <w:t>附件：中国（四川）自由贸易试验区实施的第三批省级管理事项清单</w:t>
      </w: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640" w:lineRule="exact"/>
        <w:jc w:val="left"/>
        <w:rPr>
          <w:rFonts w:ascii="黑体" w:eastAsia="黑体" w:hAnsi="黑体" w:cs="黑体"/>
          <w:b/>
          <w:bCs/>
          <w:kern w:val="0"/>
          <w:sz w:val="36"/>
          <w:szCs w:val="36"/>
        </w:rPr>
      </w:pPr>
      <w:r>
        <w:rPr>
          <w:rFonts w:ascii="黑体" w:eastAsia="黑体" w:hAnsi="黑体" w:cs="黑体" w:hint="eastAsia"/>
          <w:b/>
          <w:bCs/>
          <w:kern w:val="0"/>
          <w:sz w:val="36"/>
          <w:szCs w:val="36"/>
        </w:rPr>
        <w:lastRenderedPageBreak/>
        <w:t>附件</w:t>
      </w: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640" w:lineRule="exact"/>
        <w:jc w:val="left"/>
        <w:rPr>
          <w:rFonts w:ascii="黑体" w:eastAsia="黑体" w:hAnsi="黑体" w:cs="黑体"/>
          <w:b/>
          <w:bCs/>
          <w:kern w:val="0"/>
          <w:sz w:val="36"/>
          <w:szCs w:val="36"/>
        </w:rPr>
      </w:pP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64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中国（四川）自由贸易试验区实施的</w:t>
      </w: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64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第三批省级管理事项清单</w:t>
      </w: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center"/>
        <w:rPr>
          <w:rFonts w:ascii="楷体_GB2312" w:eastAsia="楷体_GB2312" w:hAnsi="楷体" w:cs="方正小标宋简体"/>
          <w:b/>
          <w:bCs/>
          <w:color w:val="000000"/>
          <w:sz w:val="32"/>
          <w:szCs w:val="32"/>
        </w:rPr>
      </w:pP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一、行政许可</w:t>
      </w: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970"/>
        <w:gridCol w:w="4365"/>
        <w:gridCol w:w="2467"/>
        <w:gridCol w:w="1072"/>
      </w:tblGrid>
      <w:tr w:rsidR="00D12F0A" w:rsidTr="004F1D56">
        <w:trPr>
          <w:trHeight w:val="676"/>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365"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467"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07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D12F0A" w:rsidTr="004F1D56">
        <w:trPr>
          <w:trHeight w:val="1974"/>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spacing w:line="280" w:lineRule="exact"/>
              <w:ind w:firstLine="440"/>
              <w:rPr>
                <w:rFonts w:ascii="仿宋_GB2312" w:eastAsia="仿宋_GB2312" w:hAnsi="仿宋_GB2312" w:cs="仿宋_GB2312"/>
                <w:sz w:val="22"/>
              </w:rPr>
            </w:pPr>
            <w:r>
              <w:rPr>
                <w:rFonts w:ascii="仿宋_GB2312" w:eastAsia="仿宋_GB2312" w:hAnsi="宋体" w:cs="仿宋_GB2312" w:hint="eastAsia"/>
                <w:kern w:val="0"/>
                <w:sz w:val="22"/>
                <w:lang w:bidi="ar"/>
              </w:rPr>
              <w:t>企业投资项目核准（技术改造类）</w:t>
            </w:r>
            <w:r>
              <w:rPr>
                <w:rFonts w:ascii="宋体" w:hAnsi="宋体" w:cs="宋体" w:hint="eastAsia"/>
                <w:kern w:val="0"/>
                <w:sz w:val="22"/>
                <w:lang w:bidi="ar"/>
              </w:rPr>
              <w:t>〔</w:t>
            </w:r>
            <w:r>
              <w:rPr>
                <w:rFonts w:ascii="仿宋_GB2312" w:eastAsia="仿宋_GB2312" w:hAnsi="宋体" w:cs="仿宋_GB2312" w:hint="eastAsia"/>
                <w:kern w:val="0"/>
                <w:sz w:val="22"/>
                <w:lang w:bidi="ar"/>
              </w:rPr>
              <w:t>基本建设类项目除外；属于省政府核准项目除外；属于外商投资准入特别管理措施（负面清单）的项目除外；稀土矿山开发（含尾矿库建设）、稀土冶炼分离项目除外；国家或省政府另有规定的，从其规定</w:t>
            </w:r>
            <w:r>
              <w:rPr>
                <w:rFonts w:ascii="宋体" w:hAnsi="宋体" w:cs="宋体" w:hint="eastAsia"/>
                <w:kern w:val="0"/>
                <w:sz w:val="22"/>
                <w:lang w:bidi="ar"/>
              </w:rPr>
              <w:t>〕</w:t>
            </w:r>
          </w:p>
        </w:tc>
        <w:tc>
          <w:tcPr>
            <w:tcW w:w="2467"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rPr>
            </w:pPr>
            <w:r>
              <w:rPr>
                <w:rFonts w:ascii="仿宋_GB2312" w:eastAsia="仿宋_GB2312" w:hAnsi="仿宋_GB2312" w:hint="eastAsia"/>
              </w:rPr>
              <w:t>四川省经济</w:t>
            </w:r>
            <w:proofErr w:type="gramStart"/>
            <w:r>
              <w:rPr>
                <w:rFonts w:ascii="仿宋_GB2312" w:eastAsia="仿宋_GB2312" w:hAnsi="仿宋_GB2312" w:hint="eastAsia"/>
              </w:rPr>
              <w:t>和</w:t>
            </w:r>
            <w:proofErr w:type="gramEnd"/>
          </w:p>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sz w:val="22"/>
                <w:szCs w:val="22"/>
              </w:rPr>
            </w:pPr>
            <w:r>
              <w:rPr>
                <w:rFonts w:ascii="仿宋_GB2312" w:eastAsia="仿宋_GB2312" w:hAnsi="仿宋_GB2312" w:hint="eastAsia"/>
              </w:rPr>
              <w:t>信息化厅</w:t>
            </w:r>
          </w:p>
        </w:tc>
        <w:tc>
          <w:tcPr>
            <w:tcW w:w="107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下放</w:t>
            </w:r>
          </w:p>
        </w:tc>
      </w:tr>
      <w:tr w:rsidR="00D12F0A" w:rsidTr="004F1D56">
        <w:trPr>
          <w:trHeight w:val="702"/>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对司法部关于外国律师事务所驻华代表机构设立、变更、注销许可的初审</w:t>
            </w:r>
          </w:p>
        </w:tc>
        <w:tc>
          <w:tcPr>
            <w:tcW w:w="2467"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18"/>
              </w:rPr>
            </w:pPr>
            <w:r>
              <w:rPr>
                <w:rFonts w:ascii="仿宋_GB2312" w:eastAsia="仿宋_GB2312" w:hAnsi="宋体" w:cs="仿宋_GB2312" w:hint="eastAsia"/>
                <w:color w:val="000000"/>
                <w:kern w:val="0"/>
                <w:sz w:val="22"/>
                <w:szCs w:val="18"/>
                <w:lang w:bidi="ar"/>
              </w:rPr>
              <w:t>四川省司法厅</w:t>
            </w:r>
          </w:p>
        </w:tc>
        <w:tc>
          <w:tcPr>
            <w:tcW w:w="107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仿宋_GB2312" w:cs="仿宋_GB2312" w:hint="eastAsia"/>
                <w:color w:val="000000"/>
                <w:sz w:val="22"/>
                <w:szCs w:val="32"/>
              </w:rPr>
              <w:t>委托行使受理权限</w:t>
            </w:r>
          </w:p>
        </w:tc>
      </w:tr>
      <w:tr w:rsidR="00D12F0A" w:rsidTr="004F1D56">
        <w:trPr>
          <w:trHeight w:val="674"/>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房地产开发企业资质核定（二级及以下）</w:t>
            </w:r>
          </w:p>
        </w:tc>
        <w:tc>
          <w:tcPr>
            <w:tcW w:w="2467"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四川省住房和城乡建设厅</w:t>
            </w:r>
          </w:p>
        </w:tc>
        <w:tc>
          <w:tcPr>
            <w:tcW w:w="107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D12F0A" w:rsidTr="004F1D56">
        <w:trPr>
          <w:trHeight w:val="696"/>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药品、医疗器械互联网信息服务审批</w:t>
            </w:r>
          </w:p>
        </w:tc>
        <w:tc>
          <w:tcPr>
            <w:tcW w:w="2467"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四川省药品监督管理局</w:t>
            </w:r>
          </w:p>
        </w:tc>
        <w:tc>
          <w:tcPr>
            <w:tcW w:w="107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bl>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二、行政处罚</w:t>
      </w:r>
    </w:p>
    <w:tbl>
      <w:tblPr>
        <w:tblW w:w="8875" w:type="dxa"/>
        <w:jc w:val="center"/>
        <w:tblLayout w:type="fixed"/>
        <w:tblCellMar>
          <w:top w:w="15" w:type="dxa"/>
          <w:left w:w="15" w:type="dxa"/>
          <w:bottom w:w="15" w:type="dxa"/>
          <w:right w:w="15" w:type="dxa"/>
        </w:tblCellMar>
        <w:tblLook w:val="04A0" w:firstRow="1" w:lastRow="0" w:firstColumn="1" w:lastColumn="0" w:noHBand="0" w:noVBand="1"/>
      </w:tblPr>
      <w:tblGrid>
        <w:gridCol w:w="936"/>
        <w:gridCol w:w="4400"/>
        <w:gridCol w:w="2168"/>
        <w:gridCol w:w="1371"/>
      </w:tblGrid>
      <w:tr w:rsidR="00D12F0A" w:rsidTr="004F1D56">
        <w:trPr>
          <w:trHeight w:val="608"/>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序号</w:t>
            </w:r>
          </w:p>
        </w:tc>
        <w:tc>
          <w:tcPr>
            <w:tcW w:w="440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kern w:val="0"/>
                <w:sz w:val="24"/>
                <w:lang w:bidi="ar"/>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放权方式</w:t>
            </w:r>
          </w:p>
        </w:tc>
      </w:tr>
      <w:tr w:rsidR="00D12F0A" w:rsidTr="004F1D56">
        <w:trPr>
          <w:trHeight w:val="632"/>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440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对伪造林木良种证书的处罚</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四川省林业和草原局</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D12F0A" w:rsidTr="004F1D56">
        <w:trPr>
          <w:trHeight w:val="881"/>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w:t>
            </w:r>
          </w:p>
        </w:tc>
        <w:tc>
          <w:tcPr>
            <w:tcW w:w="4400"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对实行选育生产经营相结合的种子企业有造假行为的处罚</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四川省林业和草原局</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委托</w:t>
            </w:r>
          </w:p>
        </w:tc>
      </w:tr>
    </w:tbl>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hint="eastAsia"/>
          <w:b/>
          <w:bCs/>
          <w:color w:val="000000"/>
          <w:sz w:val="32"/>
          <w:szCs w:val="32"/>
        </w:rPr>
      </w:pPr>
      <w:bookmarkStart w:id="1" w:name="_GoBack"/>
      <w:bookmarkEnd w:id="1"/>
    </w:p>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三、其他行政权力</w:t>
      </w: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1069"/>
        <w:gridCol w:w="4266"/>
        <w:gridCol w:w="2168"/>
        <w:gridCol w:w="1371"/>
      </w:tblGrid>
      <w:tr w:rsidR="00D12F0A" w:rsidTr="004F1D56">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D12F0A" w:rsidTr="004F1D56">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创业投资企业备案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rPr>
            </w:pPr>
            <w:r>
              <w:rPr>
                <w:rFonts w:ascii="仿宋_GB2312" w:eastAsia="仿宋_GB2312" w:hAnsi="仿宋_GB2312" w:hint="eastAsia"/>
              </w:rPr>
              <w:t>四川省发展和改革</w:t>
            </w:r>
          </w:p>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宋体"/>
                <w:color w:val="000000"/>
                <w:sz w:val="22"/>
              </w:rPr>
            </w:pPr>
            <w:r>
              <w:rPr>
                <w:rFonts w:ascii="仿宋_GB2312" w:eastAsia="仿宋_GB2312" w:hAnsi="仿宋_GB2312" w:hint="eastAsia"/>
              </w:rPr>
              <w:t>委员会</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委托</w:t>
            </w:r>
          </w:p>
        </w:tc>
      </w:tr>
      <w:tr w:rsidR="00D12F0A" w:rsidTr="004F1D56">
        <w:trPr>
          <w:trHeight w:val="551"/>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创业投资企业年检</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rPr>
            </w:pPr>
            <w:r>
              <w:rPr>
                <w:rFonts w:ascii="仿宋_GB2312" w:eastAsia="仿宋_GB2312" w:hAnsi="仿宋_GB2312" w:hint="eastAsia"/>
              </w:rPr>
              <w:t>四川省发展和改革</w:t>
            </w:r>
          </w:p>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宋体"/>
                <w:color w:val="000000"/>
                <w:sz w:val="22"/>
              </w:rPr>
            </w:pPr>
            <w:r>
              <w:rPr>
                <w:rFonts w:ascii="仿宋_GB2312" w:eastAsia="仿宋_GB2312" w:hAnsi="仿宋_GB2312" w:hint="eastAsia"/>
              </w:rPr>
              <w:t>委员会</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委托</w:t>
            </w:r>
          </w:p>
        </w:tc>
      </w:tr>
      <w:tr w:rsidR="00D12F0A" w:rsidTr="004F1D56">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办理企事业单位出省从事建筑活动有关手续</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rPr>
            </w:pPr>
            <w:r>
              <w:rPr>
                <w:rFonts w:ascii="仿宋_GB2312" w:eastAsia="仿宋_GB2312" w:hAnsi="宋体" w:cs="仿宋_GB2312" w:hint="eastAsia"/>
                <w:color w:val="000000"/>
                <w:kern w:val="0"/>
                <w:sz w:val="22"/>
                <w:lang w:bidi="ar"/>
              </w:rPr>
              <w:t>四川省住房和城乡建设厅</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宋体"/>
                <w:color w:val="000000"/>
                <w:sz w:val="22"/>
                <w:szCs w:val="22"/>
              </w:rPr>
            </w:pPr>
            <w:r>
              <w:rPr>
                <w:rFonts w:ascii="仿宋_GB2312" w:eastAsia="仿宋_GB2312" w:hAnsi="仿宋_GB2312" w:cs="宋体" w:hint="eastAsia"/>
                <w:color w:val="000000"/>
                <w:kern w:val="0"/>
                <w:sz w:val="22"/>
                <w:szCs w:val="22"/>
                <w:lang w:bidi="ar"/>
              </w:rPr>
              <w:t>下放</w:t>
            </w:r>
          </w:p>
        </w:tc>
      </w:tr>
      <w:tr w:rsidR="00D12F0A" w:rsidTr="004F1D56">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房地产估价机构备案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四川省住房和城乡</w:t>
            </w:r>
          </w:p>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color w:val="000000"/>
                <w:sz w:val="22"/>
              </w:rPr>
            </w:pPr>
            <w:r>
              <w:rPr>
                <w:rFonts w:ascii="仿宋_GB2312" w:eastAsia="仿宋_GB2312" w:hAnsi="宋体" w:cs="仿宋_GB2312" w:hint="eastAsia"/>
                <w:color w:val="000000"/>
                <w:kern w:val="0"/>
                <w:sz w:val="22"/>
                <w:lang w:bidi="ar"/>
              </w:rPr>
              <w:t>建设厅</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宋体"/>
                <w:color w:val="000000"/>
                <w:sz w:val="22"/>
                <w:szCs w:val="22"/>
              </w:rPr>
            </w:pPr>
            <w:r>
              <w:rPr>
                <w:rFonts w:ascii="仿宋_GB2312" w:eastAsia="仿宋_GB2312" w:hAnsi="仿宋_GB2312" w:cs="宋体" w:hint="eastAsia"/>
                <w:color w:val="000000"/>
                <w:kern w:val="0"/>
                <w:sz w:val="22"/>
                <w:szCs w:val="22"/>
                <w:lang w:bidi="ar"/>
              </w:rPr>
              <w:t>下放</w:t>
            </w:r>
          </w:p>
        </w:tc>
      </w:tr>
      <w:tr w:rsidR="00D12F0A" w:rsidTr="004F1D56">
        <w:trPr>
          <w:trHeight w:val="69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11</w:t>
            </w:r>
          </w:p>
        </w:tc>
        <w:tc>
          <w:tcPr>
            <w:tcW w:w="4266"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医疗机构制剂室的药检室负责人及质量管理组织负责人变更备案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四川省药品监督</w:t>
            </w:r>
          </w:p>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管理局</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仿宋_GB2312" w:cs="宋体"/>
                <w:sz w:val="22"/>
                <w:szCs w:val="22"/>
              </w:rPr>
            </w:pPr>
            <w:r>
              <w:rPr>
                <w:rFonts w:ascii="仿宋_GB2312" w:eastAsia="仿宋_GB2312" w:hAnsi="仿宋_GB2312" w:cs="宋体" w:hint="eastAsia"/>
                <w:kern w:val="0"/>
                <w:sz w:val="22"/>
                <w:szCs w:val="22"/>
                <w:lang w:bidi="ar"/>
              </w:rPr>
              <w:t>下放</w:t>
            </w:r>
          </w:p>
        </w:tc>
      </w:tr>
    </w:tbl>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p>
    <w:p w:rsidR="00D12F0A" w:rsidRDefault="00D12F0A" w:rsidP="00D12F0A">
      <w:pPr>
        <w:pStyle w:val="NewNewNewNewNewNewNewNewNewNewNewNewNewNewNewNewNewNewNewNewNewNewNewNewNewNewNewNewNewNewNewNewNewNewNewNewNewNewNewNewNewNewNewNewNewNewNewNewNewNewNewNewNewNewNewNewNewNewNewNewNewNewNe"/>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四、公共服务事项</w:t>
      </w:r>
    </w:p>
    <w:tbl>
      <w:tblPr>
        <w:tblW w:w="8875" w:type="dxa"/>
        <w:jc w:val="center"/>
        <w:tblLayout w:type="fixed"/>
        <w:tblCellMar>
          <w:top w:w="15" w:type="dxa"/>
          <w:left w:w="15" w:type="dxa"/>
          <w:bottom w:w="15" w:type="dxa"/>
          <w:right w:w="15" w:type="dxa"/>
        </w:tblCellMar>
        <w:tblLook w:val="04A0" w:firstRow="1" w:lastRow="0" w:firstColumn="1" w:lastColumn="0" w:noHBand="0" w:noVBand="1"/>
      </w:tblPr>
      <w:tblGrid>
        <w:gridCol w:w="942"/>
        <w:gridCol w:w="4394"/>
        <w:gridCol w:w="2168"/>
        <w:gridCol w:w="1371"/>
      </w:tblGrid>
      <w:tr w:rsidR="00D12F0A" w:rsidTr="004F1D56">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394"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D12F0A" w:rsidTr="004F1D56">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4394"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互联网接入服务单位（ISP）登记</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四川省公安厅</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D12F0A" w:rsidTr="004F1D56">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w:t>
            </w:r>
          </w:p>
        </w:tc>
        <w:tc>
          <w:tcPr>
            <w:tcW w:w="4394"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公共资源交易主体用户注册服务</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四川省政府政务服务和公共资源交易服务中心</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D12F0A" w:rsidTr="004F1D56">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w:t>
            </w:r>
          </w:p>
        </w:tc>
        <w:tc>
          <w:tcPr>
            <w:tcW w:w="4394"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公共资源交易场地预约服务</w:t>
            </w:r>
          </w:p>
        </w:tc>
        <w:tc>
          <w:tcPr>
            <w:tcW w:w="2168"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四川省政府政务服务和公共资源交易服务中心</w:t>
            </w:r>
          </w:p>
        </w:tc>
        <w:tc>
          <w:tcPr>
            <w:tcW w:w="1371" w:type="dxa"/>
            <w:tcBorders>
              <w:top w:val="single" w:sz="4" w:space="0" w:color="000000"/>
              <w:left w:val="single" w:sz="4" w:space="0" w:color="000000"/>
              <w:bottom w:val="single" w:sz="4" w:space="0" w:color="000000"/>
              <w:right w:val="single" w:sz="4" w:space="0" w:color="000000"/>
            </w:tcBorders>
            <w:vAlign w:val="center"/>
          </w:tcPr>
          <w:p w:rsidR="00D12F0A" w:rsidRDefault="00D12F0A" w:rsidP="004F1D56">
            <w:pPr>
              <w:pStyle w:val="NewNewNewNewNewNewNewNewNewNewNewNewNewNewNewNewNewNewNewNewNewNewNewNewNewNewNewNewNewNewNewNewNewNewNewNewNewNewNewNewNewNewNewNewNewNewNewNewNewNewNewNewNewNewNewNewNewNewNewNewNewNewNe"/>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bl>
    <w:p w:rsidR="00D12F0A" w:rsidRDefault="00D12F0A" w:rsidP="00D12F0A">
      <w:pPr>
        <w:tabs>
          <w:tab w:val="left" w:pos="7140"/>
        </w:tabs>
        <w:spacing w:line="580" w:lineRule="exact"/>
        <w:rPr>
          <w:rFonts w:ascii="仿宋_GB2312" w:eastAsia="仿宋_GB2312" w:hAnsi="仿宋_GB2312" w:cs="仿宋"/>
          <w:sz w:val="32"/>
          <w:szCs w:val="36"/>
        </w:rPr>
      </w:pPr>
    </w:p>
    <w:p w:rsidR="0086582C" w:rsidRDefault="0086582C">
      <w:pPr>
        <w:rPr>
          <w:rFonts w:ascii="仿宋" w:eastAsia="仿宋" w:hAnsi="仿宋" w:cs="仿宋"/>
          <w:sz w:val="32"/>
          <w:szCs w:val="32"/>
        </w:rPr>
      </w:pPr>
    </w:p>
    <w:sectPr w:rsidR="0086582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DD" w:rsidRDefault="00910BDD">
      <w:r>
        <w:separator/>
      </w:r>
    </w:p>
  </w:endnote>
  <w:endnote w:type="continuationSeparator" w:id="0">
    <w:p w:rsidR="00910BDD" w:rsidRDefault="009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2C" w:rsidRDefault="009A2F00">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582C" w:rsidRDefault="009A2F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6582C" w:rsidRDefault="009A2F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6582C" w:rsidRDefault="009A2F00">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E43F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Pr>
        <w:rFonts w:ascii="宋体" w:hAnsi="宋体" w:cs="宋体" w:hint="eastAsia"/>
        <w:b/>
        <w:bCs/>
        <w:color w:val="005192"/>
        <w:sz w:val="28"/>
        <w:szCs w:val="44"/>
      </w:rPr>
      <w:t xml:space="preserve">四川省人民政府发布     </w:t>
    </w:r>
  </w:p>
  <w:p w:rsidR="0086582C" w:rsidRDefault="0086582C">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DD" w:rsidRDefault="00910BDD">
      <w:r>
        <w:separator/>
      </w:r>
    </w:p>
  </w:footnote>
  <w:footnote w:type="continuationSeparator" w:id="0">
    <w:p w:rsidR="00910BDD" w:rsidRDefault="0091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2C" w:rsidRDefault="009A2F00">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3697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6582C" w:rsidRDefault="009A2F00">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0E656E"/>
    <w:rsid w:val="001034A7"/>
    <w:rsid w:val="00370AE9"/>
    <w:rsid w:val="00424696"/>
    <w:rsid w:val="004D0ECA"/>
    <w:rsid w:val="005F07AB"/>
    <w:rsid w:val="0086582C"/>
    <w:rsid w:val="008E4C5F"/>
    <w:rsid w:val="00910BDD"/>
    <w:rsid w:val="009A2F00"/>
    <w:rsid w:val="00AA25E0"/>
    <w:rsid w:val="00D12F0A"/>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D4EBE"/>
  <w15:docId w15:val="{D39AFB2F-B308-4B21-9E25-47563607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4D0ECA"/>
    <w:rPr>
      <w:sz w:val="18"/>
      <w:szCs w:val="18"/>
    </w:rPr>
  </w:style>
  <w:style w:type="character" w:customStyle="1" w:styleId="a8">
    <w:name w:val="批注框文本 字符"/>
    <w:basedOn w:val="a0"/>
    <w:link w:val="a7"/>
    <w:rsid w:val="004D0ECA"/>
    <w:rPr>
      <w:rFonts w:ascii="Calibri" w:hAnsi="NEU-BZ"/>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D12F0A"/>
    <w:pPr>
      <w:widowControl w:val="0"/>
      <w:jc w:val="both"/>
    </w:pPr>
    <w:rPr>
      <w:rFonts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 L</cp:lastModifiedBy>
  <cp:revision>3</cp:revision>
  <cp:lastPrinted>2021-09-22T01:19:00Z</cp:lastPrinted>
  <dcterms:created xsi:type="dcterms:W3CDTF">2021-11-19T01:36:00Z</dcterms:created>
  <dcterms:modified xsi:type="dcterms:W3CDTF">2021-11-19T01:56:00Z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9549393FF20545CDB52FED4E228F6F76</vt:lpwstr>
  </property>
</Properties>
</file>