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opLinePunct/>
        <w:spacing w:line="600" w:lineRule="exact"/>
        <w:jc w:val="left"/>
        <w:outlineLvl w:val="0"/>
        <w:rPr>
          <w:rFonts w:eastAsia="黑体"/>
          <w:bCs/>
          <w:sz w:val="32"/>
          <w:szCs w:val="32"/>
        </w:rPr>
      </w:pPr>
    </w:p>
    <w:p>
      <w:pPr>
        <w:overflowPunct w:val="0"/>
        <w:topLinePunct/>
        <w:jc w:val="center"/>
        <w:rPr>
          <w:rFonts w:eastAsia="方正小标宋简体"/>
          <w:spacing w:val="8"/>
          <w:sz w:val="40"/>
          <w:szCs w:val="40"/>
        </w:rPr>
      </w:pPr>
    </w:p>
    <w:p>
      <w:pPr>
        <w:overflowPunct w:val="0"/>
        <w:topLinePunct/>
        <w:jc w:val="center"/>
        <w:rPr>
          <w:rFonts w:eastAsia="方正小标宋简体"/>
          <w:spacing w:val="8"/>
          <w:sz w:val="40"/>
          <w:szCs w:val="40"/>
        </w:rPr>
      </w:pPr>
    </w:p>
    <w:p>
      <w:pPr>
        <w:overflowPunct w:val="0"/>
        <w:topLinePunct/>
        <w:jc w:val="center"/>
        <w:rPr>
          <w:rFonts w:eastAsia="方正小标宋简体"/>
          <w:spacing w:val="8"/>
          <w:sz w:val="46"/>
          <w:szCs w:val="46"/>
        </w:rPr>
      </w:pPr>
    </w:p>
    <w:p>
      <w:pPr>
        <w:overflowPunct w:val="0"/>
        <w:topLinePunct/>
        <w:spacing w:before="156" w:beforeLines="50"/>
        <w:ind w:firstLine="340" w:firstLineChars="71"/>
        <w:jc w:val="center"/>
        <w:rPr>
          <w:rFonts w:eastAsia="方正小标宋简体"/>
          <w:bCs/>
          <w:color w:val="000000"/>
          <w:spacing w:val="20"/>
          <w:sz w:val="44"/>
          <w:szCs w:val="44"/>
        </w:rPr>
      </w:pPr>
      <w:r>
        <w:rPr>
          <w:rFonts w:hint="eastAsia" w:eastAsia="方正小标宋简体"/>
          <w:bCs/>
          <w:color w:val="000000"/>
          <w:spacing w:val="20"/>
          <w:sz w:val="44"/>
          <w:szCs w:val="44"/>
        </w:rPr>
        <w:t>四川省“十四五”生态环境保护标准</w:t>
      </w:r>
    </w:p>
    <w:p>
      <w:pPr>
        <w:overflowPunct w:val="0"/>
        <w:topLinePunct/>
        <w:spacing w:before="156" w:beforeLines="50"/>
        <w:ind w:firstLine="340" w:firstLineChars="71"/>
        <w:jc w:val="center"/>
        <w:rPr>
          <w:rFonts w:eastAsia="方正小标宋简体"/>
          <w:bCs/>
          <w:color w:val="000000"/>
          <w:spacing w:val="20"/>
          <w:sz w:val="44"/>
          <w:szCs w:val="44"/>
        </w:rPr>
      </w:pPr>
      <w:r>
        <w:rPr>
          <w:rFonts w:hint="eastAsia" w:eastAsia="方正小标宋简体"/>
          <w:bCs/>
          <w:color w:val="000000"/>
          <w:spacing w:val="20"/>
          <w:sz w:val="44"/>
          <w:szCs w:val="44"/>
        </w:rPr>
        <w:t>发展规划</w:t>
      </w:r>
    </w:p>
    <w:p>
      <w:pPr>
        <w:overflowPunct w:val="0"/>
        <w:topLinePunct/>
        <w:rPr>
          <w:spacing w:val="8"/>
          <w:sz w:val="32"/>
        </w:rPr>
      </w:pPr>
    </w:p>
    <w:p>
      <w:pPr>
        <w:overflowPunct w:val="0"/>
        <w:topLinePunct/>
        <w:rPr>
          <w:rFonts w:eastAsia="等线"/>
          <w:spacing w:val="8"/>
          <w:szCs w:val="22"/>
        </w:rPr>
      </w:pPr>
    </w:p>
    <w:p>
      <w:pPr>
        <w:overflowPunct w:val="0"/>
        <w:topLinePunct/>
        <w:rPr>
          <w:spacing w:val="8"/>
        </w:rPr>
      </w:pPr>
    </w:p>
    <w:p>
      <w:pPr>
        <w:overflowPunct w:val="0"/>
        <w:topLinePunct/>
        <w:rPr>
          <w:rFonts w:eastAsia="等线"/>
          <w:spacing w:val="8"/>
          <w:szCs w:val="22"/>
        </w:rPr>
      </w:pPr>
    </w:p>
    <w:p>
      <w:pPr>
        <w:overflowPunct w:val="0"/>
        <w:topLinePunct/>
        <w:rPr>
          <w:spacing w:val="8"/>
          <w:sz w:val="32"/>
        </w:rPr>
      </w:pPr>
    </w:p>
    <w:p>
      <w:pPr>
        <w:overflowPunct w:val="0"/>
        <w:topLinePunct/>
        <w:rPr>
          <w:rFonts w:eastAsia="等线"/>
          <w:spacing w:val="8"/>
          <w:szCs w:val="22"/>
        </w:rPr>
      </w:pPr>
    </w:p>
    <w:p>
      <w:pPr>
        <w:overflowPunct w:val="0"/>
        <w:topLinePunct/>
        <w:rPr>
          <w:rFonts w:eastAsia="等线"/>
          <w:spacing w:val="8"/>
          <w:szCs w:val="22"/>
        </w:rPr>
      </w:pPr>
    </w:p>
    <w:p>
      <w:pPr>
        <w:overflowPunct w:val="0"/>
        <w:topLinePunct/>
        <w:rPr>
          <w:rFonts w:eastAsia="等线"/>
          <w:spacing w:val="8"/>
          <w:sz w:val="32"/>
          <w:szCs w:val="22"/>
        </w:rPr>
      </w:pPr>
    </w:p>
    <w:p>
      <w:pPr>
        <w:overflowPunct w:val="0"/>
        <w:topLinePunct/>
        <w:rPr>
          <w:spacing w:val="8"/>
          <w:sz w:val="32"/>
        </w:rPr>
      </w:pPr>
    </w:p>
    <w:p>
      <w:pPr>
        <w:overflowPunct w:val="0"/>
        <w:topLinePunct/>
        <w:rPr>
          <w:rFonts w:eastAsia="等线"/>
          <w:spacing w:val="8"/>
          <w:szCs w:val="22"/>
        </w:rPr>
      </w:pPr>
    </w:p>
    <w:p>
      <w:pPr>
        <w:overflowPunct w:val="0"/>
        <w:topLinePunct/>
        <w:rPr>
          <w:spacing w:val="8"/>
        </w:rPr>
      </w:pPr>
    </w:p>
    <w:p>
      <w:pPr>
        <w:overflowPunct w:val="0"/>
        <w:topLinePunct/>
        <w:rPr>
          <w:rFonts w:eastAsia="等线"/>
          <w:spacing w:val="8"/>
          <w:sz w:val="32"/>
          <w:szCs w:val="22"/>
        </w:rPr>
      </w:pPr>
    </w:p>
    <w:p>
      <w:pPr>
        <w:overflowPunct w:val="0"/>
        <w:topLinePunct/>
        <w:jc w:val="center"/>
        <w:rPr>
          <w:rFonts w:eastAsia="黑体"/>
          <w:bCs/>
          <w:spacing w:val="8"/>
          <w:sz w:val="40"/>
          <w:szCs w:val="32"/>
        </w:rPr>
      </w:pPr>
    </w:p>
    <w:p>
      <w:pPr>
        <w:overflowPunct w:val="0"/>
        <w:topLinePunct/>
        <w:jc w:val="center"/>
        <w:rPr>
          <w:rFonts w:eastAsia="黑体"/>
          <w:bCs/>
          <w:color w:val="000000"/>
          <w:sz w:val="36"/>
          <w:szCs w:val="36"/>
        </w:rPr>
      </w:pPr>
      <w:r>
        <w:rPr>
          <w:rFonts w:eastAsia="黑体"/>
          <w:bCs/>
          <w:color w:val="000000"/>
          <w:sz w:val="36"/>
          <w:szCs w:val="36"/>
        </w:rPr>
        <w:t>二〇二二年</w:t>
      </w:r>
      <w:r>
        <w:rPr>
          <w:rFonts w:hint="eastAsia" w:eastAsia="黑体"/>
          <w:bCs/>
          <w:color w:val="000000"/>
          <w:sz w:val="36"/>
          <w:szCs w:val="36"/>
        </w:rPr>
        <w:t>十</w:t>
      </w:r>
      <w:r>
        <w:rPr>
          <w:rFonts w:eastAsia="黑体"/>
          <w:bCs/>
          <w:color w:val="000000"/>
          <w:sz w:val="36"/>
          <w:szCs w:val="36"/>
        </w:rPr>
        <w:t>月</w:t>
      </w:r>
    </w:p>
    <w:p>
      <w:pPr>
        <w:overflowPunct w:val="0"/>
        <w:topLinePunct/>
        <w:ind w:firstLine="560"/>
        <w:rPr>
          <w:spacing w:val="8"/>
        </w:rPr>
      </w:pPr>
    </w:p>
    <w:p>
      <w:pPr>
        <w:overflowPunct w:val="0"/>
        <w:topLinePunct/>
        <w:spacing w:line="600" w:lineRule="exact"/>
        <w:jc w:val="center"/>
        <w:rPr>
          <w:rFonts w:eastAsia="方正小标宋简体"/>
          <w:spacing w:val="8"/>
          <w:sz w:val="46"/>
          <w:szCs w:val="46"/>
        </w:rPr>
      </w:pPr>
      <w:r>
        <w:rPr>
          <w:rFonts w:eastAsia="等线"/>
          <w:spacing w:val="8"/>
          <w:szCs w:val="22"/>
        </w:rPr>
        <w:br w:type="page"/>
      </w:r>
      <w:r>
        <w:rPr>
          <w:rFonts w:eastAsia="方正小标宋简体"/>
          <w:color w:val="000000"/>
          <w:sz w:val="44"/>
          <w:szCs w:val="36"/>
        </w:rPr>
        <w:t>目  录</w:t>
      </w:r>
    </w:p>
    <w:p>
      <w:pPr>
        <w:tabs>
          <w:tab w:val="right" w:leader="dot" w:pos="8834"/>
        </w:tabs>
        <w:topLinePunct/>
        <w:rPr>
          <w:rFonts w:eastAsiaTheme="minorEastAsia" w:cstheme="minorBidi"/>
          <w:szCs w:val="22"/>
        </w:rPr>
      </w:pPr>
      <w:r>
        <w:rPr>
          <w:rFonts w:eastAsia="黑体"/>
          <w:spacing w:val="8"/>
          <w:kern w:val="0"/>
          <w:sz w:val="32"/>
          <w:szCs w:val="32"/>
          <w:lang w:val="zh-CN"/>
        </w:rPr>
        <w:fldChar w:fldCharType="begin"/>
      </w:r>
      <w:r>
        <w:rPr>
          <w:rFonts w:eastAsia="黑体"/>
          <w:spacing w:val="8"/>
          <w:kern w:val="0"/>
          <w:sz w:val="32"/>
          <w:szCs w:val="32"/>
          <w:lang w:val="zh-CN"/>
        </w:rPr>
        <w:instrText xml:space="preserve"> TOC \o "1-2" \h \z \u </w:instrText>
      </w:r>
      <w:r>
        <w:rPr>
          <w:rFonts w:eastAsia="黑体"/>
          <w:spacing w:val="8"/>
          <w:kern w:val="0"/>
          <w:sz w:val="32"/>
          <w:szCs w:val="32"/>
          <w:lang w:val="zh-CN"/>
        </w:rPr>
        <w:fldChar w:fldCharType="separate"/>
      </w:r>
    </w:p>
    <w:p>
      <w:pPr>
        <w:tabs>
          <w:tab w:val="right" w:leader="dot" w:pos="8834"/>
        </w:tabs>
        <w:topLinePunct/>
        <w:spacing w:line="560" w:lineRule="exact"/>
        <w:rPr>
          <w:rFonts w:eastAsia="黑体"/>
          <w:bCs/>
          <w:sz w:val="32"/>
          <w:szCs w:val="32"/>
        </w:rPr>
      </w:pPr>
      <w:r>
        <w:fldChar w:fldCharType="begin"/>
      </w:r>
      <w:r>
        <w:instrText xml:space="preserve"> HYPERLINK \l "_Toc110953396" </w:instrText>
      </w:r>
      <w:r>
        <w:fldChar w:fldCharType="separate"/>
      </w:r>
      <w:r>
        <w:rPr>
          <w:rFonts w:eastAsia="黑体"/>
          <w:bCs/>
          <w:color w:val="000000"/>
          <w:spacing w:val="8"/>
          <w:sz w:val="32"/>
          <w:szCs w:val="32"/>
        </w:rPr>
        <w:t>一、规划背景</w:t>
      </w:r>
      <w:r>
        <w:rPr>
          <w:rFonts w:eastAsia="黑体"/>
          <w:bCs/>
          <w:sz w:val="32"/>
          <w:szCs w:val="32"/>
        </w:rPr>
        <w:tab/>
      </w:r>
      <w:r>
        <w:rPr>
          <w:rFonts w:eastAsia="黑体"/>
          <w:bCs/>
          <w:sz w:val="32"/>
          <w:szCs w:val="32"/>
        </w:rPr>
        <w:fldChar w:fldCharType="begin"/>
      </w:r>
      <w:r>
        <w:rPr>
          <w:rFonts w:eastAsia="黑体"/>
          <w:bCs/>
          <w:sz w:val="32"/>
          <w:szCs w:val="32"/>
        </w:rPr>
        <w:instrText xml:space="preserve"> PAGEREF _Toc110953396 \h </w:instrText>
      </w:r>
      <w:r>
        <w:rPr>
          <w:rFonts w:eastAsia="黑体"/>
          <w:bCs/>
          <w:sz w:val="32"/>
          <w:szCs w:val="32"/>
        </w:rPr>
        <w:fldChar w:fldCharType="separate"/>
      </w:r>
      <w:r>
        <w:rPr>
          <w:rFonts w:eastAsia="黑体"/>
          <w:bCs/>
          <w:sz w:val="32"/>
          <w:szCs w:val="32"/>
        </w:rPr>
        <w:t>5</w:t>
      </w:r>
      <w:r>
        <w:rPr>
          <w:rFonts w:eastAsia="黑体"/>
          <w:bCs/>
          <w:sz w:val="32"/>
          <w:szCs w:val="32"/>
        </w:rPr>
        <w:fldChar w:fldCharType="end"/>
      </w:r>
      <w:r>
        <w:rPr>
          <w:rFonts w:eastAsia="黑体"/>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"_Toc110953397" </w:instrText>
      </w:r>
      <w:r>
        <w:fldChar w:fldCharType="separate"/>
      </w:r>
      <w:r>
        <w:rPr>
          <w:rFonts w:eastAsia="楷体_GB2312"/>
          <w:bCs/>
          <w:color w:val="000000"/>
          <w:sz w:val="32"/>
          <w:szCs w:val="32"/>
        </w:rPr>
        <w:t>（一）四川省生态环境保护标准化初见成效</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_Toc110953397 \h </w:instrText>
      </w:r>
      <w:r>
        <w:rPr>
          <w:rFonts w:eastAsia="楷体_GB2312"/>
          <w:bCs/>
          <w:sz w:val="32"/>
          <w:szCs w:val="32"/>
        </w:rPr>
        <w:fldChar w:fldCharType="separate"/>
      </w:r>
      <w:r>
        <w:rPr>
          <w:rFonts w:eastAsia="楷体_GB2312"/>
          <w:bCs/>
          <w:sz w:val="32"/>
          <w:szCs w:val="32"/>
        </w:rPr>
        <w:t>5</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"_Toc110953398" </w:instrText>
      </w:r>
      <w:r>
        <w:fldChar w:fldCharType="separate"/>
      </w:r>
      <w:r>
        <w:rPr>
          <w:rFonts w:eastAsia="楷体_GB2312"/>
          <w:bCs/>
          <w:color w:val="000000"/>
          <w:sz w:val="32"/>
          <w:szCs w:val="32"/>
        </w:rPr>
        <w:t>（二）四川省生态环境保护标准化存在的问题</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_Toc110953398 \h </w:instrText>
      </w:r>
      <w:r>
        <w:rPr>
          <w:rFonts w:eastAsia="楷体_GB2312"/>
          <w:bCs/>
          <w:sz w:val="32"/>
          <w:szCs w:val="32"/>
        </w:rPr>
        <w:fldChar w:fldCharType="separate"/>
      </w:r>
      <w:r>
        <w:rPr>
          <w:rFonts w:eastAsia="楷体_GB2312"/>
          <w:bCs/>
          <w:sz w:val="32"/>
          <w:szCs w:val="32"/>
        </w:rPr>
        <w:t>6</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"_Toc110953399" </w:instrText>
      </w:r>
      <w:r>
        <w:fldChar w:fldCharType="separate"/>
      </w:r>
      <w:r>
        <w:rPr>
          <w:rFonts w:eastAsia="楷体_GB2312"/>
          <w:bCs/>
          <w:color w:val="000000"/>
          <w:sz w:val="32"/>
          <w:szCs w:val="32"/>
        </w:rPr>
        <w:t>（三）四川省生态环境保护标准化工作形势</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_Toc110953399 \h </w:instrText>
      </w:r>
      <w:r>
        <w:rPr>
          <w:rFonts w:eastAsia="楷体_GB2312"/>
          <w:bCs/>
          <w:sz w:val="32"/>
          <w:szCs w:val="32"/>
        </w:rPr>
        <w:fldChar w:fldCharType="separate"/>
      </w:r>
      <w:r>
        <w:rPr>
          <w:rFonts w:eastAsia="楷体_GB2312"/>
          <w:bCs/>
          <w:sz w:val="32"/>
          <w:szCs w:val="32"/>
        </w:rPr>
        <w:t>8</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rPr>
          <w:rFonts w:eastAsia="黑体"/>
          <w:bCs/>
          <w:color w:val="000000"/>
          <w:spacing w:val="8"/>
          <w:sz w:val="32"/>
          <w:szCs w:val="32"/>
        </w:rPr>
      </w:pPr>
      <w:r>
        <w:fldChar w:fldCharType="begin"/>
      </w:r>
      <w:r>
        <w:instrText xml:space="preserve"> HYPERLINK \l "_Toc110953400" </w:instrText>
      </w:r>
      <w:r>
        <w:fldChar w:fldCharType="separate"/>
      </w:r>
      <w:r>
        <w:rPr>
          <w:rFonts w:eastAsia="黑体"/>
          <w:bCs/>
          <w:color w:val="000000"/>
          <w:spacing w:val="8"/>
          <w:sz w:val="32"/>
          <w:szCs w:val="32"/>
        </w:rPr>
        <w:t>二、指导思想、原则与目标</w:t>
      </w:r>
      <w:r>
        <w:rPr>
          <w:rFonts w:eastAsia="黑体"/>
          <w:bCs/>
          <w:color w:val="000000"/>
          <w:spacing w:val="8"/>
          <w:sz w:val="32"/>
          <w:szCs w:val="32"/>
        </w:rPr>
        <w:tab/>
      </w:r>
      <w:r>
        <w:rPr>
          <w:rFonts w:eastAsia="黑体"/>
          <w:bCs/>
          <w:color w:val="000000"/>
          <w:spacing w:val="8"/>
          <w:sz w:val="32"/>
          <w:szCs w:val="32"/>
        </w:rPr>
        <w:fldChar w:fldCharType="begin"/>
      </w:r>
      <w:r>
        <w:rPr>
          <w:rFonts w:eastAsia="黑体"/>
          <w:bCs/>
          <w:color w:val="000000"/>
          <w:spacing w:val="8"/>
          <w:sz w:val="32"/>
          <w:szCs w:val="32"/>
        </w:rPr>
        <w:instrText xml:space="preserve"> PAGEREF _Toc110953400 \h </w:instrText>
      </w:r>
      <w:r>
        <w:rPr>
          <w:rFonts w:eastAsia="黑体"/>
          <w:bCs/>
          <w:color w:val="000000"/>
          <w:spacing w:val="8"/>
          <w:sz w:val="32"/>
          <w:szCs w:val="32"/>
        </w:rPr>
        <w:fldChar w:fldCharType="separate"/>
      </w:r>
      <w:r>
        <w:rPr>
          <w:rFonts w:eastAsia="黑体"/>
          <w:bCs/>
          <w:color w:val="000000"/>
          <w:spacing w:val="8"/>
          <w:sz w:val="32"/>
          <w:szCs w:val="32"/>
        </w:rPr>
        <w:t>9</w:t>
      </w:r>
      <w:r>
        <w:rPr>
          <w:rFonts w:eastAsia="黑体"/>
          <w:bCs/>
          <w:color w:val="000000"/>
          <w:spacing w:val="8"/>
          <w:sz w:val="32"/>
          <w:szCs w:val="32"/>
        </w:rPr>
        <w:fldChar w:fldCharType="end"/>
      </w:r>
      <w:r>
        <w:rPr>
          <w:rFonts w:eastAsia="黑体"/>
          <w:bCs/>
          <w:color w:val="000000"/>
          <w:spacing w:val="8"/>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"_Toc110953401" </w:instrText>
      </w:r>
      <w:r>
        <w:fldChar w:fldCharType="separate"/>
      </w:r>
      <w:r>
        <w:rPr>
          <w:rFonts w:eastAsia="楷体_GB2312"/>
          <w:bCs/>
          <w:color w:val="000000"/>
          <w:sz w:val="32"/>
          <w:szCs w:val="32"/>
        </w:rPr>
        <w:t>（一）指导思想</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_Toc110953401 \h </w:instrText>
      </w:r>
      <w:r>
        <w:rPr>
          <w:rFonts w:eastAsia="楷体_GB2312"/>
          <w:bCs/>
          <w:sz w:val="32"/>
          <w:szCs w:val="32"/>
        </w:rPr>
        <w:fldChar w:fldCharType="separate"/>
      </w:r>
      <w:r>
        <w:rPr>
          <w:rFonts w:eastAsia="楷体_GB2312"/>
          <w:bCs/>
          <w:sz w:val="32"/>
          <w:szCs w:val="32"/>
        </w:rPr>
        <w:t>9</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"_Toc110953402" </w:instrText>
      </w:r>
      <w:r>
        <w:fldChar w:fldCharType="separate"/>
      </w:r>
      <w:r>
        <w:rPr>
          <w:rFonts w:eastAsia="楷体_GB2312"/>
          <w:bCs/>
          <w:color w:val="000000"/>
          <w:sz w:val="32"/>
          <w:szCs w:val="32"/>
        </w:rPr>
        <w:t>（二）基本原则</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_Toc110953402 \h </w:instrText>
      </w:r>
      <w:r>
        <w:rPr>
          <w:rFonts w:eastAsia="楷体_GB2312"/>
          <w:bCs/>
          <w:sz w:val="32"/>
          <w:szCs w:val="32"/>
        </w:rPr>
        <w:fldChar w:fldCharType="separate"/>
      </w:r>
      <w:r>
        <w:rPr>
          <w:rFonts w:eastAsia="楷体_GB2312"/>
          <w:bCs/>
          <w:sz w:val="32"/>
          <w:szCs w:val="32"/>
        </w:rPr>
        <w:t>9</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"_Toc110953403" </w:instrText>
      </w:r>
      <w:r>
        <w:fldChar w:fldCharType="separate"/>
      </w:r>
      <w:r>
        <w:rPr>
          <w:rFonts w:eastAsia="楷体_GB2312"/>
          <w:bCs/>
          <w:color w:val="000000"/>
          <w:sz w:val="32"/>
          <w:szCs w:val="32"/>
        </w:rPr>
        <w:t>（三）建设目标</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_Toc110953403 \h </w:instrText>
      </w:r>
      <w:r>
        <w:rPr>
          <w:rFonts w:eastAsia="楷体_GB2312"/>
          <w:bCs/>
          <w:sz w:val="32"/>
          <w:szCs w:val="32"/>
        </w:rPr>
        <w:fldChar w:fldCharType="separate"/>
      </w:r>
      <w:r>
        <w:rPr>
          <w:rFonts w:eastAsia="楷体_GB2312"/>
          <w:bCs/>
          <w:sz w:val="32"/>
          <w:szCs w:val="32"/>
        </w:rPr>
        <w:t>10</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rPr>
          <w:rFonts w:eastAsia="黑体"/>
          <w:bCs/>
          <w:color w:val="000000"/>
          <w:spacing w:val="8"/>
          <w:sz w:val="32"/>
          <w:szCs w:val="32"/>
        </w:rPr>
      </w:pPr>
      <w:r>
        <w:fldChar w:fldCharType="begin"/>
      </w:r>
      <w:r>
        <w:instrText xml:space="preserve"> HYPERLINK \l "_Toc110953404" </w:instrText>
      </w:r>
      <w:r>
        <w:fldChar w:fldCharType="separate"/>
      </w:r>
      <w:r>
        <w:rPr>
          <w:rFonts w:eastAsia="黑体"/>
          <w:bCs/>
          <w:color w:val="000000"/>
          <w:spacing w:val="8"/>
          <w:sz w:val="32"/>
          <w:szCs w:val="32"/>
        </w:rPr>
        <w:t>三、主要任务</w:t>
      </w:r>
      <w:r>
        <w:rPr>
          <w:rFonts w:eastAsia="黑体"/>
          <w:bCs/>
          <w:color w:val="000000"/>
          <w:spacing w:val="8"/>
          <w:sz w:val="32"/>
          <w:szCs w:val="32"/>
        </w:rPr>
        <w:tab/>
      </w:r>
      <w:r>
        <w:rPr>
          <w:rFonts w:eastAsia="黑体"/>
          <w:bCs/>
          <w:color w:val="000000"/>
          <w:spacing w:val="8"/>
          <w:sz w:val="32"/>
          <w:szCs w:val="32"/>
        </w:rPr>
        <w:fldChar w:fldCharType="begin"/>
      </w:r>
      <w:r>
        <w:rPr>
          <w:rFonts w:eastAsia="黑体"/>
          <w:bCs/>
          <w:color w:val="000000"/>
          <w:spacing w:val="8"/>
          <w:sz w:val="32"/>
          <w:szCs w:val="32"/>
        </w:rPr>
        <w:instrText xml:space="preserve"> PAGEREF _Toc110953404 \h </w:instrText>
      </w:r>
      <w:r>
        <w:rPr>
          <w:rFonts w:eastAsia="黑体"/>
          <w:bCs/>
          <w:color w:val="000000"/>
          <w:spacing w:val="8"/>
          <w:sz w:val="32"/>
          <w:szCs w:val="32"/>
        </w:rPr>
        <w:fldChar w:fldCharType="separate"/>
      </w:r>
      <w:r>
        <w:rPr>
          <w:rFonts w:eastAsia="黑体"/>
          <w:bCs/>
          <w:color w:val="000000"/>
          <w:spacing w:val="8"/>
          <w:sz w:val="32"/>
          <w:szCs w:val="32"/>
        </w:rPr>
        <w:t>10</w:t>
      </w:r>
      <w:r>
        <w:rPr>
          <w:rFonts w:eastAsia="黑体"/>
          <w:bCs/>
          <w:color w:val="000000"/>
          <w:spacing w:val="8"/>
          <w:sz w:val="32"/>
          <w:szCs w:val="32"/>
        </w:rPr>
        <w:fldChar w:fldCharType="end"/>
      </w:r>
      <w:r>
        <w:rPr>
          <w:rFonts w:eastAsia="黑体"/>
          <w:bCs/>
          <w:color w:val="000000"/>
          <w:spacing w:val="8"/>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"_Toc110953405" </w:instrText>
      </w:r>
      <w:r>
        <w:fldChar w:fldCharType="separate"/>
      </w:r>
      <w:r>
        <w:rPr>
          <w:rFonts w:eastAsia="楷体_GB2312"/>
          <w:bCs/>
          <w:color w:val="000000"/>
          <w:sz w:val="32"/>
          <w:szCs w:val="32"/>
        </w:rPr>
        <w:t>（一）以标准支撑区域生态共建环境共保</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_Toc110953405 \h </w:instrText>
      </w:r>
      <w:r>
        <w:rPr>
          <w:rFonts w:eastAsia="楷体_GB2312"/>
          <w:bCs/>
          <w:sz w:val="32"/>
          <w:szCs w:val="32"/>
        </w:rPr>
        <w:fldChar w:fldCharType="separate"/>
      </w:r>
      <w:r>
        <w:rPr>
          <w:rFonts w:eastAsia="楷体_GB2312"/>
          <w:bCs/>
          <w:sz w:val="32"/>
          <w:szCs w:val="32"/>
        </w:rPr>
        <w:t>10</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"_Toc110953406" </w:instrText>
      </w:r>
      <w:r>
        <w:fldChar w:fldCharType="separate"/>
      </w:r>
      <w:r>
        <w:rPr>
          <w:rFonts w:eastAsia="楷体_GB2312"/>
          <w:bCs/>
          <w:color w:val="000000"/>
          <w:sz w:val="32"/>
          <w:szCs w:val="32"/>
        </w:rPr>
        <w:t>（二）以标准支撑双碳工作顺利开展</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_Toc110953406 \h </w:instrText>
      </w:r>
      <w:r>
        <w:rPr>
          <w:rFonts w:eastAsia="楷体_GB2312"/>
          <w:bCs/>
          <w:sz w:val="32"/>
          <w:szCs w:val="32"/>
        </w:rPr>
        <w:fldChar w:fldCharType="separate"/>
      </w:r>
      <w:r>
        <w:rPr>
          <w:rFonts w:eastAsia="楷体_GB2312"/>
          <w:bCs/>
          <w:sz w:val="32"/>
          <w:szCs w:val="32"/>
        </w:rPr>
        <w:t>11</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"_Toc110953407" </w:instrText>
      </w:r>
      <w:r>
        <w:fldChar w:fldCharType="separate"/>
      </w:r>
      <w:r>
        <w:rPr>
          <w:rFonts w:eastAsia="楷体_GB2312"/>
          <w:bCs/>
          <w:color w:val="000000"/>
          <w:sz w:val="32"/>
          <w:szCs w:val="32"/>
        </w:rPr>
        <w:t>（三）以标准支撑长江黄河上游生态屏障建设</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_Toc110953407 \h </w:instrText>
      </w:r>
      <w:r>
        <w:rPr>
          <w:rFonts w:eastAsia="楷体_GB2312"/>
          <w:bCs/>
          <w:sz w:val="32"/>
          <w:szCs w:val="32"/>
        </w:rPr>
        <w:fldChar w:fldCharType="separate"/>
      </w:r>
      <w:r>
        <w:rPr>
          <w:rFonts w:eastAsia="楷体_GB2312"/>
          <w:bCs/>
          <w:sz w:val="32"/>
          <w:szCs w:val="32"/>
        </w:rPr>
        <w:t>11</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"_Toc110953408" </w:instrText>
      </w:r>
      <w:r>
        <w:fldChar w:fldCharType="separate"/>
      </w:r>
      <w:r>
        <w:rPr>
          <w:rFonts w:eastAsia="楷体_GB2312"/>
          <w:bCs/>
          <w:color w:val="000000"/>
          <w:sz w:val="32"/>
          <w:szCs w:val="32"/>
        </w:rPr>
        <w:t>（四）以标准支撑深入打好污染防治攻坚战</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_Toc110953408 \h </w:instrText>
      </w:r>
      <w:r>
        <w:rPr>
          <w:rFonts w:eastAsia="楷体_GB2312"/>
          <w:bCs/>
          <w:sz w:val="32"/>
          <w:szCs w:val="32"/>
        </w:rPr>
        <w:fldChar w:fldCharType="separate"/>
      </w:r>
      <w:r>
        <w:rPr>
          <w:rFonts w:eastAsia="楷体_GB2312"/>
          <w:bCs/>
          <w:sz w:val="32"/>
          <w:szCs w:val="32"/>
        </w:rPr>
        <w:t>12</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"_Toc110953409" </w:instrText>
      </w:r>
      <w:r>
        <w:fldChar w:fldCharType="separate"/>
      </w:r>
      <w:r>
        <w:rPr>
          <w:rFonts w:eastAsia="楷体_GB2312"/>
          <w:bCs/>
          <w:color w:val="000000"/>
          <w:sz w:val="32"/>
          <w:szCs w:val="32"/>
        </w:rPr>
        <w:t>（五）以标准强化生态环境风险防控</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_Toc110953409 \h </w:instrText>
      </w:r>
      <w:r>
        <w:rPr>
          <w:rFonts w:eastAsia="楷体_GB2312"/>
          <w:bCs/>
          <w:sz w:val="32"/>
          <w:szCs w:val="32"/>
        </w:rPr>
        <w:fldChar w:fldCharType="separate"/>
      </w:r>
      <w:r>
        <w:rPr>
          <w:rFonts w:eastAsia="楷体_GB2312"/>
          <w:bCs/>
          <w:sz w:val="32"/>
          <w:szCs w:val="32"/>
        </w:rPr>
        <w:t>14</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"_Toc110953410" </w:instrText>
      </w:r>
      <w:r>
        <w:fldChar w:fldCharType="separate"/>
      </w:r>
      <w:r>
        <w:rPr>
          <w:rFonts w:eastAsia="楷体_GB2312"/>
          <w:bCs/>
          <w:color w:val="000000"/>
          <w:sz w:val="32"/>
          <w:szCs w:val="32"/>
        </w:rPr>
        <w:t>（六）以标准体制机制建设促进标准化治理效能提升</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_Toc110953410 \h </w:instrText>
      </w:r>
      <w:r>
        <w:rPr>
          <w:rFonts w:eastAsia="楷体_GB2312"/>
          <w:bCs/>
          <w:sz w:val="32"/>
          <w:szCs w:val="32"/>
        </w:rPr>
        <w:fldChar w:fldCharType="separate"/>
      </w:r>
      <w:r>
        <w:rPr>
          <w:rFonts w:eastAsia="楷体_GB2312"/>
          <w:bCs/>
          <w:sz w:val="32"/>
          <w:szCs w:val="32"/>
        </w:rPr>
        <w:t>14</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rPr>
          <w:rFonts w:eastAsia="黑体"/>
          <w:bCs/>
          <w:color w:val="000000"/>
          <w:spacing w:val="8"/>
          <w:sz w:val="32"/>
          <w:szCs w:val="32"/>
        </w:rPr>
      </w:pPr>
      <w:r>
        <w:fldChar w:fldCharType="begin"/>
      </w:r>
      <w:r>
        <w:instrText xml:space="preserve"> HYPERLINK \l "_Toc110953411" </w:instrText>
      </w:r>
      <w:r>
        <w:fldChar w:fldCharType="separate"/>
      </w:r>
      <w:r>
        <w:rPr>
          <w:rFonts w:eastAsia="黑体"/>
          <w:bCs/>
          <w:color w:val="000000"/>
          <w:spacing w:val="8"/>
          <w:sz w:val="32"/>
          <w:szCs w:val="32"/>
        </w:rPr>
        <w:t>四、实施保障</w:t>
      </w:r>
      <w:r>
        <w:rPr>
          <w:rFonts w:eastAsia="黑体"/>
          <w:bCs/>
          <w:color w:val="000000"/>
          <w:spacing w:val="8"/>
          <w:sz w:val="32"/>
          <w:szCs w:val="32"/>
        </w:rPr>
        <w:tab/>
      </w:r>
      <w:r>
        <w:rPr>
          <w:rFonts w:eastAsia="黑体"/>
          <w:bCs/>
          <w:color w:val="000000"/>
          <w:spacing w:val="8"/>
          <w:sz w:val="32"/>
          <w:szCs w:val="32"/>
        </w:rPr>
        <w:fldChar w:fldCharType="begin"/>
      </w:r>
      <w:r>
        <w:rPr>
          <w:rFonts w:eastAsia="黑体"/>
          <w:bCs/>
          <w:color w:val="000000"/>
          <w:spacing w:val="8"/>
          <w:sz w:val="32"/>
          <w:szCs w:val="32"/>
        </w:rPr>
        <w:instrText xml:space="preserve"> PAGEREF _Toc110953411 \h </w:instrText>
      </w:r>
      <w:r>
        <w:rPr>
          <w:rFonts w:eastAsia="黑体"/>
          <w:bCs/>
          <w:color w:val="000000"/>
          <w:spacing w:val="8"/>
          <w:sz w:val="32"/>
          <w:szCs w:val="32"/>
        </w:rPr>
        <w:fldChar w:fldCharType="separate"/>
      </w:r>
      <w:r>
        <w:rPr>
          <w:rFonts w:eastAsia="黑体"/>
          <w:bCs/>
          <w:color w:val="000000"/>
          <w:spacing w:val="8"/>
          <w:sz w:val="32"/>
          <w:szCs w:val="32"/>
        </w:rPr>
        <w:t>16</w:t>
      </w:r>
      <w:r>
        <w:rPr>
          <w:rFonts w:eastAsia="黑体"/>
          <w:bCs/>
          <w:color w:val="000000"/>
          <w:spacing w:val="8"/>
          <w:sz w:val="32"/>
          <w:szCs w:val="32"/>
        </w:rPr>
        <w:fldChar w:fldCharType="end"/>
      </w:r>
      <w:r>
        <w:rPr>
          <w:rFonts w:eastAsia="黑体"/>
          <w:bCs/>
          <w:color w:val="000000"/>
          <w:spacing w:val="8"/>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"_Toc110953412" </w:instrText>
      </w:r>
      <w:r>
        <w:fldChar w:fldCharType="separate"/>
      </w:r>
      <w:r>
        <w:rPr>
          <w:rFonts w:eastAsia="楷体_GB2312"/>
          <w:bCs/>
          <w:color w:val="000000"/>
          <w:sz w:val="32"/>
          <w:szCs w:val="32"/>
        </w:rPr>
        <w:t>（一）强化组织领导协调</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_Toc110953412 \h </w:instrText>
      </w:r>
      <w:r>
        <w:rPr>
          <w:rFonts w:eastAsia="楷体_GB2312"/>
          <w:bCs/>
          <w:sz w:val="32"/>
          <w:szCs w:val="32"/>
        </w:rPr>
        <w:fldChar w:fldCharType="separate"/>
      </w:r>
      <w:r>
        <w:rPr>
          <w:rFonts w:eastAsia="楷体_GB2312"/>
          <w:bCs/>
          <w:sz w:val="32"/>
          <w:szCs w:val="32"/>
        </w:rPr>
        <w:t>16</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"_Toc110953413" </w:instrText>
      </w:r>
      <w:r>
        <w:fldChar w:fldCharType="separate"/>
      </w:r>
      <w:r>
        <w:rPr>
          <w:rFonts w:eastAsia="楷体_GB2312"/>
          <w:bCs/>
          <w:color w:val="000000"/>
          <w:sz w:val="32"/>
          <w:szCs w:val="32"/>
        </w:rPr>
        <w:t>（二）健全完善工作机制</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_Toc110953413 \h </w:instrText>
      </w:r>
      <w:r>
        <w:rPr>
          <w:rFonts w:eastAsia="楷体_GB2312"/>
          <w:bCs/>
          <w:sz w:val="32"/>
          <w:szCs w:val="32"/>
        </w:rPr>
        <w:fldChar w:fldCharType="separate"/>
      </w:r>
      <w:r>
        <w:rPr>
          <w:rFonts w:eastAsia="楷体_GB2312"/>
          <w:bCs/>
          <w:sz w:val="32"/>
          <w:szCs w:val="32"/>
        </w:rPr>
        <w:t>16</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"_Toc110953414" </w:instrText>
      </w:r>
      <w:r>
        <w:fldChar w:fldCharType="separate"/>
      </w:r>
      <w:r>
        <w:rPr>
          <w:rFonts w:eastAsia="楷体_GB2312"/>
          <w:bCs/>
          <w:color w:val="000000"/>
          <w:sz w:val="32"/>
          <w:szCs w:val="32"/>
        </w:rPr>
        <w:t>（三）建立多元投入机制</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_Toc110953414 \h </w:instrText>
      </w:r>
      <w:r>
        <w:rPr>
          <w:rFonts w:eastAsia="楷体_GB2312"/>
          <w:bCs/>
          <w:sz w:val="32"/>
          <w:szCs w:val="32"/>
        </w:rPr>
        <w:fldChar w:fldCharType="separate"/>
      </w:r>
      <w:r>
        <w:rPr>
          <w:rFonts w:eastAsia="楷体_GB2312"/>
          <w:bCs/>
          <w:sz w:val="32"/>
          <w:szCs w:val="32"/>
        </w:rPr>
        <w:t>17</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楷体_GB2312"/>
          <w:bCs/>
          <w:sz w:val="32"/>
          <w:szCs w:val="32"/>
        </w:rPr>
      </w:pPr>
      <w:r>
        <w:fldChar w:fldCharType="begin"/>
      </w:r>
      <w:r>
        <w:instrText xml:space="preserve"> HYPERLINK \l "_Toc110953415" </w:instrText>
      </w:r>
      <w:r>
        <w:fldChar w:fldCharType="separate"/>
      </w:r>
      <w:r>
        <w:rPr>
          <w:rFonts w:eastAsia="楷体_GB2312"/>
          <w:bCs/>
          <w:color w:val="000000"/>
          <w:sz w:val="32"/>
          <w:szCs w:val="32"/>
        </w:rPr>
        <w:t>（四）强化基础能力建设</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_Toc110953415 \h </w:instrText>
      </w:r>
      <w:r>
        <w:rPr>
          <w:rFonts w:eastAsia="楷体_GB2312"/>
          <w:bCs/>
          <w:sz w:val="32"/>
          <w:szCs w:val="32"/>
        </w:rPr>
        <w:fldChar w:fldCharType="separate"/>
      </w:r>
      <w:r>
        <w:rPr>
          <w:rFonts w:eastAsia="楷体_GB2312"/>
          <w:bCs/>
          <w:sz w:val="32"/>
          <w:szCs w:val="32"/>
        </w:rPr>
        <w:t>17</w:t>
      </w:r>
      <w:r>
        <w:rPr>
          <w:rFonts w:eastAsia="楷体_GB2312"/>
          <w:bCs/>
          <w:sz w:val="32"/>
          <w:szCs w:val="32"/>
        </w:rPr>
        <w:fldChar w:fldCharType="end"/>
      </w:r>
      <w:r>
        <w:rPr>
          <w:rFonts w:eastAsia="楷体_GB2312"/>
          <w:bCs/>
          <w:sz w:val="32"/>
          <w:szCs w:val="32"/>
        </w:rPr>
        <w:fldChar w:fldCharType="end"/>
      </w:r>
    </w:p>
    <w:p>
      <w:pPr>
        <w:tabs>
          <w:tab w:val="right" w:leader="dot" w:pos="8834"/>
        </w:tabs>
        <w:topLinePunct/>
        <w:spacing w:line="560" w:lineRule="exact"/>
        <w:ind w:firstLine="420" w:firstLineChars="200"/>
        <w:rPr>
          <w:rFonts w:eastAsia="黑体"/>
          <w:spacing w:val="8"/>
          <w:kern w:val="0"/>
          <w:sz w:val="32"/>
          <w:szCs w:val="32"/>
          <w:lang w:val="zh-CN"/>
        </w:rPr>
      </w:pPr>
      <w:r>
        <w:fldChar w:fldCharType="begin"/>
      </w:r>
      <w:r>
        <w:instrText xml:space="preserve"> HYPERLINK \l "_Toc110953416" </w:instrText>
      </w:r>
      <w:r>
        <w:fldChar w:fldCharType="separate"/>
      </w:r>
      <w:r>
        <w:rPr>
          <w:rFonts w:eastAsia="楷体_GB2312"/>
          <w:bCs/>
          <w:color w:val="000000"/>
          <w:sz w:val="32"/>
          <w:szCs w:val="32"/>
        </w:rPr>
        <w:t>（五）加强对外交流合作</w:t>
      </w:r>
      <w:r>
        <w:rPr>
          <w:rFonts w:eastAsia="楷体_GB2312"/>
          <w:bCs/>
          <w:sz w:val="32"/>
          <w:szCs w:val="32"/>
        </w:rPr>
        <w:tab/>
      </w:r>
      <w:r>
        <w:rPr>
          <w:rFonts w:eastAsia="楷体_GB2312"/>
          <w:bCs/>
          <w:sz w:val="32"/>
          <w:szCs w:val="32"/>
        </w:rPr>
        <w:fldChar w:fldCharType="begin"/>
      </w:r>
      <w:r>
        <w:rPr>
          <w:rFonts w:eastAsia="楷体_GB2312"/>
          <w:bCs/>
          <w:sz w:val="32"/>
          <w:szCs w:val="32"/>
        </w:rPr>
        <w:instrText xml:space="preserve"> PAGEREF _Toc110953416 \h </w:instrText>
      </w:r>
      <w:r>
        <w:rPr>
          <w:rFonts w:eastAsia="楷体_GB2312"/>
          <w:bCs/>
          <w:sz w:val="32"/>
          <w:szCs w:val="32"/>
        </w:rPr>
        <w:fldChar w:fldCharType="separate"/>
      </w:r>
      <w:r>
        <w:rPr>
          <w:rFonts w:eastAsia="楷体_GB2312"/>
          <w:bCs/>
          <w:sz w:val="32"/>
          <w:szCs w:val="32"/>
        </w:rPr>
        <w:t>18</w:t>
      </w:r>
      <w:r>
        <w:rPr>
          <w:rFonts w:eastAsia="楷体_GB2312"/>
          <w:bCs/>
          <w:sz w:val="32"/>
          <w:szCs w:val="32"/>
        </w:rPr>
        <w:fldChar w:fldCharType="end"/>
      </w:r>
      <w:r>
        <w:rPr>
          <w:rFonts w:eastAsia="楷体_GB2312"/>
          <w:bCs/>
          <w:sz w:val="32"/>
          <w:szCs w:val="32"/>
        </w:rPr>
        <w:fldChar w:fldCharType="end"/>
      </w:r>
      <w:r>
        <w:rPr>
          <w:rFonts w:eastAsia="黑体"/>
          <w:spacing w:val="8"/>
          <w:kern w:val="0"/>
          <w:sz w:val="32"/>
          <w:szCs w:val="32"/>
          <w:lang w:val="zh-CN"/>
        </w:rPr>
        <w:fldChar w:fldCharType="end"/>
      </w:r>
    </w:p>
    <w:p>
      <w:pPr>
        <w:overflowPunct w:val="0"/>
        <w:topLinePunct/>
        <w:spacing w:line="600" w:lineRule="exact"/>
        <w:ind w:firstLine="640" w:firstLineChars="200"/>
        <w:outlineLvl w:val="0"/>
        <w:rPr>
          <w:rFonts w:eastAsia="黑体"/>
          <w:sz w:val="32"/>
          <w:szCs w:val="32"/>
        </w:rPr>
      </w:pPr>
      <w:bookmarkStart w:id="0" w:name="_Toc91410338"/>
      <w:bookmarkStart w:id="1" w:name="_Toc64883266"/>
      <w:bookmarkStart w:id="2" w:name="_Toc110953396"/>
      <w:r>
        <w:rPr>
          <w:rFonts w:eastAsia="黑体"/>
          <w:sz w:val="32"/>
          <w:szCs w:val="32"/>
        </w:rPr>
        <w:t>一、</w:t>
      </w:r>
      <w:bookmarkEnd w:id="0"/>
      <w:bookmarkEnd w:id="1"/>
      <w:r>
        <w:rPr>
          <w:rFonts w:hint="eastAsia" w:eastAsia="黑体"/>
          <w:sz w:val="32"/>
          <w:szCs w:val="32"/>
        </w:rPr>
        <w:t>规划背景</w:t>
      </w:r>
      <w:bookmarkEnd w:id="2"/>
    </w:p>
    <w:p>
      <w:pPr>
        <w:overflowPunct w:val="0"/>
        <w:topLinePunct/>
        <w:spacing w:line="600" w:lineRule="exact"/>
        <w:ind w:firstLine="642" w:firstLineChars="200"/>
        <w:outlineLvl w:val="1"/>
        <w:rPr>
          <w:rFonts w:eastAsia="楷体_GB2312"/>
          <w:b/>
          <w:bCs/>
          <w:color w:val="000000"/>
          <w:sz w:val="32"/>
          <w:szCs w:val="32"/>
        </w:rPr>
      </w:pPr>
      <w:bookmarkStart w:id="3" w:name="_Toc64883271"/>
      <w:bookmarkStart w:id="4" w:name="_Toc91410339"/>
      <w:bookmarkStart w:id="5" w:name="_Toc110953397"/>
      <w:r>
        <w:rPr>
          <w:rFonts w:hint="eastAsia" w:eastAsia="楷体_GB2312"/>
          <w:b/>
          <w:bCs/>
          <w:color w:val="000000"/>
          <w:sz w:val="32"/>
          <w:szCs w:val="32"/>
        </w:rPr>
        <w:t>（一）</w:t>
      </w:r>
      <w:bookmarkEnd w:id="3"/>
      <w:bookmarkEnd w:id="4"/>
      <w:r>
        <w:rPr>
          <w:rFonts w:hint="eastAsia" w:eastAsia="楷体_GB2312"/>
          <w:b/>
          <w:bCs/>
          <w:color w:val="000000"/>
          <w:sz w:val="32"/>
          <w:szCs w:val="32"/>
        </w:rPr>
        <w:t>四川省生态环境保护标准化初见成效</w:t>
      </w:r>
      <w:bookmarkEnd w:id="5"/>
    </w:p>
    <w:p>
      <w:pPr>
        <w:overflowPunct w:val="0"/>
        <w:topLinePunct/>
        <w:spacing w:line="600" w:lineRule="exact"/>
        <w:ind w:firstLine="640" w:firstLineChars="200"/>
        <w:rPr>
          <w:rFonts w:eastAsia="仿宋_GB2312"/>
          <w:sz w:val="32"/>
          <w:szCs w:val="32"/>
        </w:rPr>
      </w:pPr>
      <w:r>
        <w:rPr>
          <w:rFonts w:hint="eastAsia" w:eastAsia="仿宋_GB2312"/>
          <w:sz w:val="32"/>
          <w:szCs w:val="32"/>
        </w:rPr>
        <w:t>“十三五”以来，四川省生态环境保护标准化工作在标准制定、标准化管理、促进生态环境质量改善和绿色转型等方面取得了阶段性进展。</w:t>
      </w:r>
    </w:p>
    <w:p>
      <w:pPr>
        <w:overflowPunct w:val="0"/>
        <w:topLinePunct/>
        <w:spacing w:line="600" w:lineRule="exact"/>
        <w:ind w:firstLine="640" w:firstLineChars="200"/>
        <w:rPr>
          <w:rFonts w:eastAsia="仿宋_GB2312"/>
          <w:sz w:val="32"/>
          <w:szCs w:val="32"/>
        </w:rPr>
      </w:pPr>
      <w:r>
        <w:rPr>
          <w:rFonts w:hint="eastAsia" w:eastAsia="仿宋_GB2312"/>
          <w:sz w:val="32"/>
          <w:szCs w:val="32"/>
        </w:rPr>
        <w:t>制定出台系列地方标准。“十三五”以来，四川省共发布地方生态环境保护标准</w:t>
      </w:r>
      <w:r>
        <w:rPr>
          <w:rFonts w:eastAsia="仿宋_GB2312"/>
          <w:sz w:val="32"/>
          <w:szCs w:val="32"/>
        </w:rPr>
        <w:t>9项。聚焦突出环境问题，制定出台了岷江、沱江流域水污染物和固定污染源大气挥发性有机物、锅炉（成都市）、施工场地扬尘、加油站、水泥工业大气污染物等6项排放标准；聚焦特色产业，制定出台了泡菜工业水污染物排放标准和天然气开采含油污泥综合利用后剩余固相利用处置标准；聚焦难点环境问题，制定出台了农村生活污水处理设施水污染物排放标准。</w:t>
      </w:r>
    </w:p>
    <w:p>
      <w:pPr>
        <w:overflowPunct w:val="0"/>
        <w:topLinePunct/>
        <w:spacing w:line="600" w:lineRule="exact"/>
        <w:ind w:firstLine="640" w:firstLineChars="200"/>
        <w:rPr>
          <w:rFonts w:eastAsia="仿宋_GB2312"/>
          <w:sz w:val="32"/>
          <w:szCs w:val="32"/>
        </w:rPr>
      </w:pPr>
      <w:r>
        <w:rPr>
          <w:rFonts w:hint="eastAsia" w:eastAsia="仿宋_GB2312"/>
          <w:sz w:val="32"/>
          <w:szCs w:val="32"/>
        </w:rPr>
        <w:t>健全标准管理体系。配套发布了《四川省生态环境标准制修订工作管理办法》（川环发〔</w:t>
      </w:r>
      <w:r>
        <w:rPr>
          <w:rFonts w:eastAsia="仿宋_GB2312"/>
          <w:sz w:val="32"/>
          <w:szCs w:val="32"/>
        </w:rPr>
        <w:t>2020〕23号），规范了标准制修订工作程序，明确了标准制修订工作内容和时限要求，生态环境保护标准化工作机制逐步完善。成立了四川省生态环境标准化技术委员会，聚集了政府部门、高等院校、科研机构、</w:t>
      </w:r>
      <w:r>
        <w:rPr>
          <w:rFonts w:hint="eastAsia" w:eastAsia="仿宋_GB2312"/>
          <w:sz w:val="32"/>
          <w:szCs w:val="32"/>
        </w:rPr>
        <w:t>社会团体</w:t>
      </w:r>
      <w:r>
        <w:rPr>
          <w:rFonts w:eastAsia="仿宋_GB2312"/>
          <w:sz w:val="32"/>
          <w:szCs w:val="32"/>
        </w:rPr>
        <w:t>以及企业等</w:t>
      </w:r>
      <w:r>
        <w:rPr>
          <w:rFonts w:hint="eastAsia" w:eastAsia="仿宋_GB2312"/>
          <w:sz w:val="32"/>
          <w:szCs w:val="32"/>
        </w:rPr>
        <w:t>单位的</w:t>
      </w:r>
      <w:r>
        <w:rPr>
          <w:rFonts w:eastAsia="仿宋_GB2312"/>
          <w:sz w:val="32"/>
          <w:szCs w:val="32"/>
        </w:rPr>
        <w:t>专业人才，研究方向涵盖了生态环境各要素各领域，生态环境保护标准化技术支撑和技术服务能力逐步提升。</w:t>
      </w:r>
    </w:p>
    <w:p>
      <w:pPr>
        <w:overflowPunct w:val="0"/>
        <w:topLinePunct/>
        <w:spacing w:line="600" w:lineRule="exact"/>
        <w:ind w:firstLine="640" w:firstLineChars="200"/>
        <w:rPr>
          <w:rFonts w:eastAsia="仿宋_GB2312"/>
          <w:sz w:val="32"/>
          <w:szCs w:val="32"/>
        </w:rPr>
      </w:pPr>
      <w:r>
        <w:rPr>
          <w:rFonts w:hint="eastAsia" w:eastAsia="仿宋_GB2312"/>
          <w:sz w:val="32"/>
          <w:szCs w:val="32"/>
        </w:rPr>
        <w:t>以标准推进生态环境质量改善。在污染治理和生态环境改善工作中，四川省坚持以严格标准服务支撑污染防治和环境监管，全省生态环境主要指标持续向好。</w:t>
      </w:r>
      <w:r>
        <w:rPr>
          <w:rFonts w:eastAsia="仿宋_GB2312"/>
          <w:sz w:val="32"/>
          <w:szCs w:val="32"/>
        </w:rPr>
        <w:t>2021年，全省细颗粒物（PM</w:t>
      </w:r>
      <w:r>
        <w:rPr>
          <w:rFonts w:eastAsia="仿宋_GB2312"/>
          <w:sz w:val="32"/>
          <w:szCs w:val="32"/>
          <w:vertAlign w:val="subscript"/>
        </w:rPr>
        <w:t>2.5</w:t>
      </w:r>
      <w:r>
        <w:rPr>
          <w:rFonts w:eastAsia="仿宋_GB2312"/>
          <w:sz w:val="32"/>
          <w:szCs w:val="32"/>
        </w:rPr>
        <w:t>）平均浓度31.8微克每立方米，较三年均值下降4.5%；优良天数率89.5%，较三年均值上升0.1个百分点。全省203个国考断面中195个达到地表水III类以上、优良率96.1%，近七成水质达到II类，</w:t>
      </w:r>
      <w:r>
        <w:rPr>
          <w:rFonts w:hint="eastAsia" w:cs="宋体"/>
          <w:sz w:val="32"/>
          <w:szCs w:val="32"/>
        </w:rPr>
        <w:t>Ⅴ</w:t>
      </w:r>
      <w:r>
        <w:rPr>
          <w:rFonts w:eastAsia="仿宋_GB2312"/>
          <w:sz w:val="32"/>
          <w:szCs w:val="32"/>
        </w:rPr>
        <w:t>类、劣</w:t>
      </w:r>
      <w:r>
        <w:rPr>
          <w:rFonts w:hint="eastAsia" w:cs="宋体"/>
          <w:sz w:val="32"/>
          <w:szCs w:val="32"/>
        </w:rPr>
        <w:t>Ⅴ</w:t>
      </w:r>
      <w:r>
        <w:rPr>
          <w:rFonts w:eastAsia="仿宋_GB2312"/>
          <w:sz w:val="32"/>
          <w:szCs w:val="32"/>
        </w:rPr>
        <w:t>类断面全面稳定消除；重要江河湖泊水域功能区水质达标率99.3%。</w:t>
      </w:r>
    </w:p>
    <w:p>
      <w:pPr>
        <w:overflowPunct w:val="0"/>
        <w:topLinePunct/>
        <w:spacing w:line="600" w:lineRule="exact"/>
        <w:ind w:firstLine="640" w:firstLineChars="200"/>
        <w:rPr>
          <w:rFonts w:eastAsia="仿宋_GB2312"/>
          <w:sz w:val="32"/>
          <w:szCs w:val="32"/>
        </w:rPr>
      </w:pPr>
      <w:r>
        <w:rPr>
          <w:rFonts w:hint="eastAsia" w:eastAsia="仿宋_GB2312"/>
          <w:sz w:val="32"/>
          <w:szCs w:val="32"/>
        </w:rPr>
        <w:t>以标准促进绿色转型。四川省坚持以减污降碳作为促进经济社会发展绿色转型的总抓手，充分发挥生态环境保护标准对产业结构优化升级和发展方式绿色转型的推动作用，能源结构持续优化，国家重要的清洁能源基地地位基本形成。</w:t>
      </w:r>
      <w:r>
        <w:rPr>
          <w:rFonts w:eastAsia="仿宋_GB2312"/>
          <w:sz w:val="32"/>
          <w:szCs w:val="32"/>
        </w:rPr>
        <w:t>2020年，全省煤炭消费占能源消费的比重下降到27%，非化石能源占能源消费比重达到38%，率先在经济大省中形成可再生能源为主的能源结构，</w:t>
      </w:r>
      <w:r>
        <w:rPr>
          <w:rFonts w:hint="eastAsia" w:ascii="仿宋_GB2312" w:eastAsia="仿宋_GB2312"/>
          <w:sz w:val="32"/>
          <w:szCs w:val="32"/>
        </w:rPr>
        <w:t>“十三五”</w:t>
      </w:r>
      <w:r>
        <w:rPr>
          <w:rFonts w:eastAsia="仿宋_GB2312"/>
          <w:sz w:val="32"/>
          <w:szCs w:val="32"/>
        </w:rPr>
        <w:t>时期单位GDP二氧化碳排放下降29.9%，远超全国18.8%的下降幅度，基本扭转了二氧化碳排放快速增长的局面。</w:t>
      </w:r>
    </w:p>
    <w:p>
      <w:pPr>
        <w:overflowPunct w:val="0"/>
        <w:topLinePunct/>
        <w:spacing w:line="600" w:lineRule="exact"/>
        <w:ind w:firstLine="642" w:firstLineChars="200"/>
        <w:outlineLvl w:val="1"/>
        <w:rPr>
          <w:rFonts w:eastAsia="楷体_GB2312"/>
          <w:b/>
          <w:bCs/>
          <w:color w:val="000000"/>
          <w:sz w:val="32"/>
          <w:szCs w:val="32"/>
        </w:rPr>
      </w:pPr>
      <w:bookmarkStart w:id="6" w:name="_Toc91410340"/>
      <w:bookmarkStart w:id="7" w:name="_Toc64883278"/>
      <w:bookmarkStart w:id="8" w:name="_Toc110953398"/>
      <w:r>
        <w:rPr>
          <w:rFonts w:hint="eastAsia" w:eastAsia="楷体_GB2312"/>
          <w:b/>
          <w:bCs/>
          <w:color w:val="000000"/>
          <w:sz w:val="32"/>
          <w:szCs w:val="32"/>
        </w:rPr>
        <w:t>（二）</w:t>
      </w:r>
      <w:bookmarkEnd w:id="6"/>
      <w:bookmarkEnd w:id="7"/>
      <w:r>
        <w:rPr>
          <w:rFonts w:hint="eastAsia" w:eastAsia="楷体_GB2312"/>
          <w:b/>
          <w:bCs/>
          <w:color w:val="000000"/>
          <w:sz w:val="32"/>
          <w:szCs w:val="32"/>
        </w:rPr>
        <w:t>四川省生态环境保护标准化存在的问题</w:t>
      </w:r>
      <w:bookmarkEnd w:id="8"/>
    </w:p>
    <w:p>
      <w:pPr>
        <w:overflowPunct w:val="0"/>
        <w:topLinePunct/>
        <w:spacing w:line="600" w:lineRule="exact"/>
        <w:ind w:firstLine="640" w:firstLineChars="200"/>
        <w:rPr>
          <w:rFonts w:eastAsia="仿宋_GB2312"/>
          <w:sz w:val="32"/>
          <w:szCs w:val="32"/>
        </w:rPr>
      </w:pPr>
      <w:r>
        <w:rPr>
          <w:rFonts w:hint="eastAsia" w:eastAsia="仿宋_GB2312"/>
          <w:sz w:val="32"/>
          <w:szCs w:val="32"/>
        </w:rPr>
        <w:t>四川省生态环境保护标准化工作取得了一定成效，但仍面临一些问题。</w:t>
      </w:r>
    </w:p>
    <w:p>
      <w:pPr>
        <w:overflowPunct w:val="0"/>
        <w:topLinePunct/>
        <w:spacing w:line="600" w:lineRule="exact"/>
        <w:ind w:firstLine="640" w:firstLineChars="200"/>
        <w:rPr>
          <w:rFonts w:eastAsia="仿宋_GB2312"/>
          <w:sz w:val="32"/>
          <w:szCs w:val="32"/>
        </w:rPr>
      </w:pPr>
      <w:r>
        <w:rPr>
          <w:rFonts w:hint="eastAsia" w:eastAsia="仿宋_GB2312"/>
          <w:sz w:val="32"/>
          <w:szCs w:val="32"/>
        </w:rPr>
        <w:t>现行标准不足以满足持续改善生态环境质量的需要。目前，四川省地方污染物排放标准覆盖的行业范围相对较少，大多数行业执行国家行业或综合排放标准，对于页岩气开采、陶瓷等四川特色或排放量大的行业执行国家标准难以满足地方生态环境质量改善的需求。</w:t>
      </w:r>
    </w:p>
    <w:p>
      <w:pPr>
        <w:overflowPunct w:val="0"/>
        <w:topLinePunct/>
        <w:spacing w:line="600" w:lineRule="exact"/>
        <w:ind w:firstLine="640" w:firstLineChars="200"/>
        <w:rPr>
          <w:rFonts w:eastAsia="仿宋_GB2312"/>
          <w:sz w:val="32"/>
          <w:szCs w:val="32"/>
        </w:rPr>
      </w:pPr>
      <w:r>
        <w:rPr>
          <w:rFonts w:hint="eastAsia" w:eastAsia="仿宋_GB2312"/>
          <w:sz w:val="32"/>
          <w:szCs w:val="32"/>
        </w:rPr>
        <w:t>生态环境保护标准体系覆盖领域不全、系统性不足。现行地方生态环境保护标准主要集中在大气、水生态环境保护领域且主要集中于工业源，固体废物、土壤污染防治等领域标准较为缺乏。且标准类别多为污染物排放标准，缺少与之衔接配套的生态环境管理技术规范类标准。</w:t>
      </w:r>
    </w:p>
    <w:p>
      <w:pPr>
        <w:overflowPunct w:val="0"/>
        <w:topLinePunct/>
        <w:spacing w:line="600" w:lineRule="exact"/>
        <w:ind w:firstLine="640" w:firstLineChars="200"/>
        <w:rPr>
          <w:rFonts w:eastAsia="仿宋_GB2312"/>
          <w:sz w:val="32"/>
          <w:szCs w:val="32"/>
        </w:rPr>
      </w:pPr>
      <w:r>
        <w:rPr>
          <w:rFonts w:hint="eastAsia" w:eastAsia="仿宋_GB2312"/>
          <w:sz w:val="32"/>
          <w:szCs w:val="32"/>
        </w:rPr>
        <w:t>标准支撑国家战略实施目标下四川省特色标准尚无重大突破。四川作为长江、黄河上游重要生态屏障和水源涵养地，肩负着维护国家生态安全，推动长江、黄河两大经济带高质量发展的重任。但目前四川省生态屏障建设、黄河流域四川段水源涵养地保护等标准缺失，以标准支撑国家战略实施目标实现的格局尚未建立。</w:t>
      </w:r>
    </w:p>
    <w:p>
      <w:pPr>
        <w:overflowPunct w:val="0"/>
        <w:topLinePunct/>
        <w:spacing w:line="600" w:lineRule="exact"/>
        <w:ind w:firstLine="640" w:firstLineChars="200"/>
        <w:rPr>
          <w:rFonts w:eastAsia="仿宋_GB2312"/>
          <w:sz w:val="32"/>
          <w:szCs w:val="32"/>
        </w:rPr>
      </w:pPr>
      <w:r>
        <w:rPr>
          <w:rFonts w:hint="eastAsia" w:eastAsia="仿宋_GB2312"/>
          <w:sz w:val="32"/>
          <w:szCs w:val="32"/>
        </w:rPr>
        <w:t>政府与市场二元主导的标准制定工作模式尚需强化。四川省现行生态环境保护标准主要由政府主导发布，个别社会团体发布了少量团体标准，社会团体、企业参与标准化工作活力不足，标准制定主体较为单一，亟需加快推进标准供给由政府主导向政府与市场并重转变，确保与国家标准化工作新方向保持一致。</w:t>
      </w:r>
    </w:p>
    <w:p>
      <w:pPr>
        <w:overflowPunct w:val="0"/>
        <w:topLinePunct/>
        <w:spacing w:line="600" w:lineRule="exact"/>
        <w:ind w:firstLine="640" w:firstLineChars="200"/>
        <w:rPr>
          <w:rFonts w:eastAsia="仿宋_GB2312"/>
          <w:sz w:val="32"/>
          <w:szCs w:val="32"/>
        </w:rPr>
      </w:pPr>
      <w:r>
        <w:rPr>
          <w:rFonts w:hint="eastAsia" w:eastAsia="仿宋_GB2312"/>
          <w:sz w:val="32"/>
          <w:szCs w:val="32"/>
        </w:rPr>
        <w:t>标准全生命周期管理工作机制尚不完善。四川省针对生态环境标准制修订工作建立了相关工作机制，但标准实施评估、标准转化等工作机制尚不健全，需进一步完善地方生态环境保护标准化工作机制，形成对地方生态环境保护标准“预研—立项—起草—报批—宣传—实施—评估—复审—修订—废止”全生命周期的闭环管理，提升标准化管理水平，提高地方生态环境保护标准质量。</w:t>
      </w:r>
    </w:p>
    <w:p>
      <w:pPr>
        <w:overflowPunct w:val="0"/>
        <w:topLinePunct/>
        <w:spacing w:line="600" w:lineRule="exact"/>
        <w:ind w:firstLine="642" w:firstLineChars="200"/>
        <w:outlineLvl w:val="1"/>
        <w:rPr>
          <w:rFonts w:eastAsia="楷体_GB2312"/>
          <w:b/>
          <w:bCs/>
          <w:color w:val="000000"/>
          <w:sz w:val="32"/>
          <w:szCs w:val="32"/>
        </w:rPr>
      </w:pPr>
      <w:bookmarkStart w:id="9" w:name="_Toc110953399"/>
      <w:r>
        <w:rPr>
          <w:rFonts w:hint="eastAsia" w:eastAsia="楷体_GB2312"/>
          <w:b/>
          <w:bCs/>
          <w:color w:val="000000"/>
          <w:sz w:val="32"/>
          <w:szCs w:val="32"/>
        </w:rPr>
        <w:t>（三）四川省生态环境保护标准化工作形势</w:t>
      </w:r>
      <w:bookmarkEnd w:id="9"/>
    </w:p>
    <w:p>
      <w:pPr>
        <w:overflowPunct w:val="0"/>
        <w:topLinePunct/>
        <w:spacing w:line="600" w:lineRule="exact"/>
        <w:ind w:firstLine="640" w:firstLineChars="200"/>
        <w:rPr>
          <w:rFonts w:eastAsia="仿宋_GB2312"/>
          <w:sz w:val="32"/>
          <w:szCs w:val="32"/>
        </w:rPr>
      </w:pPr>
      <w:r>
        <w:rPr>
          <w:rFonts w:hint="eastAsia" w:eastAsia="仿宋_GB2312"/>
          <w:sz w:val="32"/>
          <w:szCs w:val="32"/>
        </w:rPr>
        <w:t>习近平总书记指出，中国将积极实施标准化战略，以高标准助力高技术创新、促进高水平开放、引领高质量发展。</w:t>
      </w:r>
      <w:r>
        <w:rPr>
          <w:rFonts w:eastAsia="仿宋_GB2312"/>
          <w:sz w:val="32"/>
          <w:szCs w:val="32"/>
        </w:rPr>
        <w:t>2021年10月，中共中央、国务院印发《国家标准化发展纲要》，对绿色发展进行了专章论述，提出了五大工作任务，生态环境保护标准化工作被提到了前所未有的高度。《成渝地区双城经济圈建设规划纲要》《成渝地区双城经济圈生态环境保护规划》《四川省“十四五”生态环境保护规划》等国家、省重大战略规划，对生态环境保护标准化工作提出了系列要求。面对新形势、新任务、新要求，四川省生态环境保护标准化建设进程须进一步加速。</w:t>
      </w:r>
    </w:p>
    <w:p>
      <w:pPr>
        <w:overflowPunct w:val="0"/>
        <w:topLinePunct/>
        <w:spacing w:line="600" w:lineRule="exact"/>
        <w:ind w:firstLine="640" w:firstLineChars="200"/>
        <w:rPr>
          <w:rFonts w:eastAsia="仿宋_GB2312"/>
          <w:sz w:val="32"/>
          <w:szCs w:val="32"/>
        </w:rPr>
      </w:pPr>
      <w:r>
        <w:rPr>
          <w:rFonts w:hint="eastAsia" w:eastAsia="仿宋_GB2312"/>
          <w:sz w:val="32"/>
          <w:szCs w:val="32"/>
        </w:rPr>
        <w:t>“十四五”时期是开启全面建设社会主义现代化四川新征程的第一个五年，“一带一路”建设、长江经济带发展、新时代推进西部大开发形成新格局、成渝地区双城经济圈建设等国家战略深入实施，生态环境保护工作肩负着重要的历史使命。要充分发挥生态环境保护标准法规管理和技术引领的双重功能，提高标准工作质量水平，强化标准实施监督，以高质量生态环境保护标准助推高水平生态环境保护。</w:t>
      </w:r>
      <w:bookmarkStart w:id="10" w:name="_Toc64883281"/>
    </w:p>
    <w:p>
      <w:pPr>
        <w:overflowPunct w:val="0"/>
        <w:topLinePunct/>
        <w:spacing w:line="600" w:lineRule="exact"/>
        <w:ind w:firstLine="640" w:firstLineChars="200"/>
        <w:outlineLvl w:val="0"/>
        <w:rPr>
          <w:rFonts w:eastAsia="黑体"/>
          <w:sz w:val="32"/>
          <w:szCs w:val="32"/>
        </w:rPr>
      </w:pPr>
      <w:bookmarkStart w:id="11" w:name="_Toc91410341"/>
      <w:bookmarkStart w:id="12" w:name="_Toc110953400"/>
      <w:r>
        <w:rPr>
          <w:rFonts w:eastAsia="黑体"/>
          <w:sz w:val="32"/>
          <w:szCs w:val="32"/>
        </w:rPr>
        <w:t>二、</w:t>
      </w:r>
      <w:bookmarkEnd w:id="10"/>
      <w:bookmarkEnd w:id="11"/>
      <w:r>
        <w:rPr>
          <w:rFonts w:hint="eastAsia" w:eastAsia="黑体"/>
          <w:sz w:val="32"/>
          <w:szCs w:val="32"/>
        </w:rPr>
        <w:t>指导思想、原则与目标</w:t>
      </w:r>
      <w:bookmarkEnd w:id="12"/>
    </w:p>
    <w:p>
      <w:pPr>
        <w:overflowPunct w:val="0"/>
        <w:topLinePunct/>
        <w:spacing w:line="600" w:lineRule="exact"/>
        <w:ind w:firstLine="642" w:firstLineChars="200"/>
        <w:outlineLvl w:val="1"/>
        <w:rPr>
          <w:rFonts w:eastAsia="楷体_GB2312"/>
          <w:b/>
          <w:bCs/>
          <w:color w:val="000000"/>
          <w:sz w:val="32"/>
          <w:szCs w:val="32"/>
        </w:rPr>
      </w:pPr>
      <w:bookmarkStart w:id="13" w:name="_Toc64883282"/>
      <w:bookmarkStart w:id="14" w:name="_Toc91410342"/>
      <w:bookmarkStart w:id="15" w:name="_Toc110953401"/>
      <w:r>
        <w:rPr>
          <w:rFonts w:eastAsia="楷体_GB2312"/>
          <w:b/>
          <w:bCs/>
          <w:color w:val="000000"/>
          <w:sz w:val="32"/>
          <w:szCs w:val="32"/>
        </w:rPr>
        <w:t>（一）指导思想</w:t>
      </w:r>
      <w:bookmarkEnd w:id="13"/>
      <w:bookmarkEnd w:id="14"/>
      <w:bookmarkEnd w:id="15"/>
    </w:p>
    <w:p>
      <w:pPr>
        <w:overflowPunct w:val="0"/>
        <w:topLinePunct/>
        <w:spacing w:line="600" w:lineRule="exact"/>
        <w:ind w:firstLine="640" w:firstLineChars="200"/>
        <w:rPr>
          <w:rFonts w:eastAsia="仿宋_GB2312"/>
          <w:sz w:val="32"/>
          <w:szCs w:val="32"/>
        </w:rPr>
      </w:pPr>
      <w:r>
        <w:rPr>
          <w:rFonts w:hint="eastAsia" w:eastAsia="仿宋_GB2312"/>
          <w:sz w:val="32"/>
          <w:szCs w:val="32"/>
        </w:rPr>
        <w:t>以习近平新时代中国特色社会主义思想为指导，深入贯彻党的二十大精神及习近平生态文明思想和习近平总书记对标准化工作的重要指示，全面贯彻落实省委省政府决策部署，坚持生态优先、绿色发展，以《国家标准化发展纲要》为指引，立足新发展阶段，完整、准确、全面贯彻新发展理念，推进四川省生态环境保护标准体系建设，建立完善标准化体制机制，增强优质标准供给，推进标准实施评估，夯实标准化技术基础，推动标准化战略与生态环境保护工作深度融合，为促进四川省经济社会发展全面绿色转型提供有力技术支撑。</w:t>
      </w:r>
    </w:p>
    <w:p>
      <w:pPr>
        <w:overflowPunct w:val="0"/>
        <w:topLinePunct/>
        <w:spacing w:line="600" w:lineRule="exact"/>
        <w:ind w:firstLine="642" w:firstLineChars="200"/>
        <w:outlineLvl w:val="1"/>
        <w:rPr>
          <w:rFonts w:eastAsia="楷体_GB2312"/>
          <w:b/>
          <w:bCs/>
          <w:color w:val="000000"/>
          <w:sz w:val="32"/>
          <w:szCs w:val="32"/>
        </w:rPr>
      </w:pPr>
      <w:bookmarkStart w:id="16" w:name="_Toc110953402"/>
      <w:bookmarkStart w:id="17" w:name="_Toc91410343"/>
      <w:bookmarkStart w:id="18" w:name="_Toc64883283"/>
      <w:r>
        <w:rPr>
          <w:rFonts w:eastAsia="楷体_GB2312"/>
          <w:b/>
          <w:bCs/>
          <w:color w:val="000000"/>
          <w:sz w:val="32"/>
          <w:szCs w:val="32"/>
        </w:rPr>
        <w:t>（二）基本原则</w:t>
      </w:r>
      <w:bookmarkEnd w:id="16"/>
      <w:bookmarkEnd w:id="17"/>
      <w:bookmarkEnd w:id="18"/>
    </w:p>
    <w:p>
      <w:pPr>
        <w:overflowPunct w:val="0"/>
        <w:topLinePunct/>
        <w:spacing w:line="600" w:lineRule="exact"/>
        <w:ind w:firstLine="640" w:firstLineChars="200"/>
        <w:rPr>
          <w:rFonts w:eastAsia="仿宋_GB2312"/>
          <w:sz w:val="32"/>
          <w:szCs w:val="32"/>
        </w:rPr>
      </w:pPr>
      <w:r>
        <w:rPr>
          <w:rFonts w:hint="eastAsia" w:eastAsia="仿宋_GB2312"/>
          <w:sz w:val="32"/>
          <w:szCs w:val="32"/>
        </w:rPr>
        <w:t>衔接一致，统筹规划。地方生态环境保护标准化建设应与国家生态环境保护标准化建设思路保持一致，立足构建协调、完备的标准体系，科学统筹地方生态环境保护标准发展优先领域、关键环节和实施步骤，确保与国家和区域生态环境保护标准化建设有机衔接。</w:t>
      </w:r>
    </w:p>
    <w:p>
      <w:pPr>
        <w:overflowPunct w:val="0"/>
        <w:topLinePunct/>
        <w:spacing w:line="600" w:lineRule="exact"/>
        <w:ind w:firstLine="640" w:firstLineChars="200"/>
        <w:rPr>
          <w:rFonts w:eastAsia="仿宋_GB2312"/>
          <w:sz w:val="32"/>
          <w:szCs w:val="32"/>
        </w:rPr>
      </w:pPr>
      <w:r>
        <w:rPr>
          <w:rFonts w:hint="eastAsia" w:eastAsia="仿宋_GB2312"/>
          <w:sz w:val="32"/>
          <w:szCs w:val="32"/>
        </w:rPr>
        <w:t>突出重点，稳步推进。围绕加快推进美丽四川建设，紧密结合生态环境保护工作部署，以实现减污降碳协同增效为导向，以改善生态环境质量为核心，着眼解决长远深层次环境问题，突出标准对生态环境保护重点工作和地方经济社会发展的支撑性，按照轻重缓急稳步推进标准制修订。</w:t>
      </w:r>
    </w:p>
    <w:p>
      <w:pPr>
        <w:overflowPunct w:val="0"/>
        <w:topLinePunct/>
        <w:spacing w:line="600" w:lineRule="exact"/>
        <w:ind w:firstLine="640" w:firstLineChars="200"/>
        <w:rPr>
          <w:rFonts w:eastAsia="仿宋_GB2312"/>
          <w:sz w:val="32"/>
          <w:szCs w:val="32"/>
        </w:rPr>
      </w:pPr>
      <w:r>
        <w:rPr>
          <w:rFonts w:hint="eastAsia" w:eastAsia="仿宋_GB2312"/>
          <w:sz w:val="32"/>
          <w:szCs w:val="32"/>
        </w:rPr>
        <w:t>完善机制，创新驱动。建立权责清晰、多元参与、激励约束并重的标准管理体系，注重市场对标准化资源配置的决定性作用和社会监督作用，激励市场主体参与标准制修订工作，实现标准供给由政府主导向政府与市场并重转变，以科技创新为动力，推进标准产学研用一体化发展。</w:t>
      </w:r>
    </w:p>
    <w:p>
      <w:pPr>
        <w:overflowPunct w:val="0"/>
        <w:topLinePunct/>
        <w:spacing w:line="600" w:lineRule="exact"/>
        <w:ind w:firstLine="642" w:firstLineChars="200"/>
        <w:outlineLvl w:val="1"/>
        <w:rPr>
          <w:rFonts w:eastAsia="楷体_GB2312"/>
          <w:b/>
          <w:bCs/>
          <w:color w:val="000000"/>
          <w:sz w:val="32"/>
          <w:szCs w:val="32"/>
        </w:rPr>
      </w:pPr>
      <w:bookmarkStart w:id="19" w:name="_Toc110953403"/>
      <w:bookmarkStart w:id="20" w:name="_Toc91410344"/>
      <w:bookmarkStart w:id="21" w:name="_Toc64883284"/>
      <w:r>
        <w:rPr>
          <w:rFonts w:eastAsia="楷体_GB2312"/>
          <w:b/>
          <w:bCs/>
          <w:color w:val="000000"/>
          <w:sz w:val="32"/>
          <w:szCs w:val="32"/>
        </w:rPr>
        <w:t>（三）</w:t>
      </w:r>
      <w:r>
        <w:rPr>
          <w:rFonts w:hint="eastAsia" w:eastAsia="楷体_GB2312"/>
          <w:b/>
          <w:bCs/>
          <w:color w:val="000000"/>
          <w:sz w:val="32"/>
          <w:szCs w:val="32"/>
        </w:rPr>
        <w:t>建设</w:t>
      </w:r>
      <w:r>
        <w:rPr>
          <w:rFonts w:eastAsia="楷体_GB2312"/>
          <w:b/>
          <w:bCs/>
          <w:color w:val="000000"/>
          <w:sz w:val="32"/>
          <w:szCs w:val="32"/>
        </w:rPr>
        <w:t>目标</w:t>
      </w:r>
      <w:bookmarkEnd w:id="19"/>
      <w:bookmarkEnd w:id="20"/>
      <w:bookmarkEnd w:id="21"/>
    </w:p>
    <w:p>
      <w:pPr>
        <w:overflowPunct w:val="0"/>
        <w:topLinePunct/>
        <w:spacing w:line="600" w:lineRule="exact"/>
        <w:ind w:firstLine="640" w:firstLineChars="200"/>
        <w:rPr>
          <w:rFonts w:eastAsia="仿宋_GB2312"/>
          <w:sz w:val="32"/>
          <w:szCs w:val="32"/>
        </w:rPr>
      </w:pPr>
      <w:bookmarkStart w:id="22" w:name="_Hlk53998356"/>
      <w:r>
        <w:rPr>
          <w:rFonts w:hint="eastAsia" w:eastAsia="仿宋_GB2312"/>
          <w:sz w:val="32"/>
          <w:szCs w:val="32"/>
        </w:rPr>
        <w:t>到</w:t>
      </w:r>
      <w:r>
        <w:rPr>
          <w:rFonts w:eastAsia="仿宋_GB2312"/>
          <w:sz w:val="32"/>
          <w:szCs w:val="32"/>
        </w:rPr>
        <w:t>2025年，建立支撑经济高质量发展和生态环境高水平保护、与国家生态环境保护标准建设思路和体系相协调的先进生态环境保护标准体系。基本形成科学、有序、规范、高效的生态环境保护标准化管理机制，标准实施评估、标准转化机制进一步健全，市场主体参与标准化活动的能力普遍增强，生态环境保护标准化工作整体水平得到显著提升。基本形成政府主导、市场驱动、社会参与、协调推进的标准化共治格局，为加快推进四川省生态文明建设、服务美丽四川建设提供坚实的标准支撑。</w:t>
      </w:r>
    </w:p>
    <w:bookmarkEnd w:id="22"/>
    <w:p>
      <w:pPr>
        <w:overflowPunct w:val="0"/>
        <w:topLinePunct/>
        <w:spacing w:line="600" w:lineRule="exact"/>
        <w:ind w:firstLine="640" w:firstLineChars="200"/>
        <w:outlineLvl w:val="0"/>
        <w:rPr>
          <w:rFonts w:eastAsia="黑体"/>
          <w:sz w:val="32"/>
          <w:szCs w:val="32"/>
        </w:rPr>
      </w:pPr>
      <w:bookmarkStart w:id="23" w:name="_Toc110953404"/>
      <w:bookmarkStart w:id="24" w:name="_Toc64883287"/>
      <w:bookmarkStart w:id="25" w:name="_Toc29807853"/>
      <w:bookmarkStart w:id="26" w:name="_Toc91410345"/>
      <w:r>
        <w:rPr>
          <w:rFonts w:eastAsia="黑体"/>
          <w:sz w:val="32"/>
          <w:szCs w:val="32"/>
        </w:rPr>
        <w:t>三、</w:t>
      </w:r>
      <w:r>
        <w:rPr>
          <w:rFonts w:hint="eastAsia" w:eastAsia="黑体"/>
          <w:sz w:val="32"/>
          <w:szCs w:val="32"/>
        </w:rPr>
        <w:t>主要</w:t>
      </w:r>
      <w:r>
        <w:rPr>
          <w:rFonts w:eastAsia="黑体"/>
          <w:sz w:val="32"/>
          <w:szCs w:val="32"/>
        </w:rPr>
        <w:t>任务</w:t>
      </w:r>
      <w:bookmarkEnd w:id="23"/>
      <w:bookmarkEnd w:id="24"/>
      <w:bookmarkEnd w:id="25"/>
      <w:bookmarkEnd w:id="26"/>
    </w:p>
    <w:p>
      <w:pPr>
        <w:overflowPunct w:val="0"/>
        <w:topLinePunct/>
        <w:spacing w:line="600" w:lineRule="exact"/>
        <w:ind w:firstLine="642" w:firstLineChars="200"/>
        <w:outlineLvl w:val="1"/>
        <w:rPr>
          <w:rFonts w:eastAsia="楷体_GB2312"/>
          <w:b/>
          <w:bCs/>
          <w:color w:val="000000"/>
          <w:sz w:val="32"/>
          <w:szCs w:val="32"/>
        </w:rPr>
      </w:pPr>
      <w:bookmarkStart w:id="27" w:name="_Toc91410346"/>
      <w:bookmarkStart w:id="28" w:name="_Toc64883288"/>
      <w:bookmarkStart w:id="29" w:name="_Toc110953405"/>
      <w:bookmarkStart w:id="30" w:name="_Toc29807854"/>
      <w:r>
        <w:rPr>
          <w:rFonts w:eastAsia="楷体_GB2312"/>
          <w:b/>
          <w:bCs/>
          <w:color w:val="000000"/>
          <w:sz w:val="32"/>
          <w:szCs w:val="32"/>
        </w:rPr>
        <w:t>（一）</w:t>
      </w:r>
      <w:bookmarkEnd w:id="27"/>
      <w:bookmarkEnd w:id="28"/>
      <w:r>
        <w:rPr>
          <w:rFonts w:hint="eastAsia" w:eastAsia="楷体_GB2312"/>
          <w:b/>
          <w:bCs/>
          <w:color w:val="000000"/>
          <w:sz w:val="32"/>
          <w:szCs w:val="32"/>
        </w:rPr>
        <w:t>以标准支撑区域生态共建环境共保</w:t>
      </w:r>
      <w:bookmarkEnd w:id="29"/>
    </w:p>
    <w:p>
      <w:pPr>
        <w:overflowPunct w:val="0"/>
        <w:topLinePunct/>
        <w:spacing w:line="600" w:lineRule="exact"/>
        <w:ind w:firstLine="640" w:firstLineChars="200"/>
        <w:rPr>
          <w:rFonts w:eastAsia="仿宋_GB2312"/>
          <w:sz w:val="32"/>
          <w:szCs w:val="32"/>
        </w:rPr>
      </w:pPr>
      <w:bookmarkStart w:id="31" w:name="_Toc64883289"/>
      <w:r>
        <w:rPr>
          <w:rFonts w:hint="eastAsia" w:eastAsia="仿宋_GB2312"/>
          <w:sz w:val="32"/>
          <w:szCs w:val="32"/>
        </w:rPr>
        <w:t>聚焦成渝地区双城经济圈建设，共同改善区域生态环境质量，制定实施统一的成渝地区生态环境标准编制技术规范，联合开展现行生态环境保护标准差异分析评估，研究制修订统一的大气、水、土壤以及危险废物、噪声、生态保护等领域的环保标准或技术规范，完善区域碳达峰碳中和标准。探索具有成渝区域特色的标准化建设路径，加大成渝地区生态环境保护标准的示范应用和推广。</w:t>
      </w:r>
    </w:p>
    <w:p>
      <w:pPr>
        <w:overflowPunct w:val="0"/>
        <w:topLinePunct/>
        <w:spacing w:line="600" w:lineRule="exact"/>
        <w:ind w:firstLine="640" w:firstLineChars="200"/>
        <w:rPr>
          <w:rFonts w:eastAsia="等线"/>
          <w:szCs w:val="22"/>
        </w:rPr>
      </w:pPr>
      <w:r>
        <w:rPr>
          <w:rFonts w:hint="eastAsia" w:eastAsia="仿宋_GB2312"/>
          <w:sz w:val="32"/>
          <w:szCs w:val="32"/>
        </w:rPr>
        <w:t>聚焦赤水河流域共同保护，协同推进赤水河流域经济社会发展全面绿色转型，推进产业结构和布局调整优化，推动重点行业、产业升级和清洁化改造，开展赤水河流域水污染物排放标准研究。</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jc w:val="center"/>
              <w:rPr>
                <w:rFonts w:eastAsia="黑体"/>
                <w:spacing w:val="8"/>
                <w:szCs w:val="28"/>
              </w:rPr>
            </w:pPr>
            <w:r>
              <w:rPr>
                <w:rFonts w:eastAsia="黑体"/>
                <w:spacing w:val="8"/>
                <w:sz w:val="28"/>
                <w:szCs w:val="22"/>
              </w:rPr>
              <w:t xml:space="preserve">专栏1  </w:t>
            </w:r>
            <w:r>
              <w:rPr>
                <w:rFonts w:hint="eastAsia" w:eastAsia="黑体"/>
                <w:spacing w:val="8"/>
                <w:sz w:val="28"/>
                <w:szCs w:val="22"/>
              </w:rPr>
              <w:t>区域生态环境标准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spacing w:line="360" w:lineRule="exact"/>
              <w:ind w:firstLine="512" w:firstLineChars="200"/>
              <w:rPr>
                <w:spacing w:val="8"/>
                <w:szCs w:val="21"/>
              </w:rPr>
            </w:pPr>
            <w:r>
              <w:rPr>
                <w:rFonts w:hint="eastAsia" w:eastAsia="仿宋_GB2312"/>
                <w:spacing w:val="8"/>
                <w:sz w:val="24"/>
                <w:szCs w:val="21"/>
              </w:rPr>
              <w:t>协同推进成渝地区陶瓷行业、玻璃行业、页岩气开采、养殖尾水等污染物排放标准及建设用地土壤风险管控标准研究制定，逐步统一重点行业大气污染物排放标准。探索建立成渝地区生态环境数据资源共享交换标准。</w:t>
            </w:r>
          </w:p>
        </w:tc>
      </w:tr>
      <w:bookmarkEnd w:id="31"/>
    </w:tbl>
    <w:p>
      <w:pPr>
        <w:overflowPunct w:val="0"/>
        <w:topLinePunct/>
        <w:spacing w:line="570" w:lineRule="exact"/>
        <w:ind w:firstLine="642" w:firstLineChars="200"/>
        <w:outlineLvl w:val="1"/>
        <w:rPr>
          <w:rFonts w:eastAsia="楷体_GB2312"/>
          <w:b/>
          <w:bCs/>
          <w:color w:val="000000"/>
          <w:sz w:val="32"/>
          <w:szCs w:val="32"/>
        </w:rPr>
      </w:pPr>
      <w:bookmarkStart w:id="32" w:name="_Toc91410347"/>
      <w:bookmarkStart w:id="33" w:name="_Toc110953406"/>
      <w:r>
        <w:rPr>
          <w:rFonts w:eastAsia="楷体_GB2312"/>
          <w:b/>
          <w:bCs/>
          <w:color w:val="000000"/>
          <w:sz w:val="32"/>
          <w:szCs w:val="32"/>
        </w:rPr>
        <w:t>（二）</w:t>
      </w:r>
      <w:bookmarkEnd w:id="32"/>
      <w:r>
        <w:rPr>
          <w:rFonts w:hint="eastAsia" w:eastAsia="楷体_GB2312"/>
          <w:b/>
          <w:bCs/>
          <w:color w:val="000000"/>
          <w:sz w:val="32"/>
          <w:szCs w:val="32"/>
        </w:rPr>
        <w:t>以标准支撑双碳工作顺利开展</w:t>
      </w:r>
      <w:bookmarkEnd w:id="33"/>
    </w:p>
    <w:p>
      <w:pPr>
        <w:overflowPunct w:val="0"/>
        <w:topLinePunct/>
        <w:spacing w:line="570" w:lineRule="exact"/>
        <w:ind w:firstLine="640" w:firstLineChars="200"/>
        <w:rPr>
          <w:rFonts w:cs="宋体"/>
        </w:rPr>
      </w:pPr>
      <w:r>
        <w:rPr>
          <w:rFonts w:hint="eastAsia" w:eastAsia="仿宋_GB2312"/>
          <w:sz w:val="32"/>
          <w:szCs w:val="32"/>
        </w:rPr>
        <w:t>以助力碳达峰碳中和目标实现为着力点，开展碳达峰碳中和标准化专项研究，围绕特色优势领域，研究制定重点行业温室气体排放与核算标准，加快建立健全控制温室气体排放地方标准体系，探索开展出口产品碳足迹认证标准研究，完善低碳产品标准标识制度。</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ind w:firstLine="594"/>
              <w:jc w:val="center"/>
              <w:rPr>
                <w:rFonts w:eastAsia="黑体"/>
                <w:szCs w:val="28"/>
              </w:rPr>
            </w:pPr>
            <w:r>
              <w:rPr>
                <w:rFonts w:eastAsia="黑体"/>
                <w:sz w:val="28"/>
                <w:szCs w:val="22"/>
              </w:rPr>
              <w:t>专栏</w:t>
            </w:r>
            <w:r>
              <w:rPr>
                <w:rFonts w:hint="eastAsia" w:eastAsia="黑体"/>
                <w:sz w:val="28"/>
                <w:szCs w:val="22"/>
              </w:rPr>
              <w:t>2</w:t>
            </w:r>
            <w:r>
              <w:rPr>
                <w:rFonts w:eastAsia="黑体"/>
                <w:sz w:val="28"/>
                <w:szCs w:val="22"/>
              </w:rPr>
              <w:t xml:space="preserve">  </w:t>
            </w:r>
            <w:r>
              <w:rPr>
                <w:rFonts w:hint="eastAsia" w:eastAsia="黑体"/>
                <w:sz w:val="28"/>
                <w:szCs w:val="22"/>
              </w:rPr>
              <w:t>碳达峰碳中和标准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碳排放管理</w:t>
            </w:r>
          </w:p>
          <w:p>
            <w:pPr>
              <w:overflowPunct w:val="0"/>
              <w:topLinePunct/>
              <w:spacing w:line="360" w:lineRule="exact"/>
              <w:ind w:firstLine="480" w:firstLineChars="200"/>
              <w:rPr>
                <w:rFonts w:eastAsia="仿宋_GB2312"/>
                <w:sz w:val="24"/>
                <w:szCs w:val="21"/>
              </w:rPr>
            </w:pPr>
            <w:r>
              <w:rPr>
                <w:rFonts w:hint="eastAsia" w:eastAsia="仿宋_GB2312"/>
                <w:sz w:val="24"/>
                <w:szCs w:val="21"/>
              </w:rPr>
              <w:t>支撑应对气候变化工作，研究制定企业温室气体排放管理、温室气体减排、近零碳排放区示范工程建设等技术规范。</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核算和披露</w:t>
            </w:r>
          </w:p>
          <w:p>
            <w:pPr>
              <w:overflowPunct w:val="0"/>
              <w:topLinePunct/>
              <w:spacing w:line="360" w:lineRule="exact"/>
              <w:ind w:firstLine="480" w:firstLineChars="200"/>
              <w:rPr>
                <w:szCs w:val="21"/>
              </w:rPr>
            </w:pPr>
            <w:r>
              <w:rPr>
                <w:rFonts w:hint="eastAsia" w:eastAsia="仿宋_GB2312"/>
                <w:sz w:val="24"/>
                <w:szCs w:val="21"/>
              </w:rPr>
              <w:t>支撑特色产业绿色发展，研究制定钒钛钢铁、白酒等重点行业温室气体排放核算和披露标准。研究制定污水处理厂、垃圾填埋场甲烷排放核算标准，研究厨余垃圾多途径资源化利用技术的碳排放和固碳能力核算方法。</w:t>
            </w:r>
          </w:p>
        </w:tc>
      </w:tr>
    </w:tbl>
    <w:p>
      <w:pPr>
        <w:overflowPunct w:val="0"/>
        <w:topLinePunct/>
        <w:spacing w:line="600" w:lineRule="exact"/>
        <w:ind w:firstLine="642" w:firstLineChars="200"/>
        <w:outlineLvl w:val="1"/>
        <w:rPr>
          <w:rFonts w:eastAsia="楷体_GB2312"/>
          <w:b/>
          <w:bCs/>
          <w:color w:val="000000"/>
          <w:sz w:val="32"/>
          <w:szCs w:val="32"/>
        </w:rPr>
      </w:pPr>
      <w:bookmarkStart w:id="34" w:name="_Toc91410348"/>
      <w:bookmarkStart w:id="35" w:name="_Toc110953407"/>
      <w:r>
        <w:rPr>
          <w:rFonts w:eastAsia="楷体_GB2312"/>
          <w:b/>
          <w:bCs/>
          <w:color w:val="000000"/>
          <w:sz w:val="32"/>
          <w:szCs w:val="32"/>
        </w:rPr>
        <w:t>（三）</w:t>
      </w:r>
      <w:bookmarkEnd w:id="34"/>
      <w:r>
        <w:rPr>
          <w:rFonts w:hint="eastAsia" w:eastAsia="楷体_GB2312"/>
          <w:b/>
          <w:bCs/>
          <w:color w:val="000000"/>
          <w:sz w:val="32"/>
          <w:szCs w:val="32"/>
        </w:rPr>
        <w:t>以标准支撑长江黄河上游生态屏障建设</w:t>
      </w:r>
      <w:bookmarkEnd w:id="35"/>
    </w:p>
    <w:p>
      <w:pPr>
        <w:overflowPunct w:val="0"/>
        <w:topLinePunct/>
        <w:spacing w:line="600" w:lineRule="exact"/>
        <w:ind w:firstLine="640" w:firstLineChars="200"/>
        <w:rPr>
          <w:rFonts w:eastAsia="仿宋_GB2312"/>
          <w:sz w:val="32"/>
          <w:szCs w:val="32"/>
        </w:rPr>
      </w:pPr>
      <w:bookmarkStart w:id="36" w:name="_Hlk83399042"/>
      <w:r>
        <w:rPr>
          <w:rFonts w:hint="eastAsia" w:eastAsia="仿宋_GB2312"/>
          <w:sz w:val="32"/>
          <w:szCs w:val="32"/>
        </w:rPr>
        <w:t>以筑牢长江黄河上游生态屏障为目标，研究制定生物多样性保护标准，加大四川省生物多样性保护力度。研究制定生态环境分区管控技术规范，开展生态环境分区管控跟踪评估研究，推动国土空间高质量发展与高水平保护。研究建立美丽四川建设系列标准体系，开展美丽四川建设进程评估研究，引导推进美丽四川试点示范。</w:t>
      </w:r>
    </w:p>
    <w:bookmarkEnd w:id="36"/>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jc w:val="center"/>
              <w:rPr>
                <w:rFonts w:eastAsia="黑体"/>
                <w:sz w:val="28"/>
                <w:szCs w:val="28"/>
              </w:rPr>
            </w:pPr>
            <w:r>
              <w:rPr>
                <w:rFonts w:eastAsia="黑体"/>
                <w:sz w:val="28"/>
                <w:szCs w:val="28"/>
              </w:rPr>
              <w:t xml:space="preserve">专栏3  </w:t>
            </w:r>
            <w:r>
              <w:rPr>
                <w:rFonts w:hint="eastAsia" w:eastAsia="黑体"/>
                <w:sz w:val="28"/>
                <w:szCs w:val="28"/>
              </w:rPr>
              <w:t>生态保护标准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生物多样性保护</w:t>
            </w:r>
          </w:p>
          <w:p>
            <w:pPr>
              <w:overflowPunct w:val="0"/>
              <w:topLinePunct/>
              <w:spacing w:line="360" w:lineRule="exact"/>
              <w:ind w:firstLine="480" w:firstLineChars="200"/>
              <w:rPr>
                <w:rFonts w:eastAsia="仿宋_GB2312"/>
                <w:sz w:val="24"/>
              </w:rPr>
            </w:pPr>
            <w:r>
              <w:rPr>
                <w:rFonts w:hint="eastAsia" w:eastAsia="仿宋_GB2312"/>
                <w:sz w:val="24"/>
              </w:rPr>
              <w:t>推进水生生物多样性调查、评价和监测预警指标体系建设，开展相关水生生物多样性调查、评价和监测标准研究。</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生态环境分区管控</w:t>
            </w:r>
          </w:p>
          <w:p>
            <w:pPr>
              <w:overflowPunct w:val="0"/>
              <w:topLinePunct/>
              <w:spacing w:line="360" w:lineRule="exact"/>
              <w:ind w:firstLine="480" w:firstLineChars="200"/>
              <w:rPr>
                <w:rFonts w:eastAsia="仿宋_GB2312"/>
                <w:sz w:val="24"/>
              </w:rPr>
            </w:pPr>
            <w:r>
              <w:rPr>
                <w:rFonts w:hint="eastAsia" w:eastAsia="仿宋_GB2312"/>
                <w:sz w:val="24"/>
              </w:rPr>
              <w:t>研究制定四川省生态环境分区管控技术规范，推进建立四川省生态环境分区管控跟踪评估指标体系。</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美丽四川建设</w:t>
            </w:r>
          </w:p>
          <w:p>
            <w:pPr>
              <w:overflowPunct w:val="0"/>
              <w:topLinePunct/>
              <w:adjustRightInd w:val="0"/>
              <w:spacing w:line="360" w:lineRule="exact"/>
              <w:ind w:firstLine="480" w:firstLineChars="200"/>
              <w:rPr>
                <w:rFonts w:eastAsia="等线"/>
                <w:sz w:val="24"/>
                <w:szCs w:val="22"/>
              </w:rPr>
            </w:pPr>
            <w:r>
              <w:rPr>
                <w:rFonts w:hint="eastAsia" w:eastAsia="仿宋_GB2312"/>
                <w:sz w:val="24"/>
                <w:szCs w:val="22"/>
              </w:rPr>
              <w:t>研究制定美丽四川建设系列指南，推进建立美丽四川建设评价指标体系。</w:t>
            </w:r>
          </w:p>
        </w:tc>
      </w:tr>
    </w:tbl>
    <w:p>
      <w:pPr>
        <w:overflowPunct w:val="0"/>
        <w:topLinePunct/>
        <w:spacing w:line="600" w:lineRule="exact"/>
        <w:ind w:firstLine="642" w:firstLineChars="200"/>
        <w:outlineLvl w:val="1"/>
        <w:rPr>
          <w:rFonts w:eastAsia="楷体_GB2312"/>
          <w:b/>
          <w:bCs/>
          <w:color w:val="000000"/>
          <w:sz w:val="32"/>
          <w:szCs w:val="32"/>
        </w:rPr>
      </w:pPr>
      <w:bookmarkStart w:id="37" w:name="_Toc91410349"/>
      <w:bookmarkStart w:id="38" w:name="_Toc110953408"/>
      <w:r>
        <w:rPr>
          <w:rFonts w:eastAsia="楷体_GB2312"/>
          <w:b/>
          <w:bCs/>
          <w:color w:val="000000"/>
          <w:sz w:val="32"/>
          <w:szCs w:val="32"/>
        </w:rPr>
        <w:t>（四）</w:t>
      </w:r>
      <w:bookmarkEnd w:id="37"/>
      <w:r>
        <w:rPr>
          <w:rFonts w:hint="eastAsia" w:eastAsia="楷体_GB2312"/>
          <w:b/>
          <w:bCs/>
          <w:color w:val="000000"/>
          <w:sz w:val="32"/>
          <w:szCs w:val="32"/>
        </w:rPr>
        <w:t>以标准支撑深入打好污染防治攻坚战</w:t>
      </w:r>
      <w:bookmarkEnd w:id="38"/>
    </w:p>
    <w:p>
      <w:pPr>
        <w:overflowPunct w:val="0"/>
        <w:topLinePunct/>
        <w:spacing w:line="600" w:lineRule="exact"/>
        <w:ind w:firstLine="640" w:firstLineChars="200"/>
        <w:rPr>
          <w:rFonts w:eastAsia="仿宋_GB2312"/>
          <w:sz w:val="32"/>
          <w:szCs w:val="32"/>
        </w:rPr>
      </w:pPr>
      <w:r>
        <w:rPr>
          <w:rFonts w:eastAsia="仿宋_GB2312"/>
          <w:sz w:val="32"/>
          <w:szCs w:val="32"/>
        </w:rPr>
        <w:t>1．水生态环境标准</w:t>
      </w:r>
    </w:p>
    <w:p>
      <w:pPr>
        <w:overflowPunct w:val="0"/>
        <w:topLinePunct/>
        <w:spacing w:line="600" w:lineRule="exact"/>
        <w:ind w:firstLine="640" w:firstLineChars="200"/>
        <w:rPr>
          <w:rFonts w:eastAsia="仿宋_GB2312"/>
          <w:sz w:val="32"/>
          <w:szCs w:val="32"/>
        </w:rPr>
      </w:pPr>
      <w:r>
        <w:rPr>
          <w:rFonts w:hint="eastAsia" w:eastAsia="仿宋_GB2312"/>
          <w:sz w:val="32"/>
          <w:szCs w:val="32"/>
        </w:rPr>
        <w:t>以系统推进“三水”共治，巩固提升水环境质量为着力点，围绕重点行业、重点流域，加快推进四川省水生态环境标准体系建设，推动工业废水资源化利用，强化水环境污染治理，开展水生态保护修复，推进美丽河湖保护与建设。</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jc w:val="center"/>
              <w:rPr>
                <w:rFonts w:eastAsia="黑体"/>
                <w:sz w:val="28"/>
                <w:szCs w:val="28"/>
              </w:rPr>
            </w:pPr>
            <w:r>
              <w:rPr>
                <w:rFonts w:eastAsia="黑体"/>
                <w:sz w:val="28"/>
                <w:szCs w:val="28"/>
              </w:rPr>
              <w:t xml:space="preserve">专栏4  </w:t>
            </w:r>
            <w:r>
              <w:rPr>
                <w:rFonts w:hint="eastAsia" w:eastAsia="黑体"/>
                <w:sz w:val="28"/>
                <w:szCs w:val="28"/>
              </w:rPr>
              <w:t>水生态环境标准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水污染治理</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规范养殖行业排放监管，制定水产养殖业水污染物排放标准和畜禽养殖业污染物排放标准；加大重点行业水污染防治力度，制定化工、医药、冶炼、页岩气开采等行业水污染物排放标准；推动规范酒类行业排放监管，研究制定发酵酒精和白酒工业废水排放标准；促进矿山生态环境问题整治，开展矿山开采水污染物排放标准及相关治理技术规范研究。</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推进农业农村污染防治，开展水产养殖和畜禽养殖等污染防治、农村生活污水治理等有关技术规范研究。研究制定生活垃圾填埋场地下水环境调查评估技术规范，开展园区污水处理厂进水监测与污水处理厂超标溯源管理以及评估工业废水能否进入城镇污水处理厂等技术规范研究。</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水生态保护修复</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推进水生态保护与修复，开展流域水生态评价技术规范、流域水生态调查与监测技术规范及水生态修复技术指南研究。</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美丽河湖保护与建设</w:t>
            </w:r>
          </w:p>
          <w:p>
            <w:pPr>
              <w:overflowPunct w:val="0"/>
              <w:topLinePunct/>
              <w:adjustRightInd w:val="0"/>
              <w:spacing w:line="360" w:lineRule="exact"/>
              <w:ind w:firstLine="480" w:firstLineChars="200"/>
              <w:rPr>
                <w:rFonts w:eastAsia="等线"/>
                <w:szCs w:val="21"/>
              </w:rPr>
            </w:pPr>
            <w:r>
              <w:rPr>
                <w:rFonts w:hint="eastAsia" w:eastAsia="仿宋_GB2312"/>
                <w:sz w:val="24"/>
                <w:szCs w:val="22"/>
              </w:rPr>
              <w:t>持续推动美丽河湖建设及试点，研究制定四川省美丽河湖评价标准；加强饮用水水源地保护，制定饮用水水源地保护区勘界定标技术指南。</w:t>
            </w:r>
          </w:p>
        </w:tc>
      </w:tr>
    </w:tbl>
    <w:p>
      <w:pPr>
        <w:overflowPunct w:val="0"/>
        <w:topLinePunct/>
        <w:spacing w:line="600" w:lineRule="exact"/>
        <w:ind w:firstLine="640" w:firstLineChars="200"/>
        <w:rPr>
          <w:rFonts w:eastAsia="仿宋_GB2312"/>
          <w:sz w:val="32"/>
          <w:szCs w:val="32"/>
        </w:rPr>
      </w:pPr>
      <w:r>
        <w:rPr>
          <w:rFonts w:eastAsia="仿宋_GB2312"/>
          <w:sz w:val="32"/>
          <w:szCs w:val="32"/>
        </w:rPr>
        <w:t>2．大气生态环境标准</w:t>
      </w:r>
    </w:p>
    <w:p>
      <w:pPr>
        <w:overflowPunct w:val="0"/>
        <w:topLinePunct/>
        <w:spacing w:line="600" w:lineRule="exact"/>
        <w:ind w:firstLine="640" w:firstLineChars="200"/>
        <w:rPr>
          <w:rFonts w:eastAsia="仿宋_GB2312"/>
          <w:sz w:val="32"/>
          <w:szCs w:val="32"/>
        </w:rPr>
      </w:pPr>
      <w:r>
        <w:rPr>
          <w:rFonts w:hint="eastAsia" w:eastAsia="仿宋_GB2312"/>
          <w:sz w:val="32"/>
          <w:szCs w:val="32"/>
        </w:rPr>
        <w:t>以持续改善环境空气质量为着力点，深化大气污染物协同控制，加强大气污染物排放标准研究，推进重点行业和重点领域深度治理。推进噪声污染防治技术规范研究，支撑噪声污染防治。</w:t>
      </w:r>
      <w:bookmarkEnd w:id="30"/>
      <w:bookmarkStart w:id="39" w:name="_Toc29807861"/>
      <w:bookmarkStart w:id="40" w:name="_Toc64883307"/>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ind w:firstLine="594"/>
              <w:jc w:val="center"/>
              <w:rPr>
                <w:rFonts w:eastAsia="黑体"/>
                <w:sz w:val="28"/>
                <w:szCs w:val="28"/>
              </w:rPr>
            </w:pPr>
            <w:r>
              <w:rPr>
                <w:rFonts w:eastAsia="黑体"/>
                <w:sz w:val="28"/>
                <w:szCs w:val="28"/>
              </w:rPr>
              <w:t xml:space="preserve">专栏5  </w:t>
            </w:r>
            <w:r>
              <w:rPr>
                <w:rFonts w:hint="eastAsia" w:eastAsia="黑体"/>
                <w:sz w:val="28"/>
                <w:szCs w:val="28"/>
              </w:rPr>
              <w:t>大气生态环境标准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大气污染治理</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推进重点行业和重点领域深度治理，制定玻璃、陶瓷等重点行业污染物排放标准，制定成都市餐饮业油烟污染物排放标准，开展工业炉窑污染物排放标准研究。</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噪声污染防治</w:t>
            </w:r>
          </w:p>
          <w:p>
            <w:pPr>
              <w:overflowPunct w:val="0"/>
              <w:topLinePunct/>
              <w:adjustRightInd w:val="0"/>
              <w:spacing w:line="360" w:lineRule="exact"/>
              <w:ind w:firstLine="480" w:firstLineChars="200"/>
              <w:rPr>
                <w:rFonts w:eastAsia="等线"/>
                <w:szCs w:val="21"/>
              </w:rPr>
            </w:pPr>
            <w:r>
              <w:rPr>
                <w:rFonts w:hint="eastAsia" w:eastAsia="仿宋_GB2312"/>
                <w:sz w:val="24"/>
                <w:szCs w:val="22"/>
              </w:rPr>
              <w:t>支撑噪声污染防治，开展噪声综合治理技术规范研究。</w:t>
            </w:r>
          </w:p>
        </w:tc>
      </w:tr>
    </w:tbl>
    <w:p>
      <w:pPr>
        <w:overflowPunct w:val="0"/>
        <w:topLinePunct/>
        <w:spacing w:line="600" w:lineRule="exact"/>
        <w:ind w:firstLine="640" w:firstLineChars="200"/>
        <w:rPr>
          <w:rFonts w:eastAsia="仿宋_GB2312"/>
          <w:sz w:val="32"/>
          <w:szCs w:val="32"/>
        </w:rPr>
      </w:pPr>
      <w:r>
        <w:rPr>
          <w:rFonts w:eastAsia="仿宋_GB2312"/>
          <w:sz w:val="32"/>
          <w:szCs w:val="32"/>
        </w:rPr>
        <w:t>3．土壤生态环境标准</w:t>
      </w:r>
    </w:p>
    <w:p>
      <w:pPr>
        <w:overflowPunct w:val="0"/>
        <w:topLinePunct/>
        <w:spacing w:line="600" w:lineRule="exact"/>
        <w:ind w:firstLine="640" w:firstLineChars="200"/>
        <w:rPr>
          <w:rFonts w:eastAsia="仿宋_GB2312"/>
          <w:sz w:val="32"/>
          <w:szCs w:val="32"/>
        </w:rPr>
      </w:pPr>
      <w:r>
        <w:rPr>
          <w:rFonts w:hint="eastAsia" w:eastAsia="仿宋_GB2312"/>
          <w:sz w:val="32"/>
          <w:szCs w:val="32"/>
        </w:rPr>
        <w:t>以扎实推进净土减废行动，保持土壤环境总体稳定为着力点，加快推进土壤污染风险管控标准研制，配套开展相关隐患排查、评估、修复等技术规范研究，推进土壤污染源头防控，强化土壤污染风险管控。</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ind w:firstLine="594"/>
              <w:jc w:val="center"/>
              <w:rPr>
                <w:rFonts w:eastAsia="黑体"/>
                <w:sz w:val="28"/>
                <w:szCs w:val="28"/>
              </w:rPr>
            </w:pPr>
            <w:r>
              <w:rPr>
                <w:rFonts w:eastAsia="黑体"/>
                <w:sz w:val="28"/>
                <w:szCs w:val="28"/>
              </w:rPr>
              <w:t>专栏</w:t>
            </w:r>
            <w:r>
              <w:rPr>
                <w:rFonts w:hint="eastAsia" w:eastAsia="黑体"/>
                <w:sz w:val="28"/>
                <w:szCs w:val="28"/>
              </w:rPr>
              <w:t>6</w:t>
            </w:r>
            <w:r>
              <w:rPr>
                <w:rFonts w:eastAsia="黑体"/>
                <w:sz w:val="28"/>
                <w:szCs w:val="28"/>
              </w:rPr>
              <w:t xml:space="preserve">  </w:t>
            </w:r>
            <w:r>
              <w:rPr>
                <w:rFonts w:hint="eastAsia" w:eastAsia="黑体"/>
                <w:sz w:val="28"/>
                <w:szCs w:val="28"/>
              </w:rPr>
              <w:t>土壤生态环境标准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等线"/>
                <w:szCs w:val="21"/>
              </w:rPr>
            </w:pPr>
            <w:r>
              <w:rPr>
                <w:rFonts w:hint="eastAsia" w:eastAsia="仿宋_GB2312"/>
                <w:sz w:val="24"/>
                <w:szCs w:val="22"/>
              </w:rPr>
              <w:t>加强建设用地土壤污染防治，保障人居环境安全，制定建设用地土壤污染风险管控标准。加强土壤风险评估管理，强化污染场地监控，研究制定固体废物堆存场所、在产企业场地等土壤风险评估技术规范，研究制定铅锌冶炼等重点行业土壤污染隐患排查技术规范和土壤污染修复相关技术规范。</w:t>
            </w:r>
          </w:p>
        </w:tc>
      </w:tr>
    </w:tbl>
    <w:p>
      <w:pPr>
        <w:overflowPunct w:val="0"/>
        <w:topLinePunct/>
        <w:spacing w:line="600" w:lineRule="exact"/>
        <w:ind w:firstLine="642" w:firstLineChars="200"/>
        <w:outlineLvl w:val="1"/>
        <w:rPr>
          <w:rFonts w:eastAsia="楷体_GB2312"/>
          <w:b/>
          <w:bCs/>
          <w:color w:val="000000"/>
          <w:sz w:val="32"/>
          <w:szCs w:val="32"/>
        </w:rPr>
      </w:pPr>
      <w:bookmarkStart w:id="41" w:name="_Toc110953409"/>
      <w:r>
        <w:rPr>
          <w:rFonts w:eastAsia="楷体_GB2312"/>
          <w:b/>
          <w:bCs/>
          <w:color w:val="000000"/>
          <w:sz w:val="32"/>
          <w:szCs w:val="32"/>
        </w:rPr>
        <w:t>（</w:t>
      </w:r>
      <w:r>
        <w:rPr>
          <w:rFonts w:hint="eastAsia" w:eastAsia="楷体_GB2312"/>
          <w:b/>
          <w:bCs/>
          <w:color w:val="000000"/>
          <w:sz w:val="32"/>
          <w:szCs w:val="32"/>
        </w:rPr>
        <w:t>五</w:t>
      </w:r>
      <w:r>
        <w:rPr>
          <w:rFonts w:eastAsia="楷体_GB2312"/>
          <w:b/>
          <w:bCs/>
          <w:color w:val="000000"/>
          <w:sz w:val="32"/>
          <w:szCs w:val="32"/>
        </w:rPr>
        <w:t>）</w:t>
      </w:r>
      <w:r>
        <w:rPr>
          <w:rFonts w:hint="eastAsia" w:eastAsia="楷体_GB2312"/>
          <w:b/>
          <w:bCs/>
          <w:color w:val="000000"/>
          <w:sz w:val="32"/>
          <w:szCs w:val="32"/>
        </w:rPr>
        <w:t>以标准强化生态环境风险防控</w:t>
      </w:r>
      <w:bookmarkEnd w:id="41"/>
    </w:p>
    <w:p>
      <w:pPr>
        <w:overflowPunct w:val="0"/>
        <w:topLinePunct/>
        <w:spacing w:line="600" w:lineRule="exact"/>
        <w:ind w:firstLine="640" w:firstLineChars="200"/>
        <w:rPr>
          <w:rFonts w:eastAsia="仿宋_GB2312"/>
          <w:sz w:val="32"/>
          <w:szCs w:val="32"/>
        </w:rPr>
      </w:pPr>
      <w:r>
        <w:rPr>
          <w:rFonts w:hint="eastAsia" w:eastAsia="仿宋_GB2312"/>
          <w:sz w:val="32"/>
          <w:szCs w:val="32"/>
        </w:rPr>
        <w:t>以加强风险防范与化解，守住生态环境安全底线为着力点，推进地方生态环境风险管控标准体系建设，加强固危废、新污染物、放射性、环境与健康、环境应急管理等重点领域标准研制与实施，有效控制环境风险，切实保障生态安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ind w:firstLine="594"/>
              <w:jc w:val="center"/>
              <w:rPr>
                <w:rFonts w:eastAsia="黑体"/>
                <w:sz w:val="28"/>
                <w:szCs w:val="28"/>
              </w:rPr>
            </w:pPr>
            <w:r>
              <w:rPr>
                <w:rFonts w:eastAsia="黑体"/>
                <w:sz w:val="28"/>
                <w:szCs w:val="28"/>
              </w:rPr>
              <w:t>专栏</w:t>
            </w:r>
            <w:r>
              <w:rPr>
                <w:rFonts w:hint="eastAsia" w:eastAsia="黑体"/>
                <w:sz w:val="28"/>
                <w:szCs w:val="28"/>
              </w:rPr>
              <w:t>7</w:t>
            </w:r>
            <w:r>
              <w:rPr>
                <w:rFonts w:eastAsia="黑体"/>
                <w:sz w:val="28"/>
                <w:szCs w:val="28"/>
              </w:rPr>
              <w:t xml:space="preserve">  </w:t>
            </w:r>
            <w:r>
              <w:rPr>
                <w:rFonts w:hint="eastAsia" w:eastAsia="黑体"/>
                <w:sz w:val="28"/>
                <w:szCs w:val="28"/>
              </w:rPr>
              <w:t>生态环境风险管控标准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固体废物污染管控</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推动解决农村垃圾处理技术难题，研究制定川西北牧区小型生活垃圾处理、农村生活垃圾低温处置等技术规范。</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放射性物质风险管控</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适应四川省核工业发展形势，规范放射性废物和废放射源的监管，研究制定核技术利用放射性废物、废放射源收贮标准和稀土放射性废渣管理技术规范。</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环境与健康风险管控</w:t>
            </w:r>
          </w:p>
          <w:p>
            <w:pPr>
              <w:overflowPunct w:val="0"/>
              <w:topLinePunct/>
              <w:adjustRightInd w:val="0"/>
              <w:spacing w:line="360" w:lineRule="exact"/>
              <w:ind w:firstLine="480" w:firstLineChars="200"/>
              <w:rPr>
                <w:rFonts w:eastAsia="仿宋_GB2312"/>
                <w:sz w:val="24"/>
                <w:szCs w:val="22"/>
              </w:rPr>
            </w:pPr>
            <w:r>
              <w:rPr>
                <w:rFonts w:hint="eastAsia" w:eastAsia="仿宋_GB2312"/>
                <w:sz w:val="24"/>
                <w:szCs w:val="22"/>
              </w:rPr>
              <w:t>支撑环境与健康工作，开展抗生素等新污染物环境与健康风险评估标准研究；保障城市生态系统健康，开展四川省城市生态风险评价标准、四川省垃圾焚烧厂环评中的健康风险评价标准研究。</w:t>
            </w:r>
          </w:p>
          <w:p>
            <w:pPr>
              <w:overflowPunct w:val="0"/>
              <w:topLinePunct/>
              <w:adjustRightInd w:val="0"/>
              <w:spacing w:line="360" w:lineRule="exact"/>
              <w:ind w:firstLine="480" w:firstLineChars="200"/>
              <w:rPr>
                <w:rFonts w:eastAsia="楷体_GB2312"/>
                <w:sz w:val="24"/>
                <w:szCs w:val="22"/>
              </w:rPr>
            </w:pPr>
            <w:r>
              <w:rPr>
                <w:rFonts w:hint="eastAsia" w:eastAsia="楷体_GB2312"/>
                <w:sz w:val="24"/>
                <w:szCs w:val="22"/>
              </w:rPr>
              <w:t>环境应急管理</w:t>
            </w:r>
          </w:p>
          <w:p>
            <w:pPr>
              <w:overflowPunct w:val="0"/>
              <w:topLinePunct/>
              <w:adjustRightInd w:val="0"/>
              <w:spacing w:line="360" w:lineRule="exact"/>
              <w:ind w:firstLine="480" w:firstLineChars="200"/>
              <w:rPr>
                <w:rFonts w:eastAsia="等线"/>
                <w:szCs w:val="21"/>
              </w:rPr>
            </w:pPr>
            <w:r>
              <w:rPr>
                <w:rFonts w:hint="eastAsia" w:eastAsia="仿宋_GB2312"/>
                <w:sz w:val="24"/>
                <w:szCs w:val="22"/>
              </w:rPr>
              <w:t>强化化工行业环境风险识别与防范，提高环境应急管理水平，开展化工企业（园区）环境风险防控标准研究。</w:t>
            </w:r>
          </w:p>
        </w:tc>
      </w:tr>
    </w:tbl>
    <w:p>
      <w:pPr>
        <w:overflowPunct w:val="0"/>
        <w:topLinePunct/>
        <w:spacing w:line="600" w:lineRule="exact"/>
        <w:ind w:firstLine="642" w:firstLineChars="200"/>
        <w:outlineLvl w:val="1"/>
        <w:rPr>
          <w:rFonts w:eastAsia="楷体_GB2312"/>
          <w:b/>
          <w:bCs/>
          <w:color w:val="000000"/>
          <w:sz w:val="32"/>
          <w:szCs w:val="32"/>
        </w:rPr>
      </w:pPr>
      <w:bookmarkStart w:id="42" w:name="_Toc110953410"/>
      <w:r>
        <w:rPr>
          <w:rFonts w:eastAsia="楷体_GB2312"/>
          <w:b/>
          <w:bCs/>
          <w:color w:val="000000"/>
          <w:sz w:val="32"/>
          <w:szCs w:val="32"/>
        </w:rPr>
        <w:t>（</w:t>
      </w:r>
      <w:r>
        <w:rPr>
          <w:rFonts w:hint="eastAsia" w:eastAsia="楷体_GB2312"/>
          <w:b/>
          <w:bCs/>
          <w:color w:val="000000"/>
          <w:sz w:val="32"/>
          <w:szCs w:val="32"/>
        </w:rPr>
        <w:t>六</w:t>
      </w:r>
      <w:r>
        <w:rPr>
          <w:rFonts w:eastAsia="楷体_GB2312"/>
          <w:b/>
          <w:bCs/>
          <w:color w:val="000000"/>
          <w:sz w:val="32"/>
          <w:szCs w:val="32"/>
        </w:rPr>
        <w:t>）</w:t>
      </w:r>
      <w:r>
        <w:rPr>
          <w:rFonts w:hint="eastAsia" w:eastAsia="楷体_GB2312"/>
          <w:b/>
          <w:bCs/>
          <w:color w:val="000000"/>
          <w:sz w:val="32"/>
          <w:szCs w:val="32"/>
        </w:rPr>
        <w:t>以标准体制机制建设促进标准化治理效能提升</w:t>
      </w:r>
      <w:bookmarkEnd w:id="42"/>
    </w:p>
    <w:p>
      <w:pPr>
        <w:overflowPunct w:val="0"/>
        <w:topLinePunct/>
        <w:spacing w:line="600" w:lineRule="exact"/>
        <w:ind w:firstLine="640" w:firstLineChars="200"/>
        <w:rPr>
          <w:rFonts w:eastAsia="仿宋_GB2312"/>
          <w:sz w:val="32"/>
          <w:szCs w:val="32"/>
        </w:rPr>
      </w:pPr>
      <w:r>
        <w:rPr>
          <w:rFonts w:eastAsia="仿宋_GB2312"/>
          <w:sz w:val="32"/>
          <w:szCs w:val="32"/>
        </w:rPr>
        <w:t>1．构建生态环境保护标准二元结构</w:t>
      </w:r>
    </w:p>
    <w:p>
      <w:pPr>
        <w:overflowPunct w:val="0"/>
        <w:topLinePunct/>
        <w:spacing w:line="600" w:lineRule="exact"/>
        <w:ind w:firstLine="640" w:firstLineChars="200"/>
        <w:rPr>
          <w:rFonts w:eastAsia="仿宋_GB2312"/>
          <w:sz w:val="32"/>
          <w:szCs w:val="32"/>
        </w:rPr>
      </w:pPr>
      <w:r>
        <w:rPr>
          <w:rFonts w:hint="eastAsia" w:eastAsia="仿宋_GB2312"/>
          <w:sz w:val="32"/>
          <w:szCs w:val="32"/>
        </w:rPr>
        <w:t>鼓励支持社会团体、企业参与生态环境保护标准化活动，聚焦新技术、新产业、新业态和新模式，扩大生态环境保护领域优质市场标准供给。有效实施团体标准、企业标准自我声明公开和监督制度，将企业产品和服务符合标准情况纳入社会信用体系建设。</w:t>
      </w:r>
    </w:p>
    <w:p>
      <w:pPr>
        <w:overflowPunct w:val="0"/>
        <w:topLinePunct/>
        <w:spacing w:line="600" w:lineRule="exact"/>
        <w:ind w:firstLine="640" w:firstLineChars="200"/>
        <w:rPr>
          <w:rFonts w:eastAsia="仿宋_GB2312"/>
          <w:sz w:val="32"/>
          <w:szCs w:val="32"/>
        </w:rPr>
      </w:pPr>
      <w:r>
        <w:rPr>
          <w:rFonts w:hint="eastAsia" w:eastAsia="仿宋_GB2312"/>
          <w:sz w:val="32"/>
          <w:szCs w:val="32"/>
        </w:rPr>
        <w:t>建立团体标准、企业标准政府评估采信机制。鼓励基于团体标准、企业标准提出地方标准提案，支持符合条件的团体标准、企业标准向地方标准升级转化，对转化标准按照规定给予适当奖励。充分运用技术委员会技术平台为市场主体提供标准转化的技术指导。鼓励设区的市按照需求制定生态环境管理技术规范类推荐性地方标准。</w:t>
      </w:r>
    </w:p>
    <w:p>
      <w:pPr>
        <w:overflowPunct w:val="0"/>
        <w:topLinePunct/>
        <w:spacing w:line="600" w:lineRule="exact"/>
        <w:ind w:firstLine="640" w:firstLineChars="200"/>
        <w:rPr>
          <w:rFonts w:eastAsia="仿宋_GB2312"/>
          <w:sz w:val="32"/>
          <w:szCs w:val="32"/>
        </w:rPr>
      </w:pPr>
      <w:r>
        <w:rPr>
          <w:rFonts w:eastAsia="仿宋_GB2312"/>
          <w:sz w:val="32"/>
          <w:szCs w:val="32"/>
        </w:rPr>
        <w:t>2．强化生态环境保护标准宣传培训</w:t>
      </w:r>
    </w:p>
    <w:p>
      <w:pPr>
        <w:overflowPunct w:val="0"/>
        <w:topLinePunct/>
        <w:spacing w:line="600" w:lineRule="exact"/>
        <w:ind w:firstLine="640" w:firstLineChars="200"/>
        <w:rPr>
          <w:rFonts w:eastAsia="仿宋_GB2312"/>
          <w:sz w:val="32"/>
          <w:szCs w:val="32"/>
        </w:rPr>
      </w:pPr>
      <w:r>
        <w:rPr>
          <w:rFonts w:hint="eastAsia" w:eastAsia="仿宋_GB2312"/>
          <w:sz w:val="32"/>
          <w:szCs w:val="32"/>
        </w:rPr>
        <w:t>充分发挥主管部门、技术委员会、社会团体作用，利用微信公众号、微博等新媒体和报纸、期刊等平面媒体对新标准进行解读，对标准化方针政策、法律法规以及标准化先进典型和突出成果进行定期宣传。开展“送标准、送技术”入园区活动，对企业进行“零距离”宣传，推动标准有效实施。</w:t>
      </w:r>
    </w:p>
    <w:p>
      <w:pPr>
        <w:overflowPunct w:val="0"/>
        <w:topLinePunct/>
        <w:spacing w:line="600" w:lineRule="exact"/>
        <w:ind w:firstLine="640" w:firstLineChars="200"/>
        <w:rPr>
          <w:rFonts w:eastAsia="仿宋_GB2312"/>
          <w:sz w:val="32"/>
          <w:szCs w:val="32"/>
        </w:rPr>
      </w:pPr>
      <w:r>
        <w:rPr>
          <w:rFonts w:hint="eastAsia" w:eastAsia="仿宋_GB2312"/>
          <w:sz w:val="32"/>
          <w:szCs w:val="32"/>
        </w:rPr>
        <w:t>通过省级培训、专题讲座、学术沙龙等方式，线上线下配合开展生态环境保护标准化专业人才、管理人才和企业标准化人员培训，重点针对标准管理要求、审查机制、制修订技术方法以及强制性标准内容进行培训，以满足不同层次、不同领域的生态环境保护标准化人才需求，提高生态环境主管部门、有关行业主管部门、企事业单位对生态环境保护标准的监督管理、组织实施、落实执行能力和水平。</w:t>
      </w:r>
    </w:p>
    <w:p>
      <w:pPr>
        <w:overflowPunct w:val="0"/>
        <w:topLinePunct/>
        <w:spacing w:line="600" w:lineRule="exact"/>
        <w:ind w:firstLine="640" w:firstLineChars="200"/>
        <w:rPr>
          <w:rFonts w:eastAsia="仿宋_GB2312"/>
          <w:sz w:val="32"/>
          <w:szCs w:val="32"/>
        </w:rPr>
      </w:pPr>
      <w:r>
        <w:rPr>
          <w:rFonts w:eastAsia="仿宋_GB2312"/>
          <w:sz w:val="32"/>
          <w:szCs w:val="32"/>
        </w:rPr>
        <w:t>3．加强生态环境保护标准实施评估</w:t>
      </w:r>
    </w:p>
    <w:p>
      <w:pPr>
        <w:overflowPunct w:val="0"/>
        <w:topLinePunct/>
        <w:spacing w:line="600" w:lineRule="exact"/>
        <w:ind w:firstLine="640" w:firstLineChars="200"/>
        <w:rPr>
          <w:rFonts w:eastAsia="仿宋_GB2312"/>
          <w:sz w:val="34"/>
          <w:szCs w:val="34"/>
        </w:rPr>
      </w:pPr>
      <w:r>
        <w:rPr>
          <w:rFonts w:hint="eastAsia" w:eastAsia="仿宋_GB2312"/>
          <w:sz w:val="32"/>
          <w:szCs w:val="32"/>
        </w:rPr>
        <w:t>建立健全生态环境保护标准实施评估工作机制，制定地方生态环境标准实施评估工作指南，对实施年限满</w:t>
      </w:r>
      <w:r>
        <w:rPr>
          <w:rFonts w:eastAsia="仿宋_GB2312"/>
          <w:sz w:val="32"/>
          <w:szCs w:val="32"/>
        </w:rPr>
        <w:t>5年的</w:t>
      </w:r>
      <w:r>
        <w:rPr>
          <w:rFonts w:hint="eastAsia" w:eastAsia="仿宋_GB2312"/>
          <w:sz w:val="32"/>
          <w:szCs w:val="32"/>
        </w:rPr>
        <w:t>地方生态环境保护</w:t>
      </w:r>
      <w:r>
        <w:rPr>
          <w:rFonts w:eastAsia="仿宋_GB2312"/>
          <w:sz w:val="32"/>
          <w:szCs w:val="32"/>
        </w:rPr>
        <w:t>标准开展实施评估，持续提升标准的针对性、适用性和对经济发展的优化作用。评估结论可用于支撑标准复审，作为被评估标准修订、废止和相关新标准立项的重要依据。</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tcPr>
          <w:p>
            <w:pPr>
              <w:overflowPunct w:val="0"/>
              <w:topLinePunct/>
              <w:adjustRightInd w:val="0"/>
              <w:spacing w:line="360" w:lineRule="exact"/>
              <w:ind w:firstLine="594"/>
              <w:jc w:val="center"/>
              <w:rPr>
                <w:rFonts w:eastAsia="黑体"/>
                <w:sz w:val="28"/>
                <w:szCs w:val="28"/>
              </w:rPr>
            </w:pPr>
            <w:r>
              <w:rPr>
                <w:rFonts w:eastAsia="黑体"/>
                <w:sz w:val="28"/>
                <w:szCs w:val="28"/>
              </w:rPr>
              <w:t xml:space="preserve">专栏8  </w:t>
            </w:r>
            <w:r>
              <w:rPr>
                <w:rFonts w:hint="eastAsia" w:eastAsia="黑体"/>
                <w:sz w:val="28"/>
                <w:szCs w:val="28"/>
              </w:rPr>
              <w:t>生态环境标准实施评估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5000" w:type="pct"/>
            <w:vAlign w:val="center"/>
          </w:tcPr>
          <w:p>
            <w:pPr>
              <w:overflowPunct w:val="0"/>
              <w:topLinePunct/>
              <w:adjustRightInd w:val="0"/>
              <w:spacing w:line="360" w:lineRule="exact"/>
              <w:ind w:firstLine="480" w:firstLineChars="200"/>
              <w:rPr>
                <w:rFonts w:eastAsia="等线"/>
                <w:szCs w:val="21"/>
              </w:rPr>
            </w:pPr>
            <w:r>
              <w:rPr>
                <w:rFonts w:hint="eastAsia" w:eastAsia="仿宋_GB2312"/>
                <w:sz w:val="24"/>
                <w:szCs w:val="22"/>
              </w:rPr>
              <w:t>按照标准实施年限，逐步启动《四川省岷江、沱江流域水污染物排放标准》《四川省固定污染源大气挥发性有机物排放标准》《农村生活污水处理设施水污染物排放标准》《四川省施工场地扬尘排放标准》等实施效果评估工作。</w:t>
            </w:r>
          </w:p>
        </w:tc>
      </w:tr>
    </w:tbl>
    <w:p>
      <w:pPr>
        <w:overflowPunct w:val="0"/>
        <w:topLinePunct/>
        <w:spacing w:line="600" w:lineRule="exact"/>
        <w:ind w:firstLine="640" w:firstLineChars="200"/>
        <w:outlineLvl w:val="0"/>
        <w:rPr>
          <w:rFonts w:eastAsia="黑体"/>
          <w:sz w:val="32"/>
          <w:szCs w:val="32"/>
        </w:rPr>
      </w:pPr>
      <w:bookmarkStart w:id="43" w:name="_Toc91410350"/>
      <w:bookmarkStart w:id="44" w:name="_Toc110953411"/>
      <w:r>
        <w:rPr>
          <w:rFonts w:eastAsia="黑体"/>
          <w:sz w:val="32"/>
          <w:szCs w:val="32"/>
        </w:rPr>
        <w:t>四、</w:t>
      </w:r>
      <w:r>
        <w:rPr>
          <w:rFonts w:hint="eastAsia" w:eastAsia="黑体"/>
          <w:sz w:val="32"/>
          <w:szCs w:val="32"/>
        </w:rPr>
        <w:t>实施</w:t>
      </w:r>
      <w:r>
        <w:rPr>
          <w:rFonts w:eastAsia="黑体"/>
          <w:sz w:val="32"/>
          <w:szCs w:val="32"/>
        </w:rPr>
        <w:t>保障</w:t>
      </w:r>
      <w:bookmarkEnd w:id="39"/>
      <w:bookmarkEnd w:id="40"/>
      <w:bookmarkEnd w:id="43"/>
      <w:bookmarkEnd w:id="44"/>
    </w:p>
    <w:p>
      <w:pPr>
        <w:overflowPunct w:val="0"/>
        <w:topLinePunct/>
        <w:spacing w:line="600" w:lineRule="exact"/>
        <w:ind w:firstLine="642" w:firstLineChars="200"/>
        <w:outlineLvl w:val="1"/>
        <w:rPr>
          <w:rFonts w:eastAsia="楷体_GB2312"/>
          <w:b/>
          <w:bCs/>
          <w:color w:val="000000"/>
          <w:sz w:val="32"/>
          <w:szCs w:val="32"/>
        </w:rPr>
      </w:pPr>
      <w:bookmarkStart w:id="45" w:name="_Toc64883308"/>
      <w:bookmarkStart w:id="46" w:name="_Toc91410351"/>
      <w:bookmarkStart w:id="47" w:name="_Toc29807862"/>
      <w:bookmarkStart w:id="48" w:name="_Toc110953412"/>
      <w:r>
        <w:rPr>
          <w:rFonts w:eastAsia="楷体_GB2312"/>
          <w:b/>
          <w:bCs/>
          <w:color w:val="000000"/>
          <w:sz w:val="32"/>
          <w:szCs w:val="32"/>
        </w:rPr>
        <w:t>（一）</w:t>
      </w:r>
      <w:bookmarkEnd w:id="45"/>
      <w:bookmarkEnd w:id="46"/>
      <w:bookmarkEnd w:id="47"/>
      <w:r>
        <w:rPr>
          <w:rFonts w:hint="eastAsia" w:eastAsia="楷体_GB2312"/>
          <w:b/>
          <w:bCs/>
          <w:color w:val="000000"/>
          <w:sz w:val="32"/>
          <w:szCs w:val="32"/>
        </w:rPr>
        <w:t>强化组织领导协调</w:t>
      </w:r>
      <w:bookmarkEnd w:id="48"/>
    </w:p>
    <w:p>
      <w:pPr>
        <w:overflowPunct w:val="0"/>
        <w:topLinePunct/>
        <w:spacing w:line="600" w:lineRule="exact"/>
        <w:ind w:firstLine="640" w:firstLineChars="200"/>
        <w:rPr>
          <w:rFonts w:eastAsia="仿宋_GB2312"/>
          <w:sz w:val="32"/>
          <w:szCs w:val="32"/>
        </w:rPr>
      </w:pPr>
      <w:bookmarkStart w:id="49" w:name="_Hlk90651340"/>
      <w:r>
        <w:rPr>
          <w:rFonts w:hint="eastAsia" w:eastAsia="仿宋_GB2312"/>
          <w:sz w:val="32"/>
          <w:szCs w:val="32"/>
        </w:rPr>
        <w:t>生态环境保护标准化工作涉及领域广、部门多，具有跨专业、多学科交叉复合的特点，完善政府统一领导、部门分工协作、企事业单位积极响应、全社会共同参与的整体联动机制。充分发挥生态环境主管部门的主导作用，建立与水利、自然资源、住房城乡建设、农业农村等相关部门及有关行业协会的沟通、交流和协调机制，充分发挥各有关部门在标准制定、实施及监督中的作用，引导高等院校、科研院所、社会团体和企业积极参与生态环境保护标准的研究制定。</w:t>
      </w:r>
    </w:p>
    <w:p>
      <w:pPr>
        <w:overflowPunct w:val="0"/>
        <w:topLinePunct/>
        <w:spacing w:line="600" w:lineRule="exact"/>
        <w:ind w:firstLine="642" w:firstLineChars="200"/>
        <w:outlineLvl w:val="1"/>
        <w:rPr>
          <w:rFonts w:eastAsia="楷体_GB2312"/>
          <w:b/>
          <w:bCs/>
          <w:color w:val="000000"/>
          <w:sz w:val="32"/>
          <w:szCs w:val="32"/>
        </w:rPr>
      </w:pPr>
      <w:bookmarkStart w:id="50" w:name="_Toc110953413"/>
      <w:r>
        <w:rPr>
          <w:rFonts w:hint="eastAsia" w:eastAsia="楷体_GB2312"/>
          <w:b/>
          <w:bCs/>
          <w:color w:val="000000"/>
          <w:sz w:val="32"/>
          <w:szCs w:val="32"/>
        </w:rPr>
        <w:t>（二）健全完善工作机制</w:t>
      </w:r>
      <w:bookmarkEnd w:id="50"/>
    </w:p>
    <w:p>
      <w:pPr>
        <w:overflowPunct w:val="0"/>
        <w:topLinePunct/>
        <w:spacing w:line="600" w:lineRule="exact"/>
        <w:ind w:firstLine="640" w:firstLineChars="200"/>
        <w:rPr>
          <w:rFonts w:eastAsia="仿宋_GB2312"/>
          <w:sz w:val="32"/>
          <w:szCs w:val="32"/>
        </w:rPr>
      </w:pPr>
      <w:r>
        <w:rPr>
          <w:rFonts w:hint="eastAsia" w:eastAsia="仿宋_GB2312"/>
          <w:sz w:val="32"/>
          <w:szCs w:val="32"/>
        </w:rPr>
        <w:t>完善生态环境保护标准制修订管理制度，规范生态环境保护标准制修订程序，针对管理急需标准，调整立项机制，加快审批流程，建立标准制修订及发布的“绿色通道”。积极发挥省生态环境标准化技术委员会在地方生态环境保护标准制修订管理中的重要作用，组织委员专家对标准制修订过程进行审查和论证，推进形成科学的生态环境保护标准工作机制和平台。加强重大生态环境保护标准在立项、起草、技术审查、监督实施等环节的公众参与力度，并制定一套科学的工作程序，促进公众参与。</w:t>
      </w:r>
    </w:p>
    <w:p>
      <w:pPr>
        <w:overflowPunct w:val="0"/>
        <w:topLinePunct/>
        <w:spacing w:line="600" w:lineRule="exact"/>
        <w:ind w:firstLine="642" w:firstLineChars="200"/>
        <w:outlineLvl w:val="1"/>
        <w:rPr>
          <w:rFonts w:eastAsia="楷体_GB2312"/>
          <w:b/>
          <w:bCs/>
          <w:color w:val="000000"/>
          <w:sz w:val="32"/>
          <w:szCs w:val="32"/>
        </w:rPr>
      </w:pPr>
      <w:bookmarkStart w:id="51" w:name="_Toc110953414"/>
      <w:r>
        <w:rPr>
          <w:rFonts w:hint="eastAsia" w:eastAsia="楷体_GB2312"/>
          <w:b/>
          <w:bCs/>
          <w:color w:val="000000"/>
          <w:sz w:val="32"/>
          <w:szCs w:val="32"/>
        </w:rPr>
        <w:t>（三）建立多元投入机制</w:t>
      </w:r>
      <w:bookmarkEnd w:id="51"/>
    </w:p>
    <w:p>
      <w:pPr>
        <w:overflowPunct w:val="0"/>
        <w:topLinePunct/>
        <w:spacing w:line="600" w:lineRule="exact"/>
        <w:ind w:firstLine="640" w:firstLineChars="200"/>
        <w:rPr>
          <w:rFonts w:eastAsia="仿宋_GB2312"/>
          <w:sz w:val="32"/>
          <w:szCs w:val="32"/>
        </w:rPr>
      </w:pPr>
      <w:r>
        <w:rPr>
          <w:rFonts w:hint="eastAsia" w:eastAsia="仿宋_GB2312"/>
          <w:sz w:val="32"/>
          <w:szCs w:val="32"/>
        </w:rPr>
        <w:t>省市级生态环境主管部门应根据工作实际需要统筹安排生态环境保护标准化工作经费，加大对生态环境保护标准研究、制修订、宣传、培训、标准实施示范、推广应用、交流等的投入力度；鼓励有关科研单位积极申请科技、市场监管等有关部门的专项研究经费支持，形成稳定的资金投入渠道；鼓励社会组织、企事业单位加大对团体、企业标准化工作人力、物力和财力的投入力度，促进市场标准规范优质发展。</w:t>
      </w:r>
    </w:p>
    <w:p>
      <w:pPr>
        <w:overflowPunct w:val="0"/>
        <w:topLinePunct/>
        <w:spacing w:line="600" w:lineRule="exact"/>
        <w:ind w:firstLine="642" w:firstLineChars="200"/>
        <w:outlineLvl w:val="1"/>
        <w:rPr>
          <w:rFonts w:eastAsia="楷体_GB2312"/>
          <w:b/>
          <w:bCs/>
          <w:color w:val="000000"/>
          <w:sz w:val="32"/>
          <w:szCs w:val="32"/>
        </w:rPr>
      </w:pPr>
      <w:bookmarkStart w:id="52" w:name="_Toc110953415"/>
      <w:r>
        <w:rPr>
          <w:rFonts w:hint="eastAsia" w:eastAsia="楷体_GB2312"/>
          <w:b/>
          <w:bCs/>
          <w:color w:val="000000"/>
          <w:sz w:val="32"/>
          <w:szCs w:val="32"/>
        </w:rPr>
        <w:t>（四）强化基础能力建设</w:t>
      </w:r>
      <w:bookmarkEnd w:id="52"/>
    </w:p>
    <w:p>
      <w:pPr>
        <w:overflowPunct w:val="0"/>
        <w:topLinePunct/>
        <w:spacing w:line="600" w:lineRule="exact"/>
        <w:ind w:firstLine="640" w:firstLineChars="200"/>
        <w:rPr>
          <w:rFonts w:eastAsia="仿宋_GB2312"/>
          <w:sz w:val="32"/>
          <w:szCs w:val="32"/>
        </w:rPr>
      </w:pPr>
      <w:r>
        <w:rPr>
          <w:rFonts w:hint="eastAsia" w:eastAsia="仿宋_GB2312"/>
          <w:sz w:val="32"/>
          <w:szCs w:val="32"/>
        </w:rPr>
        <w:t>加强生态环境保护标准化研究人才培养，依托科研院所、高等院校和省级以上重点实验室，推动各类生态环境保护标准研究创新团队建设。探索建立标准化培训基地，重点加强生态环境保护标准基础研究人才培养，建立和完善标准化培训教育制度、标准化人才培养选拔制度，逐步建立起一支高素质、高水平、门类齐全的生态环境保护标准化研究队伍，切实提升标准制修订技术支撑能力和水平。加强污染防治技术研发，积极做好标准实施的技术服务，及时为企业提供达标排放所需的技术支持，提升标准实施效能。</w:t>
      </w:r>
    </w:p>
    <w:p>
      <w:pPr>
        <w:overflowPunct w:val="0"/>
        <w:topLinePunct/>
        <w:spacing w:line="600" w:lineRule="exact"/>
        <w:ind w:firstLine="642" w:firstLineChars="200"/>
        <w:outlineLvl w:val="1"/>
        <w:rPr>
          <w:rFonts w:eastAsia="楷体_GB2312"/>
          <w:b/>
          <w:bCs/>
          <w:color w:val="000000"/>
          <w:sz w:val="32"/>
          <w:szCs w:val="32"/>
        </w:rPr>
      </w:pPr>
      <w:bookmarkStart w:id="53" w:name="_Toc110953416"/>
      <w:r>
        <w:rPr>
          <w:rFonts w:hint="eastAsia" w:eastAsia="楷体_GB2312"/>
          <w:b/>
          <w:bCs/>
          <w:color w:val="000000"/>
          <w:sz w:val="32"/>
          <w:szCs w:val="32"/>
        </w:rPr>
        <w:t>（五）加强对外交流合作</w:t>
      </w:r>
      <w:bookmarkEnd w:id="53"/>
    </w:p>
    <w:p>
      <w:pPr>
        <w:overflowPunct w:val="0"/>
        <w:topLinePunct/>
        <w:spacing w:line="600" w:lineRule="exact"/>
        <w:ind w:firstLine="640" w:firstLineChars="200"/>
        <w:rPr>
          <w:rFonts w:eastAsia="仿宋_GB2312"/>
          <w:sz w:val="32"/>
          <w:szCs w:val="32"/>
        </w:rPr>
      </w:pPr>
      <w:r>
        <w:rPr>
          <w:rFonts w:hint="eastAsia" w:eastAsia="仿宋_GB2312"/>
          <w:sz w:val="32"/>
          <w:szCs w:val="32"/>
        </w:rPr>
        <w:t>加强与国家及先进省（市）的交流与合作，吸收借鉴先进的标准化管理经验和创新模式，不断提升地方生态环境保护标准化管理水平；建立省内生态环境保护标准制修订承担单位与国家有关技术管理单位和研究机构间的学习交流机制，不断提高标准制修订工作能力；加强与云、贵、渝等邻省（市）的交流协作，共同推进区域生态环境保护标准研究</w:t>
      </w:r>
      <w:bookmarkStart w:id="54" w:name="_GoBack"/>
      <w:bookmarkEnd w:id="54"/>
      <w:r>
        <w:rPr>
          <w:rFonts w:hint="eastAsia" w:eastAsia="仿宋_GB2312"/>
          <w:sz w:val="32"/>
          <w:szCs w:val="32"/>
        </w:rPr>
        <w:t>。</w:t>
      </w:r>
      <w:bookmarkEnd w:id="49"/>
    </w:p>
    <w:sectPr>
      <w:footerReference r:id="rId3" w:type="default"/>
      <w:footerReference r:id="rId4"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1D"/>
    <w:rsid w:val="00012963"/>
    <w:rsid w:val="00021DD2"/>
    <w:rsid w:val="00031D55"/>
    <w:rsid w:val="00056F3E"/>
    <w:rsid w:val="0008655E"/>
    <w:rsid w:val="00101677"/>
    <w:rsid w:val="001E7E2E"/>
    <w:rsid w:val="001F0568"/>
    <w:rsid w:val="00204D30"/>
    <w:rsid w:val="0025421D"/>
    <w:rsid w:val="002D48C9"/>
    <w:rsid w:val="00335A03"/>
    <w:rsid w:val="0034571C"/>
    <w:rsid w:val="00355DDD"/>
    <w:rsid w:val="003E0360"/>
    <w:rsid w:val="004212EE"/>
    <w:rsid w:val="00432482"/>
    <w:rsid w:val="0044147D"/>
    <w:rsid w:val="00453827"/>
    <w:rsid w:val="004762AD"/>
    <w:rsid w:val="00487F4B"/>
    <w:rsid w:val="00582B33"/>
    <w:rsid w:val="005B7BE9"/>
    <w:rsid w:val="0068097B"/>
    <w:rsid w:val="00685328"/>
    <w:rsid w:val="006B078E"/>
    <w:rsid w:val="006B45DA"/>
    <w:rsid w:val="006E5883"/>
    <w:rsid w:val="006F1BAB"/>
    <w:rsid w:val="007424C1"/>
    <w:rsid w:val="00743C26"/>
    <w:rsid w:val="007B14F2"/>
    <w:rsid w:val="007D05BE"/>
    <w:rsid w:val="007E2C0A"/>
    <w:rsid w:val="008751DA"/>
    <w:rsid w:val="00880DE5"/>
    <w:rsid w:val="008C0D12"/>
    <w:rsid w:val="00914B97"/>
    <w:rsid w:val="0092147A"/>
    <w:rsid w:val="00A10B40"/>
    <w:rsid w:val="00AC10E1"/>
    <w:rsid w:val="00B453A3"/>
    <w:rsid w:val="00BE5D1D"/>
    <w:rsid w:val="00C06ED1"/>
    <w:rsid w:val="00C253CF"/>
    <w:rsid w:val="00C3030F"/>
    <w:rsid w:val="00C545A5"/>
    <w:rsid w:val="00CB6123"/>
    <w:rsid w:val="00CC4E0E"/>
    <w:rsid w:val="00CD115C"/>
    <w:rsid w:val="00D218B3"/>
    <w:rsid w:val="00D3713E"/>
    <w:rsid w:val="00D71978"/>
    <w:rsid w:val="00E0423A"/>
    <w:rsid w:val="00E11ABC"/>
    <w:rsid w:val="00E356A8"/>
    <w:rsid w:val="00E429EF"/>
    <w:rsid w:val="00EA18C6"/>
    <w:rsid w:val="00EF1E5A"/>
    <w:rsid w:val="00F21C61"/>
    <w:rsid w:val="00F77385"/>
    <w:rsid w:val="00F90A40"/>
    <w:rsid w:val="00F97003"/>
    <w:rsid w:val="00FC5D1B"/>
    <w:rsid w:val="2E738579"/>
    <w:rsid w:val="32EF9862"/>
    <w:rsid w:val="3EFB6EB9"/>
    <w:rsid w:val="5477C654"/>
    <w:rsid w:val="5B9E5165"/>
    <w:rsid w:val="5D8BE103"/>
    <w:rsid w:val="5EFE9FDB"/>
    <w:rsid w:val="5F7DE5C4"/>
    <w:rsid w:val="5FFF293D"/>
    <w:rsid w:val="6DBDC543"/>
    <w:rsid w:val="7333AEF7"/>
    <w:rsid w:val="77771D8A"/>
    <w:rsid w:val="7BFF0A4A"/>
    <w:rsid w:val="7DFF0EAB"/>
    <w:rsid w:val="7F7E5E6E"/>
    <w:rsid w:val="7FDA383A"/>
    <w:rsid w:val="7FDE8F5A"/>
    <w:rsid w:val="7FF78C9B"/>
    <w:rsid w:val="86BFC223"/>
    <w:rsid w:val="A7FFBFC5"/>
    <w:rsid w:val="BDEFED62"/>
    <w:rsid w:val="BECFC5EB"/>
    <w:rsid w:val="C7F8E7F2"/>
    <w:rsid w:val="CB7B1A5D"/>
    <w:rsid w:val="D3CF4CF7"/>
    <w:rsid w:val="DBF7B93D"/>
    <w:rsid w:val="DBFD9792"/>
    <w:rsid w:val="EDFEFDB5"/>
    <w:rsid w:val="EE4DD950"/>
    <w:rsid w:val="FBD7F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11">
    <w:name w:val="页脚 Char"/>
    <w:qFormat/>
    <w:uiPriority w:val="99"/>
    <w:rPr>
      <w:kern w:val="2"/>
      <w:sz w:val="18"/>
      <w:szCs w:val="18"/>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1432</Words>
  <Characters>8164</Characters>
  <Lines>68</Lines>
  <Paragraphs>19</Paragraphs>
  <TotalTime>44</TotalTime>
  <ScaleCrop>false</ScaleCrop>
  <LinksUpToDate>false</LinksUpToDate>
  <CharactersWithSpaces>9577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2022-10-27T09:58:00Z</dcterms:created>
  <dc:creator>王宇澄</dc:creator>
  <cp:lastModifiedBy>Lop_Nur</cp:lastModifiedBy>
  <cp:lastPrinted>2022-10-27T23:59:00Z</cp:lastPrinted>
  <dcterms:modified xsi:type="dcterms:W3CDTF">2022-11-11T16:25:40Z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