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28"/>
          <w:szCs w:val="28"/>
          <w:lang w:val="en-US" w:eastAsia="zh-CN"/>
        </w:rPr>
      </w:pPr>
      <w:bookmarkStart w:id="0" w:name="_GoBack"/>
      <w:bookmarkEnd w:id="0"/>
      <w:r>
        <w:rPr>
          <w:rFonts w:hint="eastAsia" w:ascii="黑体" w:hAnsi="黑体" w:eastAsia="黑体" w:cs="黑体"/>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关于印发中小企业划型标准规定的通知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工信部联企业〔2011〕300号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各省、自治区、直辖市人民政府，国务院各部委、各直属机构及有关单位：</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工业和信息化部　国家统计局</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国家发展和改革委员会　财政部</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二○一一年六月十八日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中小企业划型标准规定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一、根据《中华人民共和国中小企业促进法》和《国务院关于进一步促进中小企业发展的若干意见》(国发〔2009〕36号)，制定本规定。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二、中小企业划分为中型、小型、微型三种类型，具体标准根据企业从业人员、营业收入、资产总额等指标，结合行业特点制定。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四、各行业划型标准为：</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（十六）其他未列明行业。从业人员300人以下的为中小微型企业。其中，从业人员100人及以上的为中型企业；从业人员10人及以上的为小型企业；从业人员10人以下的为微型企业。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五、企业类型的划分以统计部门的统计数据为依据。</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六、本规定适用于在中华人民共和国境内依法设立的各类所有制和各种组织形式的企业。个体工商户和本规定以外的行业，参照本规定进行划型。</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七、本规定的中型企业标准上限即为大型企业标准的下限，国家统计部门据此制定大中小微型企业的统计分类。国务院有关部门据此进行相关数据分析，不得制定与本规定不一致的企业划型标准。</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八、本规定由工业和信息化部、国家统计局会同有关部门根据《国民经济行业分类》修订情况和企业发展变化情况适时修订。</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九、本规定由工业和信息化部、国家统计局会同有关部门负责解释。</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十、本规定自发布之日起执行，原国家经贸委、原国家计委、财政部和国家统计局2003年颁布的《中小企业标准暂行规定》同时废止。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D01A93"/>
    <w:rsid w:val="722A0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2"/>
    <w:basedOn w:val="1"/>
    <w:next w:val="1"/>
    <w:qFormat/>
    <w:uiPriority w:val="99"/>
    <w:rPr>
      <w:rFonts w:ascii="仿宋_GB2312" w:eastAsia="仿宋_GB2312"/>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2020-04-30T07:13:00Z</dcterms:created>
  <dc:creator>dell</dc:creator>
  <cp:lastModifiedBy>满天星</cp:lastModifiedBy>
  <dcterms:modified xsi:type="dcterms:W3CDTF">2020-09-23T06:27:25Z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