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460" w:lineRule="exact"/>
        <w:rPr>
          <w:rFonts w:eastAsia="仿宋_GB2312"/>
          <w:bCs/>
          <w:color w:val="auto"/>
          <w:kern w:val="0"/>
          <w:szCs w:val="84"/>
        </w:rPr>
      </w:pPr>
      <w:bookmarkStart w:id="0" w:name="_Toc41410997"/>
      <w:bookmarkStart w:id="158" w:name="_GoBack"/>
      <w:bookmarkEnd w:id="158"/>
    </w:p>
    <w:p>
      <w:pPr>
        <w:spacing w:line="460" w:lineRule="exact"/>
        <w:jc w:val="center"/>
        <w:rPr>
          <w:rFonts w:eastAsia="仿宋_GB2312"/>
          <w:bCs/>
          <w:color w:val="auto"/>
          <w:kern w:val="0"/>
          <w:szCs w:val="84"/>
        </w:rPr>
      </w:pPr>
    </w:p>
    <w:p>
      <w:pPr>
        <w:spacing w:line="360" w:lineRule="auto"/>
        <w:jc w:val="center"/>
        <w:rPr>
          <w:rFonts w:eastAsia="仿宋_GB2312"/>
          <w:b/>
          <w:bCs/>
          <w:color w:val="auto"/>
          <w:kern w:val="0"/>
          <w:sz w:val="44"/>
          <w:szCs w:val="44"/>
        </w:rPr>
      </w:pPr>
    </w:p>
    <w:p>
      <w:pPr>
        <w:spacing w:line="360" w:lineRule="auto"/>
        <w:jc w:val="center"/>
        <w:rPr>
          <w:rFonts w:hint="eastAsia" w:ascii="方正小标宋简体" w:hAnsi="方正小标宋简体" w:eastAsia="方正小标宋简体" w:cs="方正小标宋简体"/>
          <w:b w:val="0"/>
          <w:bCs/>
          <w:color w:val="auto"/>
          <w:spacing w:val="30"/>
          <w:kern w:val="0"/>
          <w:sz w:val="52"/>
          <w:szCs w:val="44"/>
        </w:rPr>
      </w:pPr>
      <w:r>
        <w:rPr>
          <w:rFonts w:hint="eastAsia" w:ascii="方正小标宋简体" w:hAnsi="方正小标宋简体" w:eastAsia="方正小标宋简体" w:cs="方正小标宋简体"/>
          <w:b w:val="0"/>
          <w:bCs/>
          <w:color w:val="auto"/>
          <w:spacing w:val="30"/>
          <w:kern w:val="0"/>
          <w:sz w:val="52"/>
          <w:szCs w:val="44"/>
        </w:rPr>
        <w:t>四川省沱江流域防洪规划</w:t>
      </w: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line="460" w:lineRule="exact"/>
        <w:ind w:firstLine="1405"/>
        <w:rPr>
          <w:rFonts w:eastAsia="楷体"/>
          <w:b/>
          <w:bCs/>
          <w:color w:val="auto"/>
          <w:kern w:val="0"/>
          <w:szCs w:val="32"/>
        </w:rPr>
      </w:pPr>
    </w:p>
    <w:p>
      <w:pPr>
        <w:spacing w:beforeLines="100" w:afterLines="100" w:line="460" w:lineRule="exact"/>
        <w:jc w:val="center"/>
        <w:rPr>
          <w:rFonts w:eastAsia="楷体"/>
          <w:color w:val="auto"/>
          <w:spacing w:val="240"/>
          <w:sz w:val="32"/>
          <w:szCs w:val="32"/>
        </w:rPr>
      </w:pPr>
    </w:p>
    <w:p>
      <w:pPr>
        <w:spacing w:beforeLines="100" w:afterLines="100" w:line="460" w:lineRule="exact"/>
        <w:jc w:val="center"/>
        <w:rPr>
          <w:rFonts w:eastAsia="楷体"/>
          <w:color w:val="auto"/>
          <w:sz w:val="32"/>
          <w:szCs w:val="32"/>
        </w:rPr>
      </w:pPr>
    </w:p>
    <w:p>
      <w:pPr>
        <w:spacing w:beforeLines="100" w:afterLines="100" w:line="460" w:lineRule="exact"/>
        <w:jc w:val="center"/>
        <w:rPr>
          <w:rFonts w:eastAsia="楷体"/>
          <w:b/>
          <w:color w:val="auto"/>
          <w:spacing w:val="54"/>
          <w:sz w:val="32"/>
          <w:szCs w:val="32"/>
        </w:rPr>
      </w:pPr>
    </w:p>
    <w:p>
      <w:pPr>
        <w:spacing w:beforeLines="100" w:afterLines="100" w:line="460" w:lineRule="exact"/>
        <w:jc w:val="center"/>
        <w:rPr>
          <w:rFonts w:eastAsia="楷体"/>
          <w:b/>
          <w:color w:val="auto"/>
          <w:spacing w:val="54"/>
          <w:sz w:val="32"/>
          <w:szCs w:val="32"/>
        </w:rPr>
      </w:pPr>
    </w:p>
    <w:p>
      <w:pPr>
        <w:spacing w:beforeLines="100" w:afterLines="100" w:line="460" w:lineRule="exact"/>
        <w:jc w:val="center"/>
        <w:rPr>
          <w:rFonts w:eastAsia="楷体"/>
          <w:b/>
          <w:color w:val="auto"/>
          <w:spacing w:val="54"/>
          <w:sz w:val="32"/>
          <w:szCs w:val="32"/>
        </w:rPr>
      </w:pPr>
    </w:p>
    <w:p>
      <w:pPr>
        <w:spacing w:beforeLines="100" w:afterLines="100" w:line="460" w:lineRule="exact"/>
        <w:jc w:val="center"/>
        <w:rPr>
          <w:rFonts w:eastAsia="楷体"/>
          <w:b/>
          <w:color w:val="auto"/>
          <w:spacing w:val="54"/>
          <w:sz w:val="32"/>
          <w:szCs w:val="32"/>
        </w:rPr>
      </w:pPr>
    </w:p>
    <w:p>
      <w:pPr>
        <w:spacing w:beforeLines="100" w:afterLines="100" w:line="460" w:lineRule="exact"/>
        <w:jc w:val="center"/>
        <w:rPr>
          <w:rFonts w:hint="eastAsia" w:ascii="方正小标宋简体" w:hAnsi="方正小标宋简体" w:eastAsia="方正小标宋简体" w:cs="方正小标宋简体"/>
          <w:b/>
          <w:color w:val="auto"/>
          <w:spacing w:val="54"/>
          <w:sz w:val="32"/>
          <w:szCs w:val="32"/>
        </w:rPr>
      </w:pPr>
      <w:r>
        <w:rPr>
          <w:rFonts w:hint="eastAsia" w:ascii="黑体" w:hAnsi="黑体" w:eastAsia="黑体" w:cs="黑体"/>
          <w:b w:val="0"/>
          <w:bCs/>
          <w:color w:val="auto"/>
          <w:spacing w:val="54"/>
          <w:sz w:val="32"/>
          <w:szCs w:val="32"/>
          <w:lang w:val="en-US" w:eastAsia="zh-CN"/>
        </w:rPr>
        <w:t>二〇二三</w:t>
      </w:r>
      <w:r>
        <w:rPr>
          <w:rFonts w:hint="eastAsia" w:ascii="黑体" w:hAnsi="黑体" w:eastAsia="黑体" w:cs="黑体"/>
          <w:b w:val="0"/>
          <w:bCs/>
          <w:color w:val="auto"/>
          <w:spacing w:val="54"/>
          <w:sz w:val="32"/>
          <w:szCs w:val="32"/>
        </w:rPr>
        <w:t>年</w:t>
      </w:r>
      <w:r>
        <w:rPr>
          <w:rFonts w:hint="eastAsia" w:ascii="黑体" w:hAnsi="黑体" w:eastAsia="黑体" w:cs="黑体"/>
          <w:b w:val="0"/>
          <w:bCs/>
          <w:color w:val="auto"/>
          <w:spacing w:val="54"/>
          <w:sz w:val="32"/>
          <w:szCs w:val="32"/>
          <w:lang w:val="en-US" w:eastAsia="zh-CN"/>
        </w:rPr>
        <w:t>十二</w:t>
      </w:r>
      <w:r>
        <w:rPr>
          <w:rFonts w:hint="eastAsia" w:ascii="黑体" w:hAnsi="黑体" w:eastAsia="黑体" w:cs="黑体"/>
          <w:b w:val="0"/>
          <w:bCs/>
          <w:color w:val="auto"/>
          <w:spacing w:val="54"/>
          <w:sz w:val="32"/>
          <w:szCs w:val="32"/>
        </w:rPr>
        <w:t>月</w:t>
      </w:r>
    </w:p>
    <w:p>
      <w:pPr>
        <w:spacing w:line="460" w:lineRule="exact"/>
        <w:jc w:val="center"/>
        <w:rPr>
          <w:rFonts w:eastAsia="仿宋_GB2312"/>
          <w:b/>
          <w:bCs/>
          <w:color w:val="auto"/>
          <w:kern w:val="0"/>
          <w:sz w:val="36"/>
          <w:szCs w:val="36"/>
        </w:rPr>
      </w:pPr>
    </w:p>
    <w:p>
      <w:pPr>
        <w:spacing w:line="460" w:lineRule="exact"/>
        <w:ind w:firstLine="444" w:firstLineChars="200"/>
        <w:rPr>
          <w:rFonts w:eastAsia="仿宋_GB2312"/>
          <w:color w:val="auto"/>
        </w:rPr>
        <w:sectPr>
          <w:footerReference r:id="rId8" w:type="first"/>
          <w:footerReference r:id="rId6" w:type="default"/>
          <w:headerReference r:id="rId5" w:type="even"/>
          <w:footerReference r:id="rId7" w:type="even"/>
          <w:pgSz w:w="11907" w:h="16840"/>
          <w:pgMar w:top="1134" w:right="1418" w:bottom="1134" w:left="1418" w:header="1304" w:footer="992" w:gutter="0"/>
          <w:pgBorders>
            <w:top w:val="none" w:sz="0" w:space="0"/>
            <w:left w:val="none" w:sz="0" w:space="0"/>
            <w:bottom w:val="none" w:sz="0" w:space="0"/>
            <w:right w:val="none" w:sz="0" w:space="0"/>
          </w:pgBorders>
          <w:pgNumType w:start="1"/>
          <w:cols w:space="720" w:num="1"/>
          <w:titlePg/>
          <w:docGrid w:type="linesAndChars" w:linePitch="312" w:charSpace="-3842"/>
        </w:sectPr>
      </w:pPr>
    </w:p>
    <w:p>
      <w:pPr>
        <w:spacing w:line="460" w:lineRule="exact"/>
        <w:jc w:val="center"/>
        <w:rPr>
          <w:rFonts w:eastAsia="黑体"/>
          <w:b/>
          <w:color w:val="auto"/>
          <w:sz w:val="44"/>
          <w:szCs w:val="44"/>
          <w:lang w:val="zh-CN"/>
        </w:rPr>
      </w:pPr>
    </w:p>
    <w:p>
      <w:pPr>
        <w:spacing w:line="460" w:lineRule="exact"/>
        <w:jc w:val="center"/>
        <w:rPr>
          <w:rFonts w:eastAsia="黑体"/>
          <w:b w:val="0"/>
          <w:bCs/>
          <w:caps w:val="0"/>
          <w:smallCaps w:val="0"/>
          <w:color w:val="auto"/>
          <w:sz w:val="44"/>
          <w:szCs w:val="44"/>
          <w:lang w:val="zh-CN"/>
        </w:rPr>
      </w:pPr>
      <w:r>
        <w:rPr>
          <w:rFonts w:eastAsia="黑体"/>
          <w:b w:val="0"/>
          <w:bCs/>
          <w:caps w:val="0"/>
          <w:smallCaps w:val="0"/>
          <w:color w:val="auto"/>
          <w:sz w:val="44"/>
          <w:szCs w:val="44"/>
          <w:lang w:val="zh-CN"/>
        </w:rPr>
        <w:t>目  录</w:t>
      </w:r>
    </w:p>
    <w:p>
      <w:pPr>
        <w:pStyle w:val="59"/>
        <w:keepNext w:val="0"/>
        <w:keepLines w:val="0"/>
        <w:pageBreakBefore w:val="0"/>
        <w:widowControl w:val="0"/>
        <w:kinsoku/>
        <w:wordWrap/>
        <w:overflowPunct/>
        <w:topLinePunct w:val="0"/>
        <w:autoSpaceDE/>
        <w:autoSpaceDN/>
        <w:bidi w:val="0"/>
        <w:adjustRightInd/>
        <w:snapToGrid/>
        <w:spacing w:before="0" w:after="0" w:line="440" w:lineRule="exact"/>
        <w:textAlignment w:val="auto"/>
        <w:rPr>
          <w:rFonts w:hint="default" w:ascii="Times New Roman" w:hAnsi="Times New Roman" w:eastAsia="楷体" w:cs="Times New Roman"/>
          <w:b w:val="0"/>
          <w:bCs w:val="0"/>
          <w:caps w:val="0"/>
          <w:smallCaps w:val="0"/>
          <w:color w:val="auto"/>
        </w:rPr>
      </w:pPr>
      <w:r>
        <w:rPr>
          <w:rFonts w:hint="default" w:ascii="Times New Roman" w:hAnsi="Times New Roman" w:eastAsia="楷体" w:cs="Times New Roman"/>
          <w:b w:val="0"/>
          <w:bCs w:val="0"/>
          <w:caps w:val="0"/>
          <w:smallCaps w:val="0"/>
          <w:color w:val="auto"/>
          <w:lang w:val="zh-CN"/>
        </w:rPr>
        <w:fldChar w:fldCharType="begin"/>
      </w:r>
      <w:r>
        <w:rPr>
          <w:rFonts w:hint="default" w:ascii="Times New Roman" w:hAnsi="Times New Roman" w:eastAsia="楷体" w:cs="Times New Roman"/>
          <w:b w:val="0"/>
          <w:bCs w:val="0"/>
          <w:caps w:val="0"/>
          <w:smallCaps w:val="0"/>
          <w:color w:val="auto"/>
          <w:lang w:val="zh-CN"/>
        </w:rPr>
        <w:instrText xml:space="preserve"> TOC \o "1-2" \h \z \u </w:instrText>
      </w:r>
      <w:r>
        <w:rPr>
          <w:rFonts w:hint="default" w:ascii="Times New Roman" w:hAnsi="Times New Roman" w:eastAsia="楷体" w:cs="Times New Roman"/>
          <w:b w:val="0"/>
          <w:bCs w:val="0"/>
          <w:caps w:val="0"/>
          <w:smallCaps w:val="0"/>
          <w:color w:val="auto"/>
          <w:lang w:val="zh-CN"/>
        </w:rPr>
        <w:fldChar w:fldCharType="separate"/>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"_Toc124757327"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前   言</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_Toc124757327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1</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"_Toc124757328"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第一章 流域概况及防洪现状</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_Toc124757328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3</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"_Toc124757329"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流域概况</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_Toc124757329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"_Toc124757330"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防洪现状</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_Toc124757330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"_Toc124757331"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防洪面临的形势和挑战</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_Toc124757331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7</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"_Toc124757332"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第二章  水文气象及地质概况</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_Toc124757332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12</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"_Toc124757333"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水文气象</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_Toc124757333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12</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"_Toc124757334"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地质概况</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_Toc124757334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16</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"_Toc124757335"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第三章  总体规划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_Toc124757335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18</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"_Toc124757336"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指导思想和</w:t>
      </w:r>
      <w:r>
        <w:rPr>
          <w:rStyle w:val="101"/>
          <w:rFonts w:hint="default" w:ascii="Times New Roman" w:hAnsi="Times New Roman" w:eastAsia="楷体" w:cs="Times New Roman"/>
          <w:b w:val="0"/>
          <w:bCs w:val="0"/>
          <w:caps w:val="0"/>
          <w:smallCaps w:val="0"/>
          <w:color w:val="auto"/>
          <w:sz w:val="24"/>
          <w:szCs w:val="24"/>
          <w:lang w:val="en-US" w:eastAsia="zh-CN"/>
        </w:rPr>
        <w:t>基本</w:t>
      </w:r>
      <w:r>
        <w:rPr>
          <w:rStyle w:val="101"/>
          <w:rFonts w:hint="default" w:ascii="Times New Roman" w:hAnsi="Times New Roman" w:eastAsia="楷体" w:cs="Times New Roman"/>
          <w:b w:val="0"/>
          <w:bCs w:val="0"/>
          <w:caps w:val="0"/>
          <w:smallCaps w:val="0"/>
          <w:color w:val="auto"/>
          <w:sz w:val="24"/>
          <w:szCs w:val="24"/>
        </w:rPr>
        <w:t>原则</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_Toc124757336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18</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"_Toc124757337"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规划范围及防洪标准</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_Toc124757337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19</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"_Toc124757338"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防洪规划总体布局</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_Toc124757338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22</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"_Toc124757339"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第四章  重点城镇防洪规划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_Toc124757339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25</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"_Toc124757340"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城镇防洪总体方案</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_Toc124757340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25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"_Toc124757341"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重点城镇防洪规划</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_Toc124757341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25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"_Toc124757342"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第五章  山洪灾害防治规划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_Toc124757342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32</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"_Toc124757343"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 xml:space="preserve">第一节  </w:t>
      </w:r>
      <w:r>
        <w:rPr>
          <w:rStyle w:val="101"/>
          <w:rFonts w:hint="default" w:ascii="Times New Roman" w:hAnsi="Times New Roman" w:eastAsia="楷体" w:cs="Times New Roman"/>
          <w:b w:val="0"/>
          <w:bCs w:val="0"/>
          <w:caps w:val="0"/>
          <w:smallCaps w:val="0"/>
          <w:color w:val="auto"/>
          <w:sz w:val="24"/>
          <w:szCs w:val="24"/>
          <w:lang w:val="en-US" w:eastAsia="zh-CN"/>
        </w:rPr>
        <w:t>基本情况</w:t>
      </w:r>
      <w:r>
        <w:rPr>
          <w:rStyle w:val="101"/>
          <w:rFonts w:hint="default" w:ascii="Times New Roman" w:hAnsi="Times New Roman" w:eastAsia="楷体" w:cs="Times New Roman"/>
          <w:b w:val="0"/>
          <w:bCs w:val="0"/>
          <w:caps w:val="0"/>
          <w:smallCaps w:val="0"/>
          <w:color w:val="auto"/>
          <w:sz w:val="24"/>
          <w:szCs w:val="24"/>
        </w:rPr>
        <w:t>及防治区划</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_Toc124757343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32</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"_Toc124757344"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规划原则及防治目标</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_Toc124757344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32</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"_Toc124757345"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防治措施</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_Toc124757345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"_Toc124757346"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第六章  水土</w:t>
      </w:r>
      <w:r>
        <w:rPr>
          <w:rStyle w:val="101"/>
          <w:rFonts w:hint="default" w:ascii="Times New Roman" w:hAnsi="Times New Roman" w:eastAsia="黑体" w:cs="Times New Roman"/>
          <w:b w:val="0"/>
          <w:bCs w:val="0"/>
          <w:caps w:val="0"/>
          <w:smallCaps w:val="0"/>
          <w:color w:val="auto"/>
          <w:lang w:val="en-US" w:eastAsia="zh-CN"/>
        </w:rPr>
        <w:t>流失防治规划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_Toc124757346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35</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"_Toc124757347"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 xml:space="preserve">第一节  </w:t>
      </w:r>
      <w:r>
        <w:rPr>
          <w:rStyle w:val="101"/>
          <w:rFonts w:hint="default" w:ascii="Times New Roman" w:hAnsi="Times New Roman" w:eastAsia="楷体" w:cs="Times New Roman"/>
          <w:b w:val="0"/>
          <w:bCs w:val="0"/>
          <w:caps w:val="0"/>
          <w:smallCaps w:val="0"/>
          <w:color w:val="auto"/>
          <w:sz w:val="24"/>
          <w:szCs w:val="24"/>
          <w:lang w:val="en-US" w:eastAsia="zh-CN"/>
        </w:rPr>
        <w:t>治理原则及任务</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_Toc124757347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"_Toc124757348"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 xml:space="preserve">第二节  </w:t>
      </w:r>
      <w:r>
        <w:rPr>
          <w:rStyle w:val="101"/>
          <w:rFonts w:hint="default" w:ascii="Times New Roman" w:hAnsi="Times New Roman" w:eastAsia="楷体" w:cs="Times New Roman"/>
          <w:b w:val="0"/>
          <w:bCs w:val="0"/>
          <w:caps w:val="0"/>
          <w:smallCaps w:val="0"/>
          <w:color w:val="auto"/>
          <w:sz w:val="24"/>
          <w:szCs w:val="24"/>
          <w:lang w:val="en-US" w:eastAsia="zh-CN"/>
        </w:rPr>
        <w:t>防治</w:t>
      </w:r>
      <w:r>
        <w:rPr>
          <w:rStyle w:val="101"/>
          <w:rFonts w:hint="default" w:ascii="Times New Roman" w:hAnsi="Times New Roman" w:eastAsia="楷体" w:cs="Times New Roman"/>
          <w:b w:val="0"/>
          <w:bCs w:val="0"/>
          <w:caps w:val="0"/>
          <w:smallCaps w:val="0"/>
          <w:color w:val="auto"/>
          <w:sz w:val="24"/>
          <w:szCs w:val="24"/>
        </w:rPr>
        <w:t>措施</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_Toc124757348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"_Toc124757349"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第七章  工程措施规划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_Toc124757349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38</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"_Toc124757350"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防洪水库工程</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_Toc124757350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38</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"_Toc124757351"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堤防护岸工程</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_Toc124757351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43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"_Toc124757352"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河道整治工程</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_Toc124757352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50</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"_Toc124757353"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第四节  病险</w:t>
      </w:r>
      <w:r>
        <w:rPr>
          <w:rStyle w:val="101"/>
          <w:rFonts w:hint="default" w:ascii="Times New Roman" w:hAnsi="Times New Roman" w:eastAsia="楷体" w:cs="Times New Roman"/>
          <w:b w:val="0"/>
          <w:bCs w:val="0"/>
          <w:caps w:val="0"/>
          <w:smallCaps w:val="0"/>
          <w:color w:val="auto"/>
          <w:sz w:val="24"/>
          <w:szCs w:val="24"/>
          <w:lang w:val="en-US" w:eastAsia="zh-CN"/>
        </w:rPr>
        <w:t>水库（闸）</w:t>
      </w:r>
      <w:r>
        <w:rPr>
          <w:rStyle w:val="101"/>
          <w:rFonts w:hint="default" w:ascii="Times New Roman" w:hAnsi="Times New Roman" w:eastAsia="楷体" w:cs="Times New Roman"/>
          <w:b w:val="0"/>
          <w:bCs w:val="0"/>
          <w:caps w:val="0"/>
          <w:smallCaps w:val="0"/>
          <w:color w:val="auto"/>
          <w:sz w:val="24"/>
          <w:szCs w:val="24"/>
        </w:rPr>
        <w:t>除险加固</w:t>
      </w:r>
      <w:r>
        <w:rPr>
          <w:rStyle w:val="101"/>
          <w:rFonts w:hint="default" w:ascii="Times New Roman" w:hAnsi="Times New Roman" w:eastAsia="楷体" w:cs="Times New Roman"/>
          <w:b w:val="0"/>
          <w:bCs w:val="0"/>
          <w:caps w:val="0"/>
          <w:smallCaps w:val="0"/>
          <w:color w:val="auto"/>
          <w:sz w:val="24"/>
          <w:szCs w:val="24"/>
          <w:lang w:val="en-US" w:eastAsia="zh-CN"/>
        </w:rPr>
        <w:t>工程</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_Toc124757353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51</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leftChars="0" w:firstLine="0" w:firstLineChars="0"/>
        <w:textAlignment w:val="auto"/>
        <w:rPr>
          <w:rFonts w:hint="default" w:ascii="Times New Roman" w:hAnsi="Times New Roman" w:eastAsia="黑体" w:cs="Times New Roman"/>
          <w:b w:val="0"/>
          <w:bCs w:val="0"/>
          <w:caps w:val="0"/>
          <w:smallCaps w:val="0"/>
          <w:color w:val="auto"/>
          <w:sz w:val="24"/>
          <w:szCs w:val="24"/>
        </w:rPr>
      </w:pPr>
      <w:r>
        <w:rPr>
          <w:rFonts w:hint="default" w:ascii="Times New Roman" w:hAnsi="Times New Roman" w:eastAsia="黑体" w:cs="Times New Roman"/>
          <w:b w:val="0"/>
          <w:bCs w:val="0"/>
          <w:caps w:val="0"/>
          <w:smallCaps w:val="0"/>
          <w:color w:val="auto"/>
          <w:sz w:val="24"/>
          <w:szCs w:val="24"/>
        </w:rPr>
        <w:fldChar w:fldCharType="begin"/>
      </w:r>
      <w:r>
        <w:rPr>
          <w:rFonts w:hint="default" w:ascii="Times New Roman" w:hAnsi="Times New Roman" w:eastAsia="黑体" w:cs="Times New Roman"/>
          <w:b w:val="0"/>
          <w:bCs w:val="0"/>
          <w:caps w:val="0"/>
          <w:smallCaps w:val="0"/>
          <w:color w:val="auto"/>
          <w:sz w:val="24"/>
          <w:szCs w:val="24"/>
        </w:rPr>
        <w:instrText xml:space="preserve"> HYPERLINK \l "_Toc124757354" </w:instrText>
      </w:r>
      <w:r>
        <w:rPr>
          <w:rFonts w:hint="default" w:ascii="Times New Roman" w:hAnsi="Times New Roman" w:eastAsia="黑体" w:cs="Times New Roman"/>
          <w:b w:val="0"/>
          <w:bCs w:val="0"/>
          <w:caps w:val="0"/>
          <w:smallCaps w:val="0"/>
          <w:color w:val="auto"/>
          <w:sz w:val="24"/>
          <w:szCs w:val="24"/>
        </w:rPr>
        <w:fldChar w:fldCharType="separate"/>
      </w:r>
      <w:r>
        <w:rPr>
          <w:rStyle w:val="101"/>
          <w:rFonts w:hint="default" w:ascii="Times New Roman" w:hAnsi="Times New Roman" w:eastAsia="黑体" w:cs="Times New Roman"/>
          <w:b w:val="0"/>
          <w:bCs w:val="0"/>
          <w:caps w:val="0"/>
          <w:smallCaps w:val="0"/>
          <w:color w:val="auto"/>
          <w:sz w:val="24"/>
          <w:szCs w:val="24"/>
        </w:rPr>
        <w:t>第八章  非工程措施及管理规划</w:t>
      </w:r>
      <w:r>
        <w:rPr>
          <w:rFonts w:hint="default" w:ascii="Times New Roman" w:hAnsi="Times New Roman" w:eastAsia="黑体" w:cs="Times New Roman"/>
          <w:b w:val="0"/>
          <w:bCs w:val="0"/>
          <w:caps w:val="0"/>
          <w:smallCaps w:val="0"/>
          <w:color w:val="auto"/>
          <w:sz w:val="24"/>
          <w:szCs w:val="24"/>
        </w:rPr>
        <w:tab/>
      </w:r>
      <w:r>
        <w:rPr>
          <w:rFonts w:hint="default" w:ascii="Times New Roman" w:hAnsi="Times New Roman" w:eastAsia="黑体" w:cs="Times New Roman"/>
          <w:b w:val="0"/>
          <w:bCs w:val="0"/>
          <w:caps w:val="0"/>
          <w:smallCaps w:val="0"/>
          <w:color w:val="auto"/>
          <w:sz w:val="24"/>
          <w:szCs w:val="24"/>
        </w:rPr>
        <w:fldChar w:fldCharType="begin"/>
      </w:r>
      <w:r>
        <w:rPr>
          <w:rFonts w:hint="default" w:ascii="Times New Roman" w:hAnsi="Times New Roman" w:eastAsia="黑体" w:cs="Times New Roman"/>
          <w:b w:val="0"/>
          <w:bCs w:val="0"/>
          <w:caps w:val="0"/>
          <w:smallCaps w:val="0"/>
          <w:color w:val="auto"/>
          <w:sz w:val="24"/>
          <w:szCs w:val="24"/>
        </w:rPr>
        <w:instrText xml:space="preserve"> PAGEREF _Toc124757354 \h </w:instrText>
      </w:r>
      <w:r>
        <w:rPr>
          <w:rFonts w:hint="default" w:ascii="Times New Roman" w:hAnsi="Times New Roman" w:eastAsia="黑体" w:cs="Times New Roman"/>
          <w:b w:val="0"/>
          <w:bCs w:val="0"/>
          <w:caps w:val="0"/>
          <w:smallCaps w:val="0"/>
          <w:color w:val="auto"/>
          <w:sz w:val="24"/>
          <w:szCs w:val="24"/>
        </w:rPr>
        <w:fldChar w:fldCharType="separate"/>
      </w:r>
      <w:r>
        <w:rPr>
          <w:rFonts w:hint="default" w:ascii="Times New Roman" w:hAnsi="Times New Roman" w:eastAsia="黑体" w:cs="Times New Roman"/>
          <w:b w:val="0"/>
          <w:bCs w:val="0"/>
          <w:caps w:val="0"/>
          <w:smallCaps w:val="0"/>
          <w:color w:val="auto"/>
          <w:sz w:val="24"/>
          <w:szCs w:val="24"/>
        </w:rPr>
        <w:t>53</w:t>
      </w:r>
      <w:r>
        <w:rPr>
          <w:rFonts w:hint="default" w:ascii="Times New Roman" w:hAnsi="Times New Roman" w:eastAsia="黑体" w:cs="Times New Roman"/>
          <w:b w:val="0"/>
          <w:bCs w:val="0"/>
          <w:caps w:val="0"/>
          <w:smallCaps w:val="0"/>
          <w:color w:val="auto"/>
          <w:sz w:val="24"/>
          <w:szCs w:val="24"/>
        </w:rPr>
        <w:fldChar w:fldCharType="end"/>
      </w:r>
      <w:r>
        <w:rPr>
          <w:rFonts w:hint="default" w:ascii="Times New Roman" w:hAnsi="Times New Roman" w:eastAsia="黑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"_Toc124757355"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防洪区管理</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_Toc124757355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"_Toc124757356"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防洪调度及工程管理</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_Toc124757356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"_Toc124757357"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防汛调度指挥系统建设</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_Toc124757357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"_Toc124757358"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第四节  水文基础设施建设</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_Toc124757358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54</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"_Toc124757359"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第五节  防洪政策法规建设</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_Toc124757359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54</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"_Toc124757360"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第六节  超标准洪水防御方案</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_Toc124757360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54</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"_Toc124757361"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第九章  建设征地与移民安置</w:t>
      </w:r>
      <w:r>
        <w:rPr>
          <w:rStyle w:val="101"/>
          <w:rFonts w:hint="default" w:ascii="Times New Roman" w:hAnsi="Times New Roman" w:eastAsia="黑体" w:cs="Times New Roman"/>
          <w:b w:val="0"/>
          <w:bCs w:val="0"/>
          <w:caps w:val="0"/>
          <w:smallCaps w:val="0"/>
          <w:color w:val="auto"/>
          <w:lang w:val="en-US" w:eastAsia="zh-CN"/>
        </w:rPr>
        <w:t>规划</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_Toc124757361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56</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"_Toc124757362"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建设征地</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_Toc124757362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56</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"_Toc124757363"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移民安置规划</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_Toc124757363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57</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"_Toc124757364"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第十章  环境影响评价</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_Toc124757364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59</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"_Toc124757365"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环境影响初步分析</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_Toc124757365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59</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"_Toc124757366"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环境保护措施</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_Toc124757366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61</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"_Toc124757367"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第三节 评价结论</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_Toc124757367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62</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"_Toc124757368"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第十一章  投资匡算</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_Toc124757368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63</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"_Toc124757369"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 xml:space="preserve">第一节  </w:t>
      </w:r>
      <w:r>
        <w:rPr>
          <w:rStyle w:val="101"/>
          <w:rFonts w:hint="default" w:ascii="Times New Roman" w:hAnsi="Times New Roman" w:eastAsia="楷体" w:cs="Times New Roman"/>
          <w:b w:val="0"/>
          <w:bCs w:val="0"/>
          <w:caps w:val="0"/>
          <w:smallCaps w:val="0"/>
          <w:color w:val="auto"/>
          <w:sz w:val="24"/>
          <w:szCs w:val="24"/>
          <w:lang w:val="en-US" w:eastAsia="zh-CN"/>
        </w:rPr>
        <w:t>投资</w:t>
      </w:r>
      <w:r>
        <w:rPr>
          <w:rStyle w:val="101"/>
          <w:rFonts w:hint="default" w:ascii="Times New Roman" w:hAnsi="Times New Roman" w:eastAsia="楷体" w:cs="Times New Roman"/>
          <w:b w:val="0"/>
          <w:bCs w:val="0"/>
          <w:caps w:val="0"/>
          <w:smallCaps w:val="0"/>
          <w:color w:val="auto"/>
          <w:sz w:val="24"/>
          <w:szCs w:val="24"/>
        </w:rPr>
        <w:t>匡算依据和方法</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_Toc124757369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63</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"_Toc124757370"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投资匡算成果</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_Toc124757370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64</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"_Toc124757371"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第十二章  实施意见和实施效果</w:t>
      </w:r>
      <w:r>
        <w:rPr>
          <w:rStyle w:val="101"/>
          <w:rFonts w:hint="default" w:ascii="Times New Roman" w:hAnsi="Times New Roman" w:eastAsia="黑体" w:cs="Times New Roman"/>
          <w:b w:val="0"/>
          <w:bCs w:val="0"/>
          <w:caps w:val="0"/>
          <w:smallCaps w:val="0"/>
          <w:color w:val="auto"/>
          <w:lang w:val="en-US" w:eastAsia="zh-CN"/>
        </w:rPr>
        <w:t>评价</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_Toc124757371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65</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"_Toc124757372"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第一节  实施意见</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_Toc124757372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65</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74"/>
        <w:keepNext w:val="0"/>
        <w:keepLines w:val="0"/>
        <w:pageBreakBefore w:val="0"/>
        <w:widowControl w:val="0"/>
        <w:tabs>
          <w:tab w:val="right" w:leader="dot" w:pos="9061"/>
        </w:tabs>
        <w:kinsoku/>
        <w:wordWrap/>
        <w:overflowPunct/>
        <w:topLinePunct w:val="0"/>
        <w:autoSpaceDE/>
        <w:autoSpaceDN/>
        <w:bidi w:val="0"/>
        <w:adjustRightInd/>
        <w:snapToGrid/>
        <w:spacing w:line="440" w:lineRule="exact"/>
        <w:ind w:left="0" w:firstLine="364" w:firstLineChars="200"/>
        <w:textAlignment w:val="auto"/>
        <w:rPr>
          <w:rFonts w:hint="default" w:ascii="Times New Roman" w:hAnsi="Times New Roman" w:eastAsia="楷体" w:cs="Times New Roman"/>
          <w:b w:val="0"/>
          <w:bCs w:val="0"/>
          <w:caps w:val="0"/>
          <w:smallCaps w:val="0"/>
          <w:color w:val="auto"/>
          <w:sz w:val="24"/>
          <w:szCs w:val="24"/>
        </w:rPr>
      </w:pPr>
      <w:r>
        <w:rPr>
          <w:rFonts w:hint="default" w:ascii="Times New Roman" w:hAnsi="Times New Roman" w:cs="Times New Roman"/>
          <w:b w:val="0"/>
          <w:bCs w:val="0"/>
          <w:caps w:val="0"/>
          <w:smallCaps w:val="0"/>
          <w:color w:val="auto"/>
        </w:rPr>
        <w:fldChar w:fldCharType="begin"/>
      </w:r>
      <w:r>
        <w:rPr>
          <w:rFonts w:hint="default" w:ascii="Times New Roman" w:hAnsi="Times New Roman" w:cs="Times New Roman"/>
          <w:b w:val="0"/>
          <w:bCs w:val="0"/>
          <w:caps w:val="0"/>
          <w:smallCaps w:val="0"/>
          <w:color w:val="auto"/>
        </w:rPr>
        <w:instrText xml:space="preserve"> HYPERLINK \l "_Toc124757373" </w:instrText>
      </w:r>
      <w:r>
        <w:rPr>
          <w:rFonts w:hint="default" w:ascii="Times New Roman" w:hAnsi="Times New Roman" w:cs="Times New Roman"/>
          <w:b w:val="0"/>
          <w:bCs w:val="0"/>
          <w:caps w:val="0"/>
          <w:smallCaps w:val="0"/>
          <w:color w:val="auto"/>
        </w:rPr>
        <w:fldChar w:fldCharType="separate"/>
      </w:r>
      <w:r>
        <w:rPr>
          <w:rStyle w:val="101"/>
          <w:rFonts w:hint="default" w:ascii="Times New Roman" w:hAnsi="Times New Roman" w:eastAsia="楷体" w:cs="Times New Roman"/>
          <w:b w:val="0"/>
          <w:bCs w:val="0"/>
          <w:caps w:val="0"/>
          <w:smallCaps w:val="0"/>
          <w:color w:val="auto"/>
          <w:sz w:val="24"/>
          <w:szCs w:val="24"/>
        </w:rPr>
        <w:t>第二节  实施效果</w:t>
      </w:r>
      <w:r>
        <w:rPr>
          <w:rStyle w:val="101"/>
          <w:rFonts w:hint="default" w:ascii="Times New Roman" w:hAnsi="Times New Roman" w:eastAsia="楷体" w:cs="Times New Roman"/>
          <w:b w:val="0"/>
          <w:bCs w:val="0"/>
          <w:caps w:val="0"/>
          <w:smallCaps w:val="0"/>
          <w:color w:val="auto"/>
          <w:sz w:val="24"/>
          <w:szCs w:val="24"/>
          <w:lang w:val="en-US" w:eastAsia="zh-CN"/>
        </w:rPr>
        <w:t>评价</w:t>
      </w:r>
      <w:r>
        <w:rPr>
          <w:rFonts w:hint="default" w:ascii="Times New Roman" w:hAnsi="Times New Roman" w:eastAsia="楷体" w:cs="Times New Roman"/>
          <w:b w:val="0"/>
          <w:bCs w:val="0"/>
          <w:caps w:val="0"/>
          <w:smallCaps w:val="0"/>
          <w:color w:val="auto"/>
          <w:sz w:val="24"/>
          <w:szCs w:val="24"/>
        </w:rPr>
        <w:tab/>
      </w:r>
      <w:r>
        <w:rPr>
          <w:rFonts w:hint="default" w:ascii="Times New Roman" w:hAnsi="Times New Roman" w:eastAsia="楷体" w:cs="Times New Roman"/>
          <w:b w:val="0"/>
          <w:bCs w:val="0"/>
          <w:caps w:val="0"/>
          <w:smallCaps w:val="0"/>
          <w:color w:val="auto"/>
          <w:sz w:val="24"/>
          <w:szCs w:val="24"/>
        </w:rPr>
        <w:fldChar w:fldCharType="begin"/>
      </w:r>
      <w:r>
        <w:rPr>
          <w:rFonts w:hint="default" w:ascii="Times New Roman" w:hAnsi="Times New Roman" w:eastAsia="楷体" w:cs="Times New Roman"/>
          <w:b w:val="0"/>
          <w:bCs w:val="0"/>
          <w:caps w:val="0"/>
          <w:smallCaps w:val="0"/>
          <w:color w:val="auto"/>
          <w:sz w:val="24"/>
          <w:szCs w:val="24"/>
        </w:rPr>
        <w:instrText xml:space="preserve"> PAGEREF _Toc124757373 \h </w:instrText>
      </w:r>
      <w:r>
        <w:rPr>
          <w:rFonts w:hint="default" w:ascii="Times New Roman" w:hAnsi="Times New Roman" w:eastAsia="楷体" w:cs="Times New Roman"/>
          <w:b w:val="0"/>
          <w:bCs w:val="0"/>
          <w:caps w:val="0"/>
          <w:smallCaps w:val="0"/>
          <w:color w:val="auto"/>
          <w:sz w:val="24"/>
          <w:szCs w:val="24"/>
        </w:rPr>
        <w:fldChar w:fldCharType="separate"/>
      </w:r>
      <w:r>
        <w:rPr>
          <w:rFonts w:hint="default" w:ascii="Times New Roman" w:hAnsi="Times New Roman" w:eastAsia="楷体" w:cs="Times New Roman"/>
          <w:b w:val="0"/>
          <w:bCs w:val="0"/>
          <w:caps w:val="0"/>
          <w:smallCaps w:val="0"/>
          <w:color w:val="auto"/>
          <w:sz w:val="24"/>
          <w:szCs w:val="24"/>
        </w:rPr>
        <w:t>67</w:t>
      </w:r>
      <w:r>
        <w:rPr>
          <w:rFonts w:hint="default" w:ascii="Times New Roman" w:hAnsi="Times New Roman" w:eastAsia="楷体" w:cs="Times New Roman"/>
          <w:b w:val="0"/>
          <w:bCs w:val="0"/>
          <w:caps w:val="0"/>
          <w:smallCaps w:val="0"/>
          <w:color w:val="auto"/>
          <w:sz w:val="24"/>
          <w:szCs w:val="24"/>
        </w:rPr>
        <w:fldChar w:fldCharType="end"/>
      </w:r>
      <w:r>
        <w:rPr>
          <w:rFonts w:hint="default" w:ascii="Times New Roman" w:hAnsi="Times New Roman" w:eastAsia="楷体" w:cs="Times New Roman"/>
          <w:b w:val="0"/>
          <w:bCs w:val="0"/>
          <w:caps w:val="0"/>
          <w:smallCaps w:val="0"/>
          <w:color w:val="auto"/>
          <w:sz w:val="24"/>
          <w:szCs w:val="24"/>
        </w:rPr>
        <w:fldChar w:fldCharType="end"/>
      </w:r>
    </w:p>
    <w:p>
      <w:pPr>
        <w:pStyle w:val="59"/>
        <w:keepNext w:val="0"/>
        <w:keepLines w:val="0"/>
        <w:pageBreakBefore w:val="0"/>
        <w:widowControl w:val="0"/>
        <w:kinsoku/>
        <w:wordWrap/>
        <w:overflowPunct/>
        <w:topLinePunct w:val="0"/>
        <w:autoSpaceDE/>
        <w:autoSpaceDN/>
        <w:bidi w:val="0"/>
        <w:adjustRightInd/>
        <w:snapToGrid/>
        <w:spacing w:before="0" w:after="0" w:line="440" w:lineRule="exact"/>
        <w:ind w:left="0"/>
        <w:textAlignment w:val="auto"/>
        <w:rPr>
          <w:rFonts w:hint="default" w:ascii="Times New Roman" w:hAnsi="Times New Roman" w:eastAsia="黑体" w:cs="Times New Roman"/>
          <w:b w:val="0"/>
          <w:bCs w:val="0"/>
          <w:caps w:val="0"/>
          <w:smallCaps w:val="0"/>
          <w:color w:val="auto"/>
        </w:rPr>
      </w:pP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HYPERLINK \l "_Toc124757374" </w:instrText>
      </w:r>
      <w:r>
        <w:rPr>
          <w:rFonts w:hint="default" w:ascii="Times New Roman" w:hAnsi="Times New Roman" w:eastAsia="黑体" w:cs="Times New Roman"/>
          <w:b w:val="0"/>
          <w:bCs w:val="0"/>
          <w:caps w:val="0"/>
          <w:smallCaps w:val="0"/>
          <w:color w:val="auto"/>
        </w:rPr>
        <w:fldChar w:fldCharType="separate"/>
      </w:r>
      <w:r>
        <w:rPr>
          <w:rStyle w:val="101"/>
          <w:rFonts w:hint="default" w:ascii="Times New Roman" w:hAnsi="Times New Roman" w:eastAsia="黑体" w:cs="Times New Roman"/>
          <w:b w:val="0"/>
          <w:bCs w:val="0"/>
          <w:caps w:val="0"/>
          <w:smallCaps w:val="0"/>
          <w:color w:val="auto"/>
        </w:rPr>
        <w:t>第十三章  保障措施</w:t>
      </w:r>
      <w:r>
        <w:rPr>
          <w:rFonts w:hint="default" w:ascii="Times New Roman" w:hAnsi="Times New Roman" w:eastAsia="黑体" w:cs="Times New Roman"/>
          <w:b w:val="0"/>
          <w:bCs w:val="0"/>
          <w:caps w:val="0"/>
          <w:smallCaps w:val="0"/>
          <w:color w:val="auto"/>
        </w:rPr>
        <w:tab/>
      </w:r>
      <w:r>
        <w:rPr>
          <w:rFonts w:hint="default" w:ascii="Times New Roman" w:hAnsi="Times New Roman" w:eastAsia="黑体" w:cs="Times New Roman"/>
          <w:b w:val="0"/>
          <w:bCs w:val="0"/>
          <w:caps w:val="0"/>
          <w:smallCaps w:val="0"/>
          <w:color w:val="auto"/>
        </w:rPr>
        <w:fldChar w:fldCharType="begin"/>
      </w:r>
      <w:r>
        <w:rPr>
          <w:rFonts w:hint="default" w:ascii="Times New Roman" w:hAnsi="Times New Roman" w:eastAsia="黑体" w:cs="Times New Roman"/>
          <w:b w:val="0"/>
          <w:bCs w:val="0"/>
          <w:caps w:val="0"/>
          <w:smallCaps w:val="0"/>
          <w:color w:val="auto"/>
        </w:rPr>
        <w:instrText xml:space="preserve"> PAGEREF _Toc124757374 \h </w:instrText>
      </w:r>
      <w:r>
        <w:rPr>
          <w:rFonts w:hint="default" w:ascii="Times New Roman" w:hAnsi="Times New Roman" w:eastAsia="黑体" w:cs="Times New Roman"/>
          <w:b w:val="0"/>
          <w:bCs w:val="0"/>
          <w:caps w:val="0"/>
          <w:smallCaps w:val="0"/>
          <w:color w:val="auto"/>
        </w:rPr>
        <w:fldChar w:fldCharType="separate"/>
      </w:r>
      <w:r>
        <w:rPr>
          <w:rFonts w:hint="default" w:ascii="Times New Roman" w:hAnsi="Times New Roman" w:eastAsia="黑体" w:cs="Times New Roman"/>
          <w:b w:val="0"/>
          <w:bCs w:val="0"/>
          <w:caps w:val="0"/>
          <w:smallCaps w:val="0"/>
          <w:color w:val="auto"/>
        </w:rPr>
        <w:t>69</w:t>
      </w:r>
      <w:r>
        <w:rPr>
          <w:rFonts w:hint="default" w:ascii="Times New Roman" w:hAnsi="Times New Roman" w:eastAsia="黑体" w:cs="Times New Roman"/>
          <w:b w:val="0"/>
          <w:bCs w:val="0"/>
          <w:caps w:val="0"/>
          <w:smallCaps w:val="0"/>
          <w:color w:val="auto"/>
        </w:rPr>
        <w:fldChar w:fldCharType="end"/>
      </w:r>
      <w:r>
        <w:rPr>
          <w:rFonts w:hint="default" w:ascii="Times New Roman" w:hAnsi="Times New Roman" w:eastAsia="黑体" w:cs="Times New Roman"/>
          <w:b w:val="0"/>
          <w:bCs w:val="0"/>
          <w:caps w:val="0"/>
          <w:smallCaps w:val="0"/>
          <w:color w:val="auto"/>
        </w:rPr>
        <w:fldChar w:fldCharType="end"/>
      </w:r>
    </w:p>
    <w:p>
      <w:pPr>
        <w:pStyle w:val="74"/>
        <w:tabs>
          <w:tab w:val="right" w:leader="dot" w:pos="8835"/>
        </w:tabs>
        <w:spacing w:line="440" w:lineRule="exact"/>
        <w:ind w:left="442"/>
        <w:jc w:val="both"/>
        <w:rPr>
          <w:rFonts w:ascii="Times New Roman" w:hAnsi="Times New Roman"/>
          <w:bCs/>
          <w:caps w:val="0"/>
          <w:smallCaps w:val="0"/>
          <w:color w:val="auto"/>
          <w:sz w:val="28"/>
          <w:szCs w:val="28"/>
          <w:lang w:val="zh-CN"/>
        </w:rPr>
      </w:pPr>
      <w:r>
        <w:rPr>
          <w:rFonts w:hint="default" w:ascii="Times New Roman" w:hAnsi="Times New Roman" w:eastAsia="楷体" w:cs="Times New Roman"/>
          <w:b w:val="0"/>
          <w:bCs w:val="0"/>
          <w:caps w:val="0"/>
          <w:smallCaps w:val="0"/>
          <w:color w:val="auto"/>
          <w:sz w:val="24"/>
          <w:szCs w:val="24"/>
          <w:lang w:val="zh-CN"/>
        </w:rPr>
        <w:fldChar w:fldCharType="end"/>
      </w:r>
    </w:p>
    <w:p>
      <w:pPr>
        <w:spacing w:afterLines="50"/>
        <w:ind w:firstLine="444" w:firstLineChars="200"/>
        <w:jc w:val="left"/>
        <w:rPr>
          <w:rStyle w:val="101"/>
          <w:rFonts w:ascii="Times New Roman" w:hAnsi="Times New Roman" w:eastAsia="楷体" w:cs="Times New Roman"/>
          <w:b/>
          <w:bCs/>
          <w:caps w:val="0"/>
          <w:smallCaps w:val="0"/>
          <w:color w:val="auto"/>
          <w:kern w:val="2"/>
          <w:sz w:val="24"/>
          <w:szCs w:val="24"/>
          <w:u w:val="none"/>
          <w:lang w:val="en-US" w:eastAsia="zh-CN" w:bidi="ar-SA"/>
        </w:rPr>
      </w:pPr>
      <w:r>
        <w:rPr>
          <w:rStyle w:val="101"/>
          <w:rFonts w:ascii="Times New Roman" w:hAnsi="Times New Roman" w:eastAsia="楷体" w:cs="Times New Roman"/>
          <w:b/>
          <w:bCs/>
          <w:caps w:val="0"/>
          <w:smallCaps w:val="0"/>
          <w:color w:val="auto"/>
          <w:kern w:val="2"/>
          <w:sz w:val="24"/>
          <w:szCs w:val="24"/>
          <w:u w:val="none"/>
          <w:lang w:val="en-US" w:eastAsia="zh-CN" w:bidi="ar-SA"/>
        </w:rPr>
        <w:t>附图</w:t>
      </w:r>
      <w:r>
        <w:rPr>
          <w:rStyle w:val="101"/>
          <w:rFonts w:hint="eastAsia" w:eastAsia="楷体" w:cs="Times New Roman"/>
          <w:b/>
          <w:bCs/>
          <w:caps w:val="0"/>
          <w:smallCaps w:val="0"/>
          <w:color w:val="auto"/>
          <w:kern w:val="2"/>
          <w:sz w:val="24"/>
          <w:szCs w:val="24"/>
          <w:u w:val="none"/>
          <w:lang w:val="en-US" w:eastAsia="zh-CN" w:bidi="ar-SA"/>
        </w:rPr>
        <w:t>：</w:t>
      </w:r>
    </w:p>
    <w:p>
      <w:pPr>
        <w:spacing w:afterLines="50"/>
        <w:ind w:firstLine="1110" w:firstLineChars="500"/>
        <w:jc w:val="both"/>
        <w:rPr>
          <w:rFonts w:eastAsia="楷体"/>
          <w:caps w:val="0"/>
          <w:smallCaps w:val="0"/>
          <w:color w:val="auto"/>
          <w:kern w:val="0"/>
          <w:szCs w:val="24"/>
        </w:rPr>
      </w:pPr>
      <w:r>
        <w:rPr>
          <w:rFonts w:hint="eastAsia" w:eastAsia="楷体"/>
          <w:caps w:val="0"/>
          <w:smallCaps w:val="0"/>
          <w:color w:val="auto"/>
          <w:kern w:val="0"/>
          <w:szCs w:val="24"/>
          <w:lang w:val="en-US" w:eastAsia="zh-CN"/>
        </w:rPr>
        <w:t>1.</w:t>
      </w:r>
      <w:r>
        <w:rPr>
          <w:rFonts w:eastAsia="楷体"/>
          <w:caps w:val="0"/>
          <w:smallCaps w:val="0"/>
          <w:color w:val="auto"/>
          <w:kern w:val="0"/>
          <w:szCs w:val="24"/>
        </w:rPr>
        <w:t>沱江</w:t>
      </w:r>
      <w:r>
        <w:rPr>
          <w:rFonts w:hint="eastAsia" w:eastAsia="楷体"/>
          <w:caps w:val="0"/>
          <w:smallCaps w:val="0"/>
          <w:color w:val="auto"/>
          <w:kern w:val="0"/>
          <w:szCs w:val="24"/>
          <w:lang w:val="en-US" w:eastAsia="zh-CN"/>
        </w:rPr>
        <w:t>流域</w:t>
      </w:r>
      <w:r>
        <w:rPr>
          <w:rFonts w:eastAsia="楷体"/>
          <w:caps w:val="0"/>
          <w:smallCaps w:val="0"/>
          <w:color w:val="auto"/>
          <w:kern w:val="0"/>
          <w:szCs w:val="24"/>
        </w:rPr>
        <w:t>水系及主要站网分布图</w:t>
      </w:r>
    </w:p>
    <w:p>
      <w:pPr>
        <w:spacing w:afterLines="50"/>
        <w:ind w:firstLine="1110" w:firstLineChars="500"/>
        <w:jc w:val="left"/>
        <w:rPr>
          <w:rFonts w:eastAsia="楷体"/>
          <w:caps w:val="0"/>
          <w:smallCaps w:val="0"/>
          <w:color w:val="auto"/>
          <w:kern w:val="0"/>
          <w:szCs w:val="24"/>
        </w:rPr>
      </w:pPr>
      <w:r>
        <w:rPr>
          <w:rFonts w:hint="eastAsia" w:eastAsia="楷体"/>
          <w:caps w:val="0"/>
          <w:smallCaps w:val="0"/>
          <w:color w:val="auto"/>
          <w:kern w:val="0"/>
          <w:szCs w:val="24"/>
          <w:lang w:val="en-US" w:eastAsia="zh-CN"/>
        </w:rPr>
        <w:t>2.</w:t>
      </w:r>
      <w:r>
        <w:rPr>
          <w:rFonts w:eastAsia="楷体"/>
          <w:caps w:val="0"/>
          <w:smallCaps w:val="0"/>
          <w:color w:val="auto"/>
          <w:kern w:val="0"/>
          <w:szCs w:val="24"/>
        </w:rPr>
        <w:t>沱江流域防洪规划总体布置</w:t>
      </w:r>
      <w:r>
        <w:rPr>
          <w:rFonts w:hint="eastAsia" w:eastAsia="楷体"/>
          <w:caps w:val="0"/>
          <w:smallCaps w:val="0"/>
          <w:color w:val="auto"/>
          <w:kern w:val="0"/>
          <w:szCs w:val="24"/>
          <w:lang w:val="en-US" w:eastAsia="zh-CN"/>
        </w:rPr>
        <w:t>示意</w:t>
      </w:r>
      <w:r>
        <w:rPr>
          <w:rFonts w:eastAsia="楷体"/>
          <w:caps w:val="0"/>
          <w:smallCaps w:val="0"/>
          <w:color w:val="auto"/>
          <w:kern w:val="0"/>
          <w:szCs w:val="24"/>
        </w:rPr>
        <w:t>图</w:t>
      </w:r>
    </w:p>
    <w:p>
      <w:pPr>
        <w:pStyle w:val="3"/>
        <w:rPr>
          <w:color w:val="auto"/>
        </w:rPr>
        <w:sectPr>
          <w:footerReference r:id="rId9" w:type="default"/>
          <w:pgSz w:w="11907" w:h="16840"/>
          <w:pgMar w:top="1134" w:right="1418" w:bottom="1134" w:left="1418" w:header="851" w:footer="992" w:gutter="0"/>
          <w:pgBorders>
            <w:top w:val="none" w:sz="0" w:space="0"/>
            <w:left w:val="none" w:sz="0" w:space="0"/>
            <w:bottom w:val="none" w:sz="0" w:space="0"/>
            <w:right w:val="none" w:sz="0" w:space="0"/>
          </w:pgBorders>
          <w:pgNumType w:start="1" w:chapStyle="1"/>
          <w:cols w:space="720" w:num="1"/>
          <w:docGrid w:type="linesAndChars" w:linePitch="332" w:charSpace="-3866"/>
        </w:sectPr>
      </w:pPr>
    </w:p>
    <w:p>
      <w:pPr>
        <w:pStyle w:val="3"/>
        <w:rPr>
          <w:color w:val="auto"/>
        </w:rPr>
      </w:pPr>
      <w:bookmarkStart w:id="1" w:name="_Toc124757327"/>
      <w:bookmarkStart w:id="2" w:name="_Toc296802176"/>
    </w:p>
    <w:p>
      <w:pPr>
        <w:pStyle w:val="3"/>
        <w:rPr>
          <w:color w:val="auto"/>
        </w:rPr>
      </w:pPr>
      <w:r>
        <w:rPr>
          <w:color w:val="auto"/>
        </w:rPr>
        <w:t>前  言</w:t>
      </w:r>
      <w:bookmarkEnd w:id="1"/>
      <w:bookmarkEnd w:id="2"/>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沱江发源于绵竹市西北九顶山老鹰梁子大盐井沟，干流流经德阳、成都、资阳、内江、自贡、泸州6个市，在泸州市江阳区北城街道汇入长江</w:t>
      </w:r>
      <w:r>
        <w:rPr>
          <w:rFonts w:hint="default" w:ascii="Times New Roman" w:hAnsi="Times New Roman" w:eastAsia="仿宋_GB2312" w:cs="Times New Roman"/>
          <w:color w:val="auto"/>
          <w:sz w:val="30"/>
          <w:szCs w:val="30"/>
          <w:lang w:eastAsia="zh-CN"/>
        </w:rPr>
        <w:t>，</w:t>
      </w:r>
      <w:r>
        <w:rPr>
          <w:rFonts w:hint="default" w:ascii="Times New Roman" w:hAnsi="Times New Roman" w:eastAsia="仿宋_GB2312" w:cs="Times New Roman"/>
          <w:color w:val="auto"/>
          <w:sz w:val="30"/>
          <w:szCs w:val="30"/>
        </w:rPr>
        <w:t>支流展延到</w:t>
      </w:r>
      <w:r>
        <w:rPr>
          <w:rFonts w:hint="default" w:ascii="Times New Roman" w:hAnsi="Times New Roman" w:eastAsia="仿宋_GB2312" w:cs="Times New Roman"/>
          <w:color w:val="auto"/>
          <w:sz w:val="30"/>
          <w:szCs w:val="30"/>
          <w:lang w:val="en-US" w:eastAsia="zh-CN"/>
        </w:rPr>
        <w:t>四川省</w:t>
      </w:r>
      <w:r>
        <w:rPr>
          <w:rFonts w:hint="default" w:ascii="Times New Roman" w:hAnsi="Times New Roman" w:eastAsia="仿宋_GB2312" w:cs="Times New Roman"/>
          <w:color w:val="auto"/>
          <w:sz w:val="30"/>
          <w:szCs w:val="30"/>
        </w:rPr>
        <w:t>阿坝</w:t>
      </w:r>
      <w:r>
        <w:rPr>
          <w:rFonts w:hint="default" w:ascii="Times New Roman" w:hAnsi="Times New Roman" w:eastAsia="仿宋_GB2312" w:cs="Times New Roman"/>
          <w:color w:val="auto"/>
          <w:sz w:val="30"/>
          <w:szCs w:val="30"/>
          <w:lang w:val="en-US" w:eastAsia="zh-CN"/>
        </w:rPr>
        <w:t>州</w:t>
      </w:r>
      <w:r>
        <w:rPr>
          <w:rFonts w:hint="default" w:ascii="Times New Roman" w:hAnsi="Times New Roman" w:eastAsia="仿宋_GB2312" w:cs="Times New Roman"/>
          <w:color w:val="auto"/>
          <w:sz w:val="30"/>
          <w:szCs w:val="30"/>
        </w:rPr>
        <w:t>、眉山</w:t>
      </w:r>
      <w:r>
        <w:rPr>
          <w:rFonts w:hint="default" w:ascii="Times New Roman" w:hAnsi="Times New Roman" w:eastAsia="仿宋_GB2312" w:cs="Times New Roman"/>
          <w:color w:val="auto"/>
          <w:sz w:val="30"/>
          <w:szCs w:val="30"/>
          <w:lang w:val="en-US" w:eastAsia="zh-CN"/>
        </w:rPr>
        <w:t>市</w:t>
      </w:r>
      <w:r>
        <w:rPr>
          <w:rFonts w:hint="default" w:ascii="Times New Roman" w:hAnsi="Times New Roman" w:eastAsia="仿宋_GB2312" w:cs="Times New Roman"/>
          <w:color w:val="auto"/>
          <w:sz w:val="30"/>
          <w:szCs w:val="30"/>
        </w:rPr>
        <w:t>、乐山</w:t>
      </w:r>
      <w:r>
        <w:rPr>
          <w:rFonts w:hint="default" w:ascii="Times New Roman" w:hAnsi="Times New Roman" w:eastAsia="仿宋_GB2312" w:cs="Times New Roman"/>
          <w:color w:val="auto"/>
          <w:sz w:val="30"/>
          <w:szCs w:val="30"/>
          <w:lang w:val="en-US" w:eastAsia="zh-CN"/>
        </w:rPr>
        <w:t>市</w:t>
      </w:r>
      <w:r>
        <w:rPr>
          <w:rFonts w:hint="default" w:ascii="Times New Roman" w:hAnsi="Times New Roman" w:eastAsia="仿宋_GB2312" w:cs="Times New Roman"/>
          <w:color w:val="auto"/>
          <w:sz w:val="30"/>
          <w:szCs w:val="30"/>
        </w:rPr>
        <w:t>、宜宾</w:t>
      </w:r>
      <w:r>
        <w:rPr>
          <w:rFonts w:hint="default" w:ascii="Times New Roman" w:hAnsi="Times New Roman" w:eastAsia="仿宋_GB2312" w:cs="Times New Roman"/>
          <w:color w:val="auto"/>
          <w:sz w:val="30"/>
          <w:szCs w:val="30"/>
          <w:lang w:val="en-US" w:eastAsia="zh-CN"/>
        </w:rPr>
        <w:t>市和重庆市大足区、荣昌区</w:t>
      </w:r>
      <w:r>
        <w:rPr>
          <w:rFonts w:hint="default" w:ascii="Times New Roman" w:hAnsi="Times New Roman" w:eastAsia="仿宋_GB2312" w:cs="Times New Roman"/>
          <w:color w:val="auto"/>
          <w:sz w:val="30"/>
          <w:szCs w:val="30"/>
        </w:rPr>
        <w:t>。沱江流域面积2.79万km</w:t>
      </w:r>
      <w:r>
        <w:rPr>
          <w:rFonts w:hint="default" w:ascii="Times New Roman" w:hAnsi="Times New Roman" w:eastAsia="仿宋_GB2312" w:cs="Times New Roman"/>
          <w:color w:val="auto"/>
          <w:sz w:val="30"/>
          <w:szCs w:val="30"/>
          <w:vertAlign w:val="superscript"/>
        </w:rPr>
        <w:t>2</w:t>
      </w:r>
      <w:r>
        <w:rPr>
          <w:rFonts w:hint="default" w:ascii="Times New Roman" w:hAnsi="Times New Roman" w:eastAsia="仿宋_GB2312" w:cs="Times New Roman"/>
          <w:color w:val="auto"/>
          <w:sz w:val="30"/>
          <w:szCs w:val="30"/>
        </w:rPr>
        <w:t>（其中四川省2.56万km</w:t>
      </w:r>
      <w:r>
        <w:rPr>
          <w:rFonts w:hint="default" w:ascii="Times New Roman" w:hAnsi="Times New Roman" w:eastAsia="仿宋_GB2312" w:cs="Times New Roman"/>
          <w:color w:val="auto"/>
          <w:sz w:val="30"/>
          <w:szCs w:val="30"/>
          <w:vertAlign w:val="superscript"/>
        </w:rPr>
        <w:t>2</w:t>
      </w:r>
      <w:r>
        <w:rPr>
          <w:rFonts w:hint="default" w:ascii="Times New Roman" w:hAnsi="Times New Roman" w:eastAsia="仿宋_GB2312" w:cs="Times New Roman"/>
          <w:color w:val="auto"/>
          <w:sz w:val="30"/>
          <w:szCs w:val="30"/>
        </w:rPr>
        <w:t>，重庆市0.23万km</w:t>
      </w:r>
      <w:r>
        <w:rPr>
          <w:rFonts w:hint="default" w:ascii="Times New Roman" w:hAnsi="Times New Roman" w:eastAsia="仿宋_GB2312" w:cs="Times New Roman"/>
          <w:color w:val="auto"/>
          <w:sz w:val="30"/>
          <w:szCs w:val="30"/>
          <w:vertAlign w:val="superscript"/>
        </w:rPr>
        <w:t>2</w:t>
      </w:r>
      <w:r>
        <w:rPr>
          <w:rFonts w:hint="default" w:ascii="Times New Roman" w:hAnsi="Times New Roman" w:eastAsia="仿宋_GB2312" w:cs="Times New Roman"/>
          <w:color w:val="auto"/>
          <w:sz w:val="30"/>
          <w:szCs w:val="30"/>
        </w:rPr>
        <w:t>）</w:t>
      </w:r>
      <w:r>
        <w:rPr>
          <w:rFonts w:hint="default" w:ascii="Times New Roman" w:hAnsi="Times New Roman" w:eastAsia="仿宋_GB2312" w:cs="Times New Roman"/>
          <w:color w:val="auto"/>
          <w:sz w:val="30"/>
          <w:szCs w:val="30"/>
          <w:lang w:eastAsia="zh-CN"/>
        </w:rPr>
        <w:t>，</w:t>
      </w:r>
      <w:r>
        <w:rPr>
          <w:rFonts w:hint="default" w:ascii="Times New Roman" w:hAnsi="Times New Roman" w:eastAsia="仿宋_GB2312" w:cs="Times New Roman"/>
          <w:color w:val="auto"/>
          <w:sz w:val="30"/>
          <w:szCs w:val="30"/>
          <w:highlight w:val="none"/>
          <w:lang w:val="en-US" w:eastAsia="zh-CN"/>
        </w:rPr>
        <w:t>河</w:t>
      </w:r>
      <w:r>
        <w:rPr>
          <w:rFonts w:hint="default" w:ascii="Times New Roman" w:hAnsi="Times New Roman" w:eastAsia="仿宋_GB2312" w:cs="Times New Roman"/>
          <w:color w:val="auto"/>
          <w:sz w:val="30"/>
          <w:szCs w:val="30"/>
        </w:rPr>
        <w:t>长6</w:t>
      </w:r>
      <w:r>
        <w:rPr>
          <w:rFonts w:hint="default" w:ascii="Times New Roman" w:hAnsi="Times New Roman" w:eastAsia="仿宋_GB2312" w:cs="Times New Roman"/>
          <w:color w:val="auto"/>
          <w:sz w:val="30"/>
          <w:szCs w:val="30"/>
          <w:lang w:val="en-US" w:eastAsia="zh-CN"/>
        </w:rPr>
        <w:t>38</w:t>
      </w:r>
      <w:r>
        <w:rPr>
          <w:rFonts w:hint="default" w:ascii="Times New Roman" w:hAnsi="Times New Roman" w:eastAsia="仿宋_GB2312" w:cs="Times New Roman"/>
          <w:color w:val="auto"/>
          <w:sz w:val="30"/>
          <w:szCs w:val="30"/>
        </w:rPr>
        <w:t>km（均位于四川省），在全省经济社会发展</w:t>
      </w:r>
      <w:r>
        <w:rPr>
          <w:rFonts w:hint="default" w:ascii="Times New Roman" w:hAnsi="Times New Roman" w:eastAsia="仿宋_GB2312" w:cs="Times New Roman"/>
          <w:color w:val="auto"/>
          <w:sz w:val="30"/>
          <w:szCs w:val="30"/>
          <w:lang w:val="en-US" w:eastAsia="zh-CN"/>
        </w:rPr>
        <w:t>和成渝地区双城经济圈发展</w:t>
      </w:r>
      <w:r>
        <w:rPr>
          <w:rFonts w:hint="default" w:ascii="Times New Roman" w:hAnsi="Times New Roman" w:eastAsia="仿宋_GB2312" w:cs="Times New Roman"/>
          <w:color w:val="auto"/>
          <w:sz w:val="30"/>
          <w:szCs w:val="30"/>
        </w:rPr>
        <w:t>中占有极为重要的地位。</w:t>
      </w:r>
    </w:p>
    <w:p>
      <w:pPr>
        <w:pStyle w:val="713"/>
        <w:keepNext w:val="0"/>
        <w:keepLines w:val="0"/>
        <w:pageBreakBefore w:val="0"/>
        <w:widowControl w:val="0"/>
        <w:kinsoku/>
        <w:wordWrap/>
        <w:overflowPunct/>
        <w:topLinePunct w:val="0"/>
        <w:autoSpaceDE/>
        <w:autoSpaceDN/>
        <w:bidi w:val="0"/>
        <w:adjustRightInd/>
        <w:snapToGrid/>
        <w:spacing w:line="580" w:lineRule="exact"/>
        <w:textAlignment w:val="auto"/>
        <w:rPr>
          <w:rFonts w:hint="default" w:ascii="Times New Roman" w:hAnsi="Times New Roman" w:eastAsia="仿宋_GB2312" w:cs="Times New Roman"/>
          <w:color w:val="auto"/>
          <w:spacing w:val="0"/>
          <w:sz w:val="30"/>
          <w:szCs w:val="30"/>
          <w:highlight w:val="none"/>
        </w:rPr>
      </w:pPr>
      <w:r>
        <w:rPr>
          <w:rFonts w:hint="default" w:ascii="Times New Roman" w:hAnsi="Times New Roman" w:eastAsia="仿宋_GB2312" w:cs="Times New Roman"/>
          <w:color w:val="auto"/>
          <w:sz w:val="30"/>
          <w:szCs w:val="30"/>
        </w:rPr>
        <w:t>沱江流域上游地处鹿头山暴雨区，</w:t>
      </w:r>
      <w:r>
        <w:rPr>
          <w:rFonts w:hint="default" w:ascii="Times New Roman" w:hAnsi="Times New Roman" w:eastAsia="仿宋_GB2312" w:cs="Times New Roman"/>
          <w:color w:val="auto"/>
          <w:sz w:val="30"/>
          <w:szCs w:val="30"/>
          <w:lang w:val="en-US" w:eastAsia="zh-CN"/>
        </w:rPr>
        <w:t>主源</w:t>
      </w:r>
      <w:r>
        <w:rPr>
          <w:rFonts w:hint="default" w:ascii="Times New Roman" w:hAnsi="Times New Roman" w:eastAsia="仿宋_GB2312" w:cs="Times New Roman"/>
          <w:color w:val="auto"/>
          <w:sz w:val="30"/>
          <w:szCs w:val="30"/>
        </w:rPr>
        <w:t>绵远河</w:t>
      </w:r>
      <w:r>
        <w:rPr>
          <w:rFonts w:hint="default" w:ascii="Times New Roman" w:hAnsi="Times New Roman" w:eastAsia="仿宋_GB2312" w:cs="Times New Roman"/>
          <w:color w:val="auto"/>
          <w:sz w:val="30"/>
          <w:szCs w:val="30"/>
          <w:lang w:val="en-US" w:eastAsia="zh-CN"/>
        </w:rPr>
        <w:t>与</w:t>
      </w:r>
      <w:r>
        <w:rPr>
          <w:rFonts w:hint="default" w:ascii="Times New Roman" w:hAnsi="Times New Roman" w:eastAsia="仿宋_GB2312" w:cs="Times New Roman"/>
          <w:color w:val="auto"/>
          <w:sz w:val="30"/>
          <w:szCs w:val="30"/>
        </w:rPr>
        <w:t>石亭江、湔江、</w:t>
      </w:r>
      <w:r>
        <w:rPr>
          <w:rFonts w:hint="default" w:ascii="Times New Roman" w:hAnsi="Times New Roman" w:eastAsia="仿宋_GB2312" w:cs="Times New Roman"/>
          <w:color w:val="auto"/>
          <w:sz w:val="30"/>
          <w:szCs w:val="30"/>
          <w:highlight w:val="none"/>
        </w:rPr>
        <w:t>青白</w:t>
      </w:r>
      <w:r>
        <w:rPr>
          <w:rFonts w:hint="default" w:ascii="Times New Roman" w:hAnsi="Times New Roman" w:eastAsia="仿宋_GB2312" w:cs="Times New Roman"/>
          <w:color w:val="auto"/>
          <w:spacing w:val="0"/>
          <w:sz w:val="30"/>
          <w:szCs w:val="30"/>
          <w:highlight w:val="none"/>
        </w:rPr>
        <w:t>江、毗河</w:t>
      </w:r>
      <w:r>
        <w:rPr>
          <w:rFonts w:hint="default" w:ascii="Times New Roman" w:hAnsi="Times New Roman" w:eastAsia="仿宋_GB2312" w:cs="Times New Roman"/>
          <w:color w:val="auto"/>
          <w:spacing w:val="0"/>
          <w:sz w:val="30"/>
          <w:szCs w:val="30"/>
          <w:highlight w:val="none"/>
          <w:lang w:val="en-US" w:eastAsia="zh-CN"/>
        </w:rPr>
        <w:t>4</w:t>
      </w:r>
      <w:r>
        <w:rPr>
          <w:rFonts w:hint="default" w:ascii="Times New Roman" w:hAnsi="Times New Roman" w:eastAsia="仿宋_GB2312" w:cs="Times New Roman"/>
          <w:color w:val="auto"/>
          <w:spacing w:val="0"/>
          <w:sz w:val="30"/>
          <w:szCs w:val="30"/>
          <w:highlight w:val="none"/>
        </w:rPr>
        <w:t>条</w:t>
      </w:r>
      <w:r>
        <w:rPr>
          <w:rFonts w:hint="default" w:ascii="Times New Roman" w:hAnsi="Times New Roman" w:eastAsia="仿宋_GB2312" w:cs="Times New Roman"/>
          <w:color w:val="auto"/>
          <w:spacing w:val="0"/>
          <w:sz w:val="30"/>
          <w:szCs w:val="30"/>
          <w:highlight w:val="none"/>
          <w:lang w:val="en-US" w:eastAsia="zh-CN"/>
        </w:rPr>
        <w:t>支</w:t>
      </w:r>
      <w:r>
        <w:rPr>
          <w:rFonts w:hint="default" w:ascii="Times New Roman" w:hAnsi="Times New Roman" w:eastAsia="仿宋_GB2312" w:cs="Times New Roman"/>
          <w:color w:val="auto"/>
          <w:spacing w:val="0"/>
          <w:sz w:val="30"/>
          <w:szCs w:val="30"/>
          <w:highlight w:val="none"/>
        </w:rPr>
        <w:t>流</w:t>
      </w:r>
      <w:bookmarkStart w:id="3" w:name="_Hlk125793798"/>
      <w:r>
        <w:rPr>
          <w:rFonts w:hint="default" w:ascii="Times New Roman" w:hAnsi="Times New Roman" w:eastAsia="仿宋_GB2312" w:cs="Times New Roman"/>
          <w:color w:val="auto"/>
          <w:spacing w:val="0"/>
          <w:sz w:val="30"/>
          <w:szCs w:val="30"/>
          <w:highlight w:val="none"/>
        </w:rPr>
        <w:t>呈向心状汇于金堂</w:t>
      </w:r>
      <w:bookmarkEnd w:id="3"/>
      <w:r>
        <w:rPr>
          <w:rFonts w:hint="default" w:ascii="Times New Roman" w:hAnsi="Times New Roman" w:eastAsia="仿宋_GB2312" w:cs="Times New Roman"/>
          <w:color w:val="auto"/>
          <w:spacing w:val="0"/>
          <w:sz w:val="30"/>
          <w:szCs w:val="30"/>
          <w:highlight w:val="none"/>
        </w:rPr>
        <w:t>县</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平原区洪水与上游山区洪水遭遇后形成中下游大洪水，洪水峰高量大、陡涨陡落。</w:t>
      </w:r>
      <w:r>
        <w:rPr>
          <w:rFonts w:hint="default" w:ascii="Times New Roman" w:hAnsi="Times New Roman" w:eastAsia="仿宋_GB2312" w:cs="Times New Roman"/>
          <w:color w:val="auto"/>
          <w:spacing w:val="0"/>
          <w:sz w:val="30"/>
          <w:szCs w:val="30"/>
          <w:highlight w:val="none"/>
          <w:lang w:val="en-US" w:eastAsia="zh-CN"/>
        </w:rPr>
        <w:t>1998年特大</w:t>
      </w:r>
      <w:r>
        <w:rPr>
          <w:rFonts w:hint="default" w:ascii="Times New Roman" w:hAnsi="Times New Roman" w:eastAsia="仿宋_GB2312" w:cs="Times New Roman"/>
          <w:color w:val="auto"/>
          <w:spacing w:val="0"/>
          <w:sz w:val="30"/>
          <w:szCs w:val="30"/>
          <w:highlight w:val="none"/>
        </w:rPr>
        <w:t>洪水以来，沱江流域各市加快防洪工程建设，</w:t>
      </w:r>
      <w:r>
        <w:rPr>
          <w:rFonts w:hint="default" w:ascii="Times New Roman" w:hAnsi="Times New Roman" w:eastAsia="仿宋_GB2312" w:cs="Times New Roman"/>
          <w:color w:val="auto"/>
          <w:spacing w:val="0"/>
          <w:sz w:val="30"/>
          <w:szCs w:val="30"/>
          <w:highlight w:val="none"/>
          <w:lang w:eastAsia="zh-CN"/>
        </w:rPr>
        <w:t>提升了</w:t>
      </w:r>
      <w:r>
        <w:rPr>
          <w:rFonts w:hint="default" w:ascii="Times New Roman" w:hAnsi="Times New Roman" w:eastAsia="仿宋_GB2312" w:cs="Times New Roman"/>
          <w:color w:val="auto"/>
          <w:spacing w:val="0"/>
          <w:sz w:val="30"/>
          <w:szCs w:val="30"/>
          <w:highlight w:val="none"/>
        </w:rPr>
        <w:t>流域防洪减灾能力，但局部</w:t>
      </w:r>
      <w:r>
        <w:rPr>
          <w:rFonts w:hint="default" w:ascii="Times New Roman" w:hAnsi="Times New Roman" w:eastAsia="仿宋_GB2312" w:cs="Times New Roman"/>
          <w:color w:val="auto"/>
          <w:spacing w:val="0"/>
          <w:sz w:val="30"/>
          <w:szCs w:val="30"/>
          <w:highlight w:val="none"/>
          <w:lang w:val="en-US" w:eastAsia="zh-CN"/>
        </w:rPr>
        <w:t>河</w:t>
      </w:r>
      <w:r>
        <w:rPr>
          <w:rFonts w:hint="default" w:ascii="Times New Roman" w:hAnsi="Times New Roman" w:eastAsia="仿宋_GB2312" w:cs="Times New Roman"/>
          <w:color w:val="auto"/>
          <w:spacing w:val="0"/>
          <w:sz w:val="30"/>
          <w:szCs w:val="30"/>
          <w:highlight w:val="none"/>
          <w:lang w:eastAsia="zh-CN"/>
        </w:rPr>
        <w:t>段防洪标准低，不满足防洪要求</w:t>
      </w:r>
      <w:r>
        <w:rPr>
          <w:rFonts w:hint="default" w:ascii="Times New Roman" w:hAnsi="Times New Roman" w:eastAsia="仿宋_GB2312" w:cs="Times New Roman"/>
          <w:color w:val="auto"/>
          <w:spacing w:val="0"/>
          <w:sz w:val="30"/>
          <w:szCs w:val="30"/>
          <w:highlight w:val="none"/>
        </w:rPr>
        <w:t>。近年来，极端天气频发，沱江流域洪灾呈加重加密趋势，2013年</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7</w:t>
      </w:r>
      <w:r>
        <w:rPr>
          <w:rFonts w:hint="default" w:ascii="Times New Roman" w:hAnsi="Times New Roman" w:eastAsia="仿宋_GB2312" w:cs="Times New Roman"/>
          <w:color w:val="auto"/>
          <w:spacing w:val="0"/>
          <w:sz w:val="30"/>
          <w:szCs w:val="30"/>
          <w:highlight w:val="none"/>
          <w:lang w:val="en-US" w:eastAsia="zh-CN"/>
        </w:rPr>
        <w:t>·</w:t>
      </w:r>
      <w:r>
        <w:rPr>
          <w:rFonts w:hint="default" w:ascii="Times New Roman" w:hAnsi="Times New Roman" w:eastAsia="仿宋_GB2312" w:cs="Times New Roman"/>
          <w:color w:val="auto"/>
          <w:spacing w:val="0"/>
          <w:sz w:val="30"/>
          <w:szCs w:val="30"/>
          <w:highlight w:val="none"/>
        </w:rPr>
        <w:t>9</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、2018年</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7</w:t>
      </w:r>
      <w:r>
        <w:rPr>
          <w:rFonts w:hint="default" w:ascii="Times New Roman" w:hAnsi="Times New Roman" w:eastAsia="仿宋_GB2312" w:cs="Times New Roman"/>
          <w:color w:val="auto"/>
          <w:spacing w:val="0"/>
          <w:sz w:val="30"/>
          <w:szCs w:val="30"/>
          <w:highlight w:val="none"/>
          <w:lang w:val="en-US" w:eastAsia="zh-CN"/>
        </w:rPr>
        <w:t>·</w:t>
      </w:r>
      <w:r>
        <w:rPr>
          <w:rFonts w:hint="default" w:ascii="Times New Roman" w:hAnsi="Times New Roman" w:eastAsia="仿宋_GB2312" w:cs="Times New Roman"/>
          <w:color w:val="auto"/>
          <w:spacing w:val="0"/>
          <w:sz w:val="30"/>
          <w:szCs w:val="30"/>
          <w:highlight w:val="none"/>
        </w:rPr>
        <w:t>11</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、2020年</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8</w:t>
      </w:r>
      <w:r>
        <w:rPr>
          <w:rFonts w:hint="default" w:ascii="Times New Roman" w:hAnsi="Times New Roman" w:eastAsia="仿宋_GB2312" w:cs="Times New Roman"/>
          <w:color w:val="auto"/>
          <w:spacing w:val="0"/>
          <w:sz w:val="30"/>
          <w:szCs w:val="30"/>
          <w:highlight w:val="none"/>
          <w:lang w:val="en-US" w:eastAsia="zh-CN"/>
        </w:rPr>
        <w:t>·</w:t>
      </w:r>
      <w:r>
        <w:rPr>
          <w:rFonts w:hint="default" w:ascii="Times New Roman" w:hAnsi="Times New Roman" w:eastAsia="仿宋_GB2312" w:cs="Times New Roman"/>
          <w:color w:val="auto"/>
          <w:spacing w:val="0"/>
          <w:sz w:val="30"/>
          <w:szCs w:val="30"/>
          <w:highlight w:val="none"/>
        </w:rPr>
        <w:t>12</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8</w:t>
      </w:r>
      <w:r>
        <w:rPr>
          <w:rFonts w:hint="default" w:ascii="Times New Roman" w:hAnsi="Times New Roman" w:eastAsia="仿宋_GB2312" w:cs="Times New Roman"/>
          <w:color w:val="auto"/>
          <w:spacing w:val="0"/>
          <w:sz w:val="30"/>
          <w:szCs w:val="30"/>
          <w:highlight w:val="none"/>
          <w:lang w:val="en-US" w:eastAsia="zh-CN"/>
        </w:rPr>
        <w:t>·</w:t>
      </w:r>
      <w:r>
        <w:rPr>
          <w:rFonts w:hint="default" w:ascii="Times New Roman" w:hAnsi="Times New Roman" w:eastAsia="仿宋_GB2312" w:cs="Times New Roman"/>
          <w:color w:val="auto"/>
          <w:spacing w:val="0"/>
          <w:sz w:val="30"/>
          <w:szCs w:val="30"/>
          <w:highlight w:val="none"/>
        </w:rPr>
        <w:t>17</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等历次洪水，给流域内人民群众生命财产造成了</w:t>
      </w:r>
      <w:r>
        <w:rPr>
          <w:rFonts w:hint="default" w:ascii="Times New Roman" w:hAnsi="Times New Roman" w:eastAsia="仿宋_GB2312" w:cs="Times New Roman"/>
          <w:color w:val="auto"/>
          <w:spacing w:val="0"/>
          <w:sz w:val="30"/>
          <w:szCs w:val="30"/>
          <w:highlight w:val="none"/>
          <w:lang w:val="en-US" w:eastAsia="zh-CN"/>
        </w:rPr>
        <w:t>严重</w:t>
      </w:r>
      <w:r>
        <w:rPr>
          <w:rFonts w:hint="default" w:ascii="Times New Roman" w:hAnsi="Times New Roman" w:eastAsia="仿宋_GB2312" w:cs="Times New Roman"/>
          <w:color w:val="auto"/>
          <w:spacing w:val="0"/>
          <w:sz w:val="30"/>
          <w:szCs w:val="30"/>
          <w:highlight w:val="none"/>
        </w:rPr>
        <w:t>损失</w:t>
      </w:r>
      <w:r>
        <w:rPr>
          <w:rFonts w:hint="default" w:ascii="Times New Roman" w:hAnsi="Times New Roman" w:eastAsia="仿宋_GB2312" w:cs="Times New Roman"/>
          <w:color w:val="auto"/>
          <w:spacing w:val="0"/>
          <w:sz w:val="30"/>
          <w:szCs w:val="30"/>
          <w:highlight w:val="none"/>
          <w:lang w:eastAsia="zh-CN"/>
        </w:rPr>
        <w:t>，</w:t>
      </w:r>
      <w:r>
        <w:rPr>
          <w:rFonts w:hint="default" w:ascii="Times New Roman" w:hAnsi="Times New Roman" w:eastAsia="仿宋_GB2312" w:cs="Times New Roman"/>
          <w:color w:val="auto"/>
          <w:spacing w:val="0"/>
          <w:sz w:val="30"/>
          <w:szCs w:val="30"/>
          <w:highlight w:val="none"/>
        </w:rPr>
        <w:t>特别是金堂县城近年来洪灾频发，制约当地社会经济发展。</w:t>
      </w:r>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highlight w:val="none"/>
        </w:rPr>
      </w:pPr>
      <w:r>
        <w:rPr>
          <w:rFonts w:hint="default" w:ascii="Times New Roman" w:hAnsi="Times New Roman" w:eastAsia="仿宋_GB2312" w:cs="Times New Roman"/>
          <w:color w:val="auto"/>
          <w:sz w:val="30"/>
          <w:szCs w:val="30"/>
          <w:highlight w:val="none"/>
        </w:rPr>
        <w:t>为</w:t>
      </w:r>
      <w:r>
        <w:rPr>
          <w:rFonts w:hint="default" w:ascii="Times New Roman" w:hAnsi="Times New Roman" w:eastAsia="仿宋_GB2312" w:cs="Times New Roman"/>
          <w:color w:val="auto"/>
          <w:sz w:val="30"/>
          <w:szCs w:val="30"/>
          <w:highlight w:val="none"/>
          <w:lang w:val="en-US" w:eastAsia="zh-CN"/>
        </w:rPr>
        <w:t>支撑</w:t>
      </w:r>
      <w:r>
        <w:rPr>
          <w:rFonts w:hint="default" w:ascii="Times New Roman" w:hAnsi="Times New Roman" w:eastAsia="仿宋_GB2312" w:cs="Times New Roman"/>
          <w:color w:val="auto"/>
          <w:sz w:val="30"/>
          <w:szCs w:val="30"/>
          <w:highlight w:val="none"/>
        </w:rPr>
        <w:t>流域经济社会可持续、高质量发展，统筹发展与安全，坚持人民至上、生命至上，切实践行</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两个坚持、三个转变</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防灾减灾救灾理念，四川省水利厅2021年3月正式启动沱江流域防洪规划编制工作，在有关市、县共同努力下，</w:t>
      </w:r>
      <w:r>
        <w:rPr>
          <w:rFonts w:hint="default" w:ascii="Times New Roman" w:hAnsi="Times New Roman" w:eastAsia="仿宋_GB2312" w:cs="Times New Roman"/>
          <w:color w:val="auto"/>
          <w:sz w:val="30"/>
          <w:szCs w:val="30"/>
          <w:highlight w:val="none"/>
          <w:lang w:val="en-US" w:eastAsia="zh-CN"/>
        </w:rPr>
        <w:t>于2022年12月</w:t>
      </w:r>
      <w:r>
        <w:rPr>
          <w:rFonts w:hint="default" w:ascii="Times New Roman" w:hAnsi="Times New Roman" w:eastAsia="仿宋_GB2312" w:cs="Times New Roman"/>
          <w:color w:val="auto"/>
          <w:sz w:val="30"/>
          <w:szCs w:val="30"/>
          <w:highlight w:val="none"/>
        </w:rPr>
        <w:t>编制完成了《四川省沱江流域防洪规划</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送审稿</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经</w:t>
      </w:r>
      <w:r>
        <w:rPr>
          <w:rFonts w:hint="default" w:ascii="Times New Roman" w:hAnsi="Times New Roman" w:eastAsia="仿宋_GB2312" w:cs="Times New Roman"/>
          <w:color w:val="auto"/>
          <w:sz w:val="30"/>
          <w:szCs w:val="30"/>
          <w:highlight w:val="none"/>
          <w:lang w:eastAsia="zh-CN"/>
        </w:rPr>
        <w:t>专家论证，征求有关市政府、省直相关部门</w:t>
      </w:r>
      <w:r>
        <w:rPr>
          <w:rFonts w:hint="default" w:ascii="Times New Roman" w:hAnsi="Times New Roman" w:eastAsia="仿宋_GB2312" w:cs="Times New Roman"/>
          <w:color w:val="auto"/>
          <w:sz w:val="30"/>
          <w:szCs w:val="30"/>
          <w:highlight w:val="none"/>
          <w:lang w:val="en-US" w:eastAsia="zh-CN"/>
        </w:rPr>
        <w:t>和</w:t>
      </w:r>
      <w:r>
        <w:rPr>
          <w:rFonts w:hint="default" w:ascii="Times New Roman" w:hAnsi="Times New Roman" w:eastAsia="仿宋_GB2312" w:cs="Times New Roman"/>
          <w:color w:val="auto"/>
          <w:sz w:val="30"/>
          <w:szCs w:val="30"/>
          <w:highlight w:val="none"/>
          <w:lang w:eastAsia="zh-CN"/>
        </w:rPr>
        <w:t>社会公众意见，</w:t>
      </w:r>
      <w:r>
        <w:rPr>
          <w:rFonts w:hint="default" w:ascii="Times New Roman" w:hAnsi="Times New Roman" w:eastAsia="仿宋_GB2312" w:cs="Times New Roman"/>
          <w:color w:val="auto"/>
          <w:sz w:val="30"/>
          <w:szCs w:val="30"/>
          <w:highlight w:val="none"/>
          <w:lang w:val="en-US" w:eastAsia="zh-CN"/>
        </w:rPr>
        <w:t>并进行了</w:t>
      </w:r>
      <w:r>
        <w:rPr>
          <w:rFonts w:hint="default" w:ascii="Times New Roman" w:hAnsi="Times New Roman" w:eastAsia="仿宋_GB2312" w:cs="Times New Roman"/>
          <w:color w:val="auto"/>
          <w:sz w:val="30"/>
          <w:szCs w:val="30"/>
          <w:highlight w:val="none"/>
          <w:lang w:eastAsia="zh-CN"/>
        </w:rPr>
        <w:t>社会稳定风险评估；省委政法委对社会稳定风险评估报告进行了备案。经多次修改完善，形成了《四川省沱江流域防洪规划》</w:t>
      </w:r>
      <w:r>
        <w:rPr>
          <w:rFonts w:hint="default" w:ascii="Times New Roman" w:hAnsi="Times New Roman" w:eastAsia="仿宋_GB2312" w:cs="Times New Roman"/>
          <w:color w:val="auto"/>
          <w:sz w:val="30"/>
          <w:szCs w:val="30"/>
          <w:highlight w:val="none"/>
        </w:rPr>
        <w:t>（以下简称《防洪规划》）。</w:t>
      </w:r>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highlight w:val="none"/>
        </w:rPr>
      </w:pPr>
      <w:r>
        <w:rPr>
          <w:rFonts w:hint="default" w:ascii="Times New Roman" w:hAnsi="Times New Roman" w:eastAsia="仿宋_GB2312" w:cs="Times New Roman"/>
          <w:color w:val="auto"/>
          <w:sz w:val="30"/>
          <w:szCs w:val="30"/>
          <w:highlight w:val="none"/>
        </w:rPr>
        <w:t>《防洪规划》</w:t>
      </w:r>
      <w:r>
        <w:rPr>
          <w:rFonts w:hint="default" w:ascii="Times New Roman" w:hAnsi="Times New Roman" w:eastAsia="仿宋_GB2312" w:cs="Times New Roman"/>
          <w:color w:val="auto"/>
          <w:sz w:val="30"/>
          <w:szCs w:val="30"/>
          <w:highlight w:val="none"/>
          <w:lang w:val="en-US" w:eastAsia="zh-CN"/>
        </w:rPr>
        <w:t>拟定的</w:t>
      </w:r>
      <w:r>
        <w:rPr>
          <w:rFonts w:hint="default" w:ascii="Times New Roman" w:hAnsi="Times New Roman" w:eastAsia="仿宋_GB2312" w:cs="Times New Roman"/>
          <w:color w:val="auto"/>
          <w:sz w:val="30"/>
          <w:szCs w:val="30"/>
          <w:highlight w:val="none"/>
        </w:rPr>
        <w:t>规划</w:t>
      </w:r>
      <w:r>
        <w:rPr>
          <w:rFonts w:hint="default" w:ascii="Times New Roman" w:hAnsi="Times New Roman" w:eastAsia="仿宋_GB2312" w:cs="Times New Roman"/>
          <w:color w:val="auto"/>
          <w:sz w:val="30"/>
          <w:szCs w:val="30"/>
          <w:highlight w:val="none"/>
          <w:lang w:val="en-US" w:eastAsia="zh-CN"/>
        </w:rPr>
        <w:t>水平年为2035年，远景展望至2050年。规划采用分期实施方案。</w:t>
      </w:r>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highlight w:val="none"/>
          <w:lang w:val="en-US" w:eastAsia="zh-CN"/>
        </w:rPr>
      </w:pPr>
      <w:r>
        <w:rPr>
          <w:rFonts w:hint="default" w:ascii="Times New Roman" w:hAnsi="Times New Roman" w:eastAsia="仿宋_GB2312" w:cs="Times New Roman"/>
          <w:color w:val="auto"/>
          <w:sz w:val="30"/>
          <w:szCs w:val="30"/>
          <w:highlight w:val="none"/>
        </w:rPr>
        <w:t>《防洪规划》确定的总体布局：根据沱江流域地形地貌和水文特性，</w:t>
      </w:r>
      <w:r>
        <w:rPr>
          <w:rFonts w:hint="default" w:ascii="Times New Roman" w:hAnsi="Times New Roman" w:eastAsia="仿宋_GB2312" w:cs="Times New Roman"/>
          <w:color w:val="auto"/>
          <w:sz w:val="30"/>
          <w:szCs w:val="30"/>
          <w:highlight w:val="none"/>
          <w:lang w:val="en-US" w:eastAsia="zh-CN"/>
        </w:rPr>
        <w:t>提出</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以泄为主、蓄泄兼筹</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的</w:t>
      </w:r>
      <w:r>
        <w:rPr>
          <w:rFonts w:hint="default" w:ascii="Times New Roman" w:hAnsi="Times New Roman" w:eastAsia="仿宋_GB2312" w:cs="Times New Roman"/>
          <w:color w:val="auto"/>
          <w:sz w:val="30"/>
          <w:szCs w:val="30"/>
          <w:highlight w:val="none"/>
          <w:lang w:val="en-US" w:eastAsia="zh-CN"/>
        </w:rPr>
        <w:t>思路</w:t>
      </w:r>
      <w:r>
        <w:rPr>
          <w:rFonts w:hint="default" w:ascii="Times New Roman" w:hAnsi="Times New Roman" w:eastAsia="仿宋_GB2312" w:cs="Times New Roman"/>
          <w:color w:val="auto"/>
          <w:sz w:val="30"/>
          <w:szCs w:val="30"/>
          <w:highlight w:val="none"/>
        </w:rPr>
        <w:t>，因地制宜</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分段施策，以堤防为主，堤库结合，辅以河道整治，构建工程措施和非工程措施相结合的防洪总体布局方案。</w:t>
      </w:r>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highlight w:val="none"/>
        </w:rPr>
      </w:pPr>
      <w:r>
        <w:rPr>
          <w:rFonts w:hint="default" w:ascii="Times New Roman" w:hAnsi="Times New Roman" w:eastAsia="仿宋_GB2312" w:cs="Times New Roman"/>
          <w:color w:val="auto"/>
          <w:sz w:val="30"/>
          <w:szCs w:val="30"/>
          <w:highlight w:val="none"/>
        </w:rPr>
        <w:t>《防洪规划》提出的重点项目：</w:t>
      </w:r>
      <w:r>
        <w:rPr>
          <w:rFonts w:hint="default" w:ascii="Times New Roman" w:hAnsi="Times New Roman" w:eastAsia="仿宋_GB2312" w:cs="Times New Roman"/>
          <w:color w:val="auto"/>
          <w:sz w:val="30"/>
          <w:szCs w:val="30"/>
          <w:highlight w:val="none"/>
          <w:lang w:val="en-US" w:eastAsia="zh-CN"/>
        </w:rPr>
        <w:t>近期规划</w:t>
      </w:r>
      <w:r>
        <w:rPr>
          <w:rFonts w:hint="default" w:ascii="Times New Roman" w:hAnsi="Times New Roman" w:eastAsia="仿宋_GB2312" w:cs="Times New Roman"/>
          <w:color w:val="auto"/>
          <w:sz w:val="30"/>
          <w:szCs w:val="30"/>
          <w:highlight w:val="none"/>
        </w:rPr>
        <w:t>新建高景关、金花寺、东林寺</w:t>
      </w:r>
      <w:r>
        <w:rPr>
          <w:rFonts w:hint="default" w:ascii="Times New Roman" w:hAnsi="Times New Roman" w:eastAsia="仿宋_GB2312" w:cs="Times New Roman"/>
          <w:color w:val="auto"/>
          <w:sz w:val="30"/>
          <w:szCs w:val="30"/>
          <w:highlight w:val="none"/>
          <w:lang w:val="en-US" w:eastAsia="zh-CN"/>
        </w:rPr>
        <w:t>等</w:t>
      </w:r>
      <w:r>
        <w:rPr>
          <w:rFonts w:hint="default" w:ascii="Times New Roman" w:hAnsi="Times New Roman" w:eastAsia="仿宋_GB2312" w:cs="Times New Roman"/>
          <w:color w:val="auto"/>
          <w:sz w:val="30"/>
          <w:szCs w:val="30"/>
          <w:highlight w:val="none"/>
        </w:rPr>
        <w:t>水库</w:t>
      </w:r>
      <w:r>
        <w:rPr>
          <w:rFonts w:hint="default" w:ascii="Times New Roman" w:hAnsi="Times New Roman" w:eastAsia="仿宋_GB2312" w:cs="Times New Roman"/>
          <w:color w:val="auto"/>
          <w:sz w:val="30"/>
          <w:szCs w:val="30"/>
          <w:highlight w:val="none"/>
          <w:lang w:val="en-US" w:eastAsia="zh-CN"/>
        </w:rPr>
        <w:t>和</w:t>
      </w:r>
      <w:r>
        <w:rPr>
          <w:rFonts w:hint="default" w:ascii="Times New Roman" w:hAnsi="Times New Roman" w:eastAsia="仿宋_GB2312" w:cs="Times New Roman"/>
          <w:color w:val="auto"/>
          <w:sz w:val="30"/>
          <w:szCs w:val="30"/>
          <w:highlight w:val="none"/>
        </w:rPr>
        <w:t>毗河分蓄洪工程，新建堤防</w:t>
      </w:r>
      <w:r>
        <w:rPr>
          <w:rFonts w:hint="default" w:ascii="Times New Roman" w:hAnsi="Times New Roman" w:eastAsia="仿宋_GB2312" w:cs="Times New Roman"/>
          <w:color w:val="auto"/>
          <w:sz w:val="30"/>
          <w:szCs w:val="30"/>
          <w:highlight w:val="none"/>
          <w:lang w:val="en-US" w:eastAsia="zh-CN"/>
        </w:rPr>
        <w:t>753km</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护岸</w:t>
      </w:r>
      <w:r>
        <w:rPr>
          <w:rFonts w:hint="default" w:ascii="Times New Roman" w:hAnsi="Times New Roman" w:eastAsia="仿宋_GB2312" w:cs="Times New Roman"/>
          <w:color w:val="auto"/>
          <w:sz w:val="30"/>
          <w:szCs w:val="30"/>
          <w:highlight w:val="none"/>
          <w:lang w:val="en-US" w:eastAsia="zh-CN"/>
        </w:rPr>
        <w:t>70</w:t>
      </w:r>
      <w:r>
        <w:rPr>
          <w:rFonts w:hint="default" w:ascii="Times New Roman" w:hAnsi="Times New Roman" w:eastAsia="仿宋_GB2312" w:cs="Times New Roman"/>
          <w:color w:val="auto"/>
          <w:sz w:val="30"/>
          <w:szCs w:val="30"/>
          <w:highlight w:val="none"/>
        </w:rPr>
        <w:t>km，</w:t>
      </w:r>
      <w:r>
        <w:rPr>
          <w:rFonts w:hint="default" w:ascii="Times New Roman" w:hAnsi="Times New Roman" w:eastAsia="仿宋_GB2312" w:cs="Times New Roman"/>
          <w:color w:val="auto"/>
          <w:sz w:val="30"/>
          <w:szCs w:val="30"/>
          <w:highlight w:val="none"/>
          <w:lang w:val="en-US" w:eastAsia="zh-CN"/>
        </w:rPr>
        <w:t>整治</w:t>
      </w:r>
      <w:r>
        <w:rPr>
          <w:rFonts w:hint="default" w:ascii="Times New Roman" w:hAnsi="Times New Roman" w:eastAsia="仿宋_GB2312" w:cs="Times New Roman"/>
          <w:color w:val="auto"/>
          <w:sz w:val="30"/>
          <w:szCs w:val="30"/>
          <w:highlight w:val="none"/>
        </w:rPr>
        <w:t>堤防1</w:t>
      </w:r>
      <w:r>
        <w:rPr>
          <w:rFonts w:hint="default" w:ascii="Times New Roman" w:hAnsi="Times New Roman" w:eastAsia="仿宋_GB2312" w:cs="Times New Roman"/>
          <w:color w:val="auto"/>
          <w:sz w:val="30"/>
          <w:szCs w:val="30"/>
          <w:highlight w:val="none"/>
          <w:lang w:val="en-US" w:eastAsia="zh-CN"/>
        </w:rPr>
        <w:t>26</w:t>
      </w:r>
      <w:r>
        <w:rPr>
          <w:rFonts w:hint="default" w:ascii="Times New Roman" w:hAnsi="Times New Roman" w:eastAsia="仿宋_GB2312" w:cs="Times New Roman"/>
          <w:color w:val="auto"/>
          <w:sz w:val="30"/>
          <w:szCs w:val="30"/>
          <w:highlight w:val="none"/>
        </w:rPr>
        <w:t>km</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实施河道</w:t>
      </w:r>
      <w:r>
        <w:rPr>
          <w:rFonts w:hint="default" w:ascii="Times New Roman" w:hAnsi="Times New Roman" w:eastAsia="仿宋_GB2312" w:cs="Times New Roman"/>
          <w:color w:val="auto"/>
          <w:sz w:val="30"/>
          <w:szCs w:val="30"/>
          <w:highlight w:val="none"/>
          <w:lang w:val="en-US" w:eastAsia="zh-CN"/>
        </w:rPr>
        <w:t>整治198km，</w:t>
      </w:r>
      <w:r>
        <w:rPr>
          <w:rFonts w:hint="default" w:ascii="Times New Roman" w:hAnsi="Times New Roman" w:eastAsia="仿宋_GB2312" w:cs="Times New Roman"/>
          <w:color w:val="auto"/>
          <w:sz w:val="30"/>
          <w:szCs w:val="30"/>
          <w:highlight w:val="none"/>
          <w:lang w:eastAsia="zh-CN"/>
        </w:rPr>
        <w:t>规划实施</w:t>
      </w:r>
      <w:r>
        <w:rPr>
          <w:rFonts w:hint="default" w:ascii="Times New Roman" w:hAnsi="Times New Roman" w:eastAsia="仿宋_GB2312" w:cs="Times New Roman"/>
          <w:color w:val="auto"/>
          <w:sz w:val="30"/>
          <w:szCs w:val="30"/>
          <w:highlight w:val="none"/>
        </w:rPr>
        <w:t>2</w:t>
      </w:r>
      <w:r>
        <w:rPr>
          <w:rFonts w:hint="default" w:ascii="Times New Roman" w:hAnsi="Times New Roman" w:eastAsia="仿宋_GB2312" w:cs="Times New Roman"/>
          <w:color w:val="auto"/>
          <w:sz w:val="30"/>
          <w:szCs w:val="30"/>
          <w:highlight w:val="none"/>
          <w:lang w:val="en-US" w:eastAsia="zh-CN"/>
        </w:rPr>
        <w:t>29</w:t>
      </w:r>
      <w:r>
        <w:rPr>
          <w:rFonts w:hint="default" w:ascii="Times New Roman" w:hAnsi="Times New Roman" w:eastAsia="仿宋_GB2312" w:cs="Times New Roman"/>
          <w:color w:val="auto"/>
          <w:sz w:val="30"/>
          <w:szCs w:val="30"/>
          <w:highlight w:val="none"/>
        </w:rPr>
        <w:t>座</w:t>
      </w:r>
      <w:r>
        <w:rPr>
          <w:rFonts w:hint="default" w:ascii="Times New Roman" w:hAnsi="Times New Roman" w:eastAsia="仿宋_GB2312" w:cs="Times New Roman"/>
          <w:color w:val="auto"/>
          <w:sz w:val="30"/>
          <w:szCs w:val="30"/>
          <w:highlight w:val="none"/>
          <w:lang w:eastAsia="zh-CN"/>
        </w:rPr>
        <w:t>病险水库</w:t>
      </w:r>
      <w:r>
        <w:rPr>
          <w:rFonts w:hint="default" w:ascii="Times New Roman" w:hAnsi="Times New Roman" w:eastAsia="仿宋_GB2312" w:cs="Times New Roman"/>
          <w:color w:val="auto"/>
          <w:sz w:val="30"/>
          <w:szCs w:val="30"/>
          <w:highlight w:val="none"/>
        </w:rPr>
        <w:t>和</w:t>
      </w:r>
      <w:r>
        <w:rPr>
          <w:rFonts w:hint="default" w:ascii="Times New Roman" w:hAnsi="Times New Roman" w:eastAsia="仿宋_GB2312" w:cs="Times New Roman"/>
          <w:color w:val="auto"/>
          <w:sz w:val="30"/>
          <w:szCs w:val="30"/>
          <w:highlight w:val="none"/>
          <w:lang w:val="en-US" w:eastAsia="zh-CN"/>
        </w:rPr>
        <w:t>6座</w:t>
      </w:r>
      <w:r>
        <w:rPr>
          <w:rFonts w:hint="default" w:ascii="Times New Roman" w:hAnsi="Times New Roman" w:eastAsia="仿宋_GB2312" w:cs="Times New Roman"/>
          <w:color w:val="auto"/>
          <w:sz w:val="30"/>
          <w:szCs w:val="30"/>
          <w:highlight w:val="none"/>
        </w:rPr>
        <w:t>病险水闸</w:t>
      </w:r>
      <w:r>
        <w:rPr>
          <w:rFonts w:hint="default" w:ascii="Times New Roman" w:hAnsi="Times New Roman" w:eastAsia="仿宋_GB2312" w:cs="Times New Roman"/>
          <w:color w:val="auto"/>
          <w:sz w:val="30"/>
          <w:szCs w:val="30"/>
          <w:highlight w:val="none"/>
          <w:lang w:val="en-US" w:eastAsia="zh-CN"/>
        </w:rPr>
        <w:t>除险加固</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规划实施</w:t>
      </w:r>
      <w:r>
        <w:rPr>
          <w:rFonts w:hint="default" w:ascii="Times New Roman" w:hAnsi="Times New Roman" w:eastAsia="仿宋_GB2312" w:cs="Times New Roman"/>
          <w:color w:val="auto"/>
          <w:sz w:val="30"/>
          <w:szCs w:val="30"/>
          <w:highlight w:val="none"/>
        </w:rPr>
        <w:t>154条山洪沟治理</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远景</w:t>
      </w:r>
      <w:r>
        <w:rPr>
          <w:rFonts w:hint="default" w:ascii="Times New Roman" w:hAnsi="Times New Roman" w:eastAsia="仿宋_GB2312" w:cs="Times New Roman"/>
          <w:color w:val="auto"/>
          <w:sz w:val="30"/>
          <w:szCs w:val="30"/>
          <w:highlight w:val="none"/>
          <w:lang w:val="en-US" w:eastAsia="zh-CN"/>
        </w:rPr>
        <w:t>规划新建</w:t>
      </w:r>
      <w:r>
        <w:rPr>
          <w:rFonts w:hint="default" w:ascii="Times New Roman" w:hAnsi="Times New Roman" w:eastAsia="仿宋_GB2312" w:cs="Times New Roman"/>
          <w:color w:val="auto"/>
          <w:sz w:val="30"/>
          <w:szCs w:val="30"/>
          <w:highlight w:val="none"/>
        </w:rPr>
        <w:t>中河蓄滞洪工程、麻柳湾</w:t>
      </w:r>
      <w:r>
        <w:rPr>
          <w:rFonts w:hint="default" w:ascii="Times New Roman" w:hAnsi="Times New Roman" w:eastAsia="仿宋_GB2312" w:cs="Times New Roman"/>
          <w:color w:val="auto"/>
          <w:sz w:val="30"/>
          <w:szCs w:val="30"/>
          <w:highlight w:val="none"/>
          <w:lang w:val="en-US" w:eastAsia="zh-CN"/>
        </w:rPr>
        <w:t>分蓄洪工程、</w:t>
      </w:r>
      <w:r>
        <w:rPr>
          <w:rFonts w:hint="default" w:ascii="Times New Roman" w:hAnsi="Times New Roman" w:eastAsia="仿宋_GB2312" w:cs="Times New Roman"/>
          <w:color w:val="auto"/>
          <w:sz w:val="30"/>
          <w:szCs w:val="30"/>
          <w:highlight w:val="none"/>
        </w:rPr>
        <w:t>钟家湾水库等</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新建堤防</w:t>
      </w:r>
      <w:r>
        <w:rPr>
          <w:rFonts w:hint="default" w:ascii="Times New Roman" w:hAnsi="Times New Roman" w:eastAsia="仿宋_GB2312" w:cs="Times New Roman"/>
          <w:color w:val="auto"/>
          <w:sz w:val="30"/>
          <w:szCs w:val="30"/>
          <w:highlight w:val="none"/>
          <w:lang w:val="en-US" w:eastAsia="zh-CN"/>
        </w:rPr>
        <w:t>340</w:t>
      </w:r>
      <w:r>
        <w:rPr>
          <w:rFonts w:hint="default" w:ascii="Times New Roman" w:hAnsi="Times New Roman" w:eastAsia="仿宋_GB2312" w:cs="Times New Roman"/>
          <w:color w:val="auto"/>
          <w:sz w:val="30"/>
          <w:szCs w:val="30"/>
          <w:highlight w:val="none"/>
        </w:rPr>
        <w:t>km、护岸</w:t>
      </w:r>
      <w:r>
        <w:rPr>
          <w:rFonts w:hint="default" w:ascii="Times New Roman" w:hAnsi="Times New Roman" w:eastAsia="仿宋_GB2312" w:cs="Times New Roman"/>
          <w:color w:val="auto"/>
          <w:sz w:val="30"/>
          <w:szCs w:val="30"/>
          <w:highlight w:val="none"/>
          <w:lang w:val="en-US" w:eastAsia="zh-CN"/>
        </w:rPr>
        <w:t>116</w:t>
      </w:r>
      <w:r>
        <w:rPr>
          <w:rFonts w:hint="default" w:ascii="Times New Roman" w:hAnsi="Times New Roman" w:eastAsia="仿宋_GB2312" w:cs="Times New Roman"/>
          <w:color w:val="auto"/>
          <w:sz w:val="30"/>
          <w:szCs w:val="30"/>
          <w:highlight w:val="none"/>
        </w:rPr>
        <w:t xml:space="preserve"> km，</w:t>
      </w:r>
      <w:r>
        <w:rPr>
          <w:rFonts w:hint="default" w:ascii="Times New Roman" w:hAnsi="Times New Roman" w:eastAsia="仿宋_GB2312" w:cs="Times New Roman"/>
          <w:color w:val="auto"/>
          <w:sz w:val="30"/>
          <w:szCs w:val="30"/>
          <w:highlight w:val="none"/>
          <w:lang w:val="en-US" w:eastAsia="zh-CN"/>
        </w:rPr>
        <w:t>整治</w:t>
      </w:r>
      <w:r>
        <w:rPr>
          <w:rFonts w:hint="default" w:ascii="Times New Roman" w:hAnsi="Times New Roman" w:eastAsia="仿宋_GB2312" w:cs="Times New Roman"/>
          <w:color w:val="auto"/>
          <w:sz w:val="30"/>
          <w:szCs w:val="30"/>
          <w:highlight w:val="none"/>
        </w:rPr>
        <w:t>堤防</w:t>
      </w:r>
      <w:r>
        <w:rPr>
          <w:rFonts w:hint="default" w:ascii="Times New Roman" w:hAnsi="Times New Roman" w:eastAsia="仿宋_GB2312" w:cs="Times New Roman"/>
          <w:color w:val="auto"/>
          <w:sz w:val="30"/>
          <w:szCs w:val="30"/>
          <w:highlight w:val="none"/>
          <w:lang w:val="en-US" w:eastAsia="zh-CN"/>
        </w:rPr>
        <w:t>27</w:t>
      </w:r>
      <w:r>
        <w:rPr>
          <w:rFonts w:hint="default" w:ascii="Times New Roman" w:hAnsi="Times New Roman" w:eastAsia="仿宋_GB2312" w:cs="Times New Roman"/>
          <w:color w:val="auto"/>
          <w:sz w:val="30"/>
          <w:szCs w:val="30"/>
          <w:highlight w:val="none"/>
        </w:rPr>
        <w:t>km</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实施河道</w:t>
      </w:r>
      <w:r>
        <w:rPr>
          <w:rFonts w:hint="default" w:ascii="Times New Roman" w:hAnsi="Times New Roman" w:eastAsia="仿宋_GB2312" w:cs="Times New Roman"/>
          <w:color w:val="auto"/>
          <w:sz w:val="30"/>
          <w:szCs w:val="30"/>
          <w:highlight w:val="none"/>
          <w:lang w:val="en-US" w:eastAsia="zh-CN"/>
        </w:rPr>
        <w:t>整治185km</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新（改）建水文站6处</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水位站38处，新建水库水情通讯系统82处，</w:t>
      </w:r>
      <w:r>
        <w:rPr>
          <w:rFonts w:hint="default" w:ascii="Times New Roman" w:hAnsi="Times New Roman" w:eastAsia="仿宋_GB2312" w:cs="Times New Roman"/>
          <w:color w:val="auto"/>
          <w:sz w:val="30"/>
          <w:szCs w:val="30"/>
          <w:highlight w:val="none"/>
          <w:lang w:val="en-US" w:eastAsia="zh-CN"/>
        </w:rPr>
        <w:t>建设</w:t>
      </w:r>
      <w:r>
        <w:rPr>
          <w:rFonts w:hint="default" w:ascii="Times New Roman" w:hAnsi="Times New Roman" w:eastAsia="仿宋_GB2312" w:cs="Times New Roman"/>
          <w:color w:val="auto"/>
          <w:sz w:val="30"/>
          <w:szCs w:val="30"/>
          <w:highlight w:val="none"/>
        </w:rPr>
        <w:t>沱江流域水旱灾害联防联控监测预警中心，完善非工程措施等。规划</w:t>
      </w:r>
      <w:r>
        <w:rPr>
          <w:rFonts w:hint="default" w:ascii="Times New Roman" w:hAnsi="Times New Roman" w:eastAsia="仿宋_GB2312" w:cs="Times New Roman"/>
          <w:color w:val="auto"/>
          <w:sz w:val="30"/>
          <w:szCs w:val="30"/>
          <w:highlight w:val="none"/>
          <w:lang w:val="en-US" w:eastAsia="zh-CN"/>
        </w:rPr>
        <w:t>匡算</w:t>
      </w:r>
      <w:r>
        <w:rPr>
          <w:rFonts w:hint="default" w:ascii="Times New Roman" w:hAnsi="Times New Roman" w:eastAsia="仿宋_GB2312" w:cs="Times New Roman"/>
          <w:color w:val="auto"/>
          <w:sz w:val="30"/>
          <w:szCs w:val="30"/>
          <w:highlight w:val="none"/>
        </w:rPr>
        <w:t>总投资87</w:t>
      </w:r>
      <w:r>
        <w:rPr>
          <w:rFonts w:hint="default" w:ascii="Times New Roman" w:hAnsi="Times New Roman" w:eastAsia="仿宋_GB2312" w:cs="Times New Roman"/>
          <w:color w:val="auto"/>
          <w:sz w:val="30"/>
          <w:szCs w:val="30"/>
          <w:highlight w:val="none"/>
          <w:lang w:val="en-US" w:eastAsia="zh-CN"/>
        </w:rPr>
        <w:t>3</w:t>
      </w:r>
      <w:r>
        <w:rPr>
          <w:rFonts w:hint="default" w:ascii="Times New Roman" w:hAnsi="Times New Roman" w:eastAsia="仿宋_GB2312" w:cs="Times New Roman"/>
          <w:color w:val="auto"/>
          <w:sz w:val="30"/>
          <w:szCs w:val="30"/>
          <w:highlight w:val="none"/>
        </w:rPr>
        <w:t>亿元</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其中近期总投资513亿元</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rPr>
        <w:t>其中工程部分投资61</w:t>
      </w:r>
      <w:r>
        <w:rPr>
          <w:rFonts w:hint="default" w:ascii="Times New Roman" w:hAnsi="Times New Roman" w:eastAsia="仿宋_GB2312" w:cs="Times New Roman"/>
          <w:color w:val="auto"/>
          <w:sz w:val="30"/>
          <w:szCs w:val="30"/>
          <w:highlight w:val="none"/>
          <w:lang w:val="en-US" w:eastAsia="zh-CN"/>
        </w:rPr>
        <w:t>6</w:t>
      </w:r>
      <w:r>
        <w:rPr>
          <w:rFonts w:hint="default" w:ascii="Times New Roman" w:hAnsi="Times New Roman" w:eastAsia="仿宋_GB2312" w:cs="Times New Roman"/>
          <w:color w:val="auto"/>
          <w:sz w:val="30"/>
          <w:szCs w:val="30"/>
          <w:highlight w:val="none"/>
        </w:rPr>
        <w:t>亿元，</w:t>
      </w:r>
      <w:r>
        <w:rPr>
          <w:rFonts w:hint="default" w:ascii="Times New Roman" w:hAnsi="Times New Roman" w:eastAsia="仿宋_GB2312" w:cs="Times New Roman"/>
          <w:color w:val="auto"/>
          <w:sz w:val="30"/>
          <w:szCs w:val="30"/>
          <w:highlight w:val="none"/>
          <w:lang w:eastAsia="zh-CN"/>
        </w:rPr>
        <w:t>建设征地</w:t>
      </w:r>
      <w:r>
        <w:rPr>
          <w:rFonts w:hint="default" w:ascii="Times New Roman" w:hAnsi="Times New Roman" w:eastAsia="仿宋_GB2312" w:cs="Times New Roman"/>
          <w:color w:val="auto"/>
          <w:sz w:val="30"/>
          <w:szCs w:val="30"/>
          <w:highlight w:val="none"/>
        </w:rPr>
        <w:t>移民部分投资244亿元，环境保护投资</w:t>
      </w:r>
      <w:r>
        <w:rPr>
          <w:rFonts w:hint="default" w:ascii="Times New Roman" w:hAnsi="Times New Roman" w:eastAsia="仿宋_GB2312" w:cs="Times New Roman"/>
          <w:color w:val="auto"/>
          <w:sz w:val="30"/>
          <w:szCs w:val="30"/>
          <w:highlight w:val="none"/>
          <w:lang w:eastAsia="zh-CN"/>
        </w:rPr>
        <w:t>4</w:t>
      </w:r>
      <w:r>
        <w:rPr>
          <w:rFonts w:hint="default" w:ascii="Times New Roman" w:hAnsi="Times New Roman" w:eastAsia="仿宋_GB2312" w:cs="Times New Roman"/>
          <w:color w:val="auto"/>
          <w:sz w:val="30"/>
          <w:szCs w:val="30"/>
          <w:highlight w:val="none"/>
        </w:rPr>
        <w:t>亿元，水土保持工程投资9亿元。</w:t>
      </w:r>
    </w:p>
    <w:p>
      <w:pPr>
        <w:keepNext w:val="0"/>
        <w:keepLines w:val="0"/>
        <w:pageBreakBefore w:val="0"/>
        <w:widowControl w:val="0"/>
        <w:kinsoku/>
        <w:wordWrap/>
        <w:overflowPunct/>
        <w:topLinePunct w:val="0"/>
        <w:autoSpaceDE/>
        <w:autoSpaceDN/>
        <w:bidi w:val="0"/>
        <w:adjustRightInd/>
        <w:snapToGrid/>
        <w:spacing w:line="580" w:lineRule="exact"/>
        <w:ind w:firstLine="564" w:firstLineChars="200"/>
        <w:textAlignment w:val="auto"/>
        <w:rPr>
          <w:rFonts w:hint="default" w:ascii="Times New Roman" w:hAnsi="Times New Roman" w:eastAsia="仿宋_GB2312" w:cs="Times New Roman"/>
          <w:color w:val="auto"/>
          <w:sz w:val="30"/>
          <w:szCs w:val="30"/>
          <w:highlight w:val="none"/>
        </w:rPr>
      </w:pPr>
      <w:r>
        <w:rPr>
          <w:rFonts w:hint="default" w:ascii="Times New Roman" w:hAnsi="Times New Roman" w:eastAsia="仿宋_GB2312" w:cs="Times New Roman"/>
          <w:color w:val="auto"/>
          <w:sz w:val="30"/>
          <w:szCs w:val="30"/>
          <w:highlight w:val="none"/>
        </w:rPr>
        <w:t>《防洪规划》</w:t>
      </w:r>
      <w:r>
        <w:rPr>
          <w:rFonts w:hint="default" w:ascii="Times New Roman" w:hAnsi="Times New Roman" w:eastAsia="仿宋_GB2312" w:cs="Times New Roman"/>
          <w:color w:val="auto"/>
          <w:sz w:val="30"/>
          <w:szCs w:val="30"/>
          <w:highlight w:val="none"/>
          <w:lang w:val="en-US" w:eastAsia="zh-CN"/>
        </w:rPr>
        <w:t>实施后</w:t>
      </w:r>
      <w:r>
        <w:rPr>
          <w:rFonts w:hint="default" w:ascii="Times New Roman" w:hAnsi="Times New Roman" w:eastAsia="仿宋_GB2312" w:cs="Times New Roman"/>
          <w:color w:val="auto"/>
          <w:sz w:val="30"/>
          <w:szCs w:val="30"/>
          <w:highlight w:val="none"/>
        </w:rPr>
        <w:t>的</w:t>
      </w:r>
      <w:r>
        <w:rPr>
          <w:rFonts w:hint="default" w:ascii="Times New Roman" w:hAnsi="Times New Roman" w:eastAsia="仿宋_GB2312" w:cs="Times New Roman"/>
          <w:color w:val="auto"/>
          <w:sz w:val="30"/>
          <w:szCs w:val="30"/>
          <w:highlight w:val="none"/>
          <w:lang w:val="en-US" w:eastAsia="zh-CN"/>
        </w:rPr>
        <w:t>效果：</w:t>
      </w:r>
      <w:r>
        <w:rPr>
          <w:rFonts w:hint="default" w:ascii="Times New Roman" w:hAnsi="Times New Roman" w:eastAsia="仿宋_GB2312" w:cs="Times New Roman"/>
          <w:color w:val="auto"/>
          <w:sz w:val="30"/>
          <w:szCs w:val="30"/>
          <w:highlight w:val="none"/>
        </w:rPr>
        <w:t>地级市城区以及重点保护对象防洪标准达50年一遇</w:t>
      </w:r>
      <w:r>
        <w:rPr>
          <w:rFonts w:hint="default" w:ascii="Times New Roman" w:hAnsi="Times New Roman" w:eastAsia="仿宋_GB2312" w:cs="Times New Roman"/>
          <w:color w:val="auto"/>
          <w:sz w:val="30"/>
          <w:szCs w:val="30"/>
          <w:highlight w:val="none"/>
          <w:lang w:eastAsia="zh-CN"/>
        </w:rPr>
        <w:t>以上</w:t>
      </w:r>
      <w:r>
        <w:rPr>
          <w:rFonts w:hint="default" w:ascii="Times New Roman" w:hAnsi="Times New Roman" w:eastAsia="仿宋_GB2312" w:cs="Times New Roman"/>
          <w:color w:val="auto"/>
          <w:sz w:val="30"/>
          <w:szCs w:val="30"/>
          <w:highlight w:val="none"/>
        </w:rPr>
        <w:t>，县级城市防洪标准达20</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50</w:t>
      </w:r>
      <w:r>
        <w:rPr>
          <w:rFonts w:hint="default" w:ascii="Times New Roman" w:hAnsi="Times New Roman" w:eastAsia="仿宋_GB2312" w:cs="Times New Roman"/>
          <w:color w:val="auto"/>
          <w:sz w:val="30"/>
          <w:szCs w:val="30"/>
          <w:highlight w:val="none"/>
        </w:rPr>
        <w:t>年一遇，乡镇和相对集中居民区及农田防洪标准达10</w:t>
      </w:r>
      <w:r>
        <w:rPr>
          <w:rFonts w:hint="default" w:ascii="Times New Roman" w:hAnsi="Times New Roman" w:eastAsia="仿宋_GB2312" w:cs="Times New Roman"/>
          <w:color w:val="auto"/>
          <w:sz w:val="30"/>
          <w:szCs w:val="30"/>
          <w:highlight w:val="none"/>
          <w:lang w:eastAsia="zh-CN"/>
        </w:rPr>
        <w:t>～</w:t>
      </w:r>
      <w:r>
        <w:rPr>
          <w:rFonts w:hint="default" w:ascii="Times New Roman" w:hAnsi="Times New Roman" w:eastAsia="仿宋_GB2312" w:cs="Times New Roman"/>
          <w:color w:val="auto"/>
          <w:sz w:val="30"/>
          <w:szCs w:val="30"/>
          <w:highlight w:val="none"/>
          <w:lang w:val="en-US" w:eastAsia="zh-CN"/>
        </w:rPr>
        <w:t>20</w:t>
      </w:r>
      <w:r>
        <w:rPr>
          <w:rFonts w:hint="default" w:ascii="Times New Roman" w:hAnsi="Times New Roman" w:eastAsia="仿宋_GB2312" w:cs="Times New Roman"/>
          <w:color w:val="auto"/>
          <w:sz w:val="30"/>
          <w:szCs w:val="30"/>
          <w:highlight w:val="none"/>
        </w:rPr>
        <w:t>年一遇。</w:t>
      </w:r>
    </w:p>
    <w:p>
      <w:pPr>
        <w:rPr>
          <w:color w:val="auto"/>
          <w:highlight w:val="none"/>
        </w:rPr>
      </w:pPr>
    </w:p>
    <w:p>
      <w:pPr>
        <w:pStyle w:val="3"/>
        <w:rPr>
          <w:color w:val="auto"/>
          <w:highlight w:val="none"/>
        </w:rPr>
        <w:sectPr>
          <w:footerReference r:id="rId10" w:type="default"/>
          <w:pgSz w:w="11907" w:h="16840"/>
          <w:pgMar w:top="1417" w:right="1701" w:bottom="1417" w:left="1701" w:header="850" w:footer="1276" w:gutter="0"/>
          <w:paperSrc/>
          <w:pgBorders>
            <w:top w:val="none" w:sz="0" w:space="0"/>
            <w:left w:val="none" w:sz="0" w:space="0"/>
            <w:bottom w:val="none" w:sz="0" w:space="0"/>
            <w:right w:val="none" w:sz="0" w:space="0"/>
          </w:pgBorders>
          <w:pgNumType w:fmt="decimal" w:start="1"/>
          <w:cols w:space="720" w:num="1"/>
          <w:rtlGutter w:val="0"/>
          <w:docGrid w:type="linesAndChars" w:linePitch="331" w:charSpace="-3842"/>
        </w:sectPr>
      </w:pPr>
      <w:bookmarkStart w:id="4" w:name="_Toc274668736"/>
      <w:bookmarkStart w:id="5" w:name="_Toc275336152"/>
      <w:bookmarkStart w:id="6" w:name="_Toc275335972"/>
      <w:bookmarkStart w:id="7" w:name="_Toc274322615"/>
      <w:bookmarkStart w:id="8" w:name="_Toc275356547"/>
      <w:bookmarkStart w:id="9" w:name="_Toc274668396"/>
      <w:bookmarkStart w:id="10" w:name="_Toc274668867"/>
    </w:p>
    <w:p>
      <w:pPr>
        <w:pStyle w:val="3"/>
        <w:keepNext/>
        <w:keepLines/>
        <w:pageBreakBefore w:val="0"/>
        <w:widowControl w:val="0"/>
        <w:kinsoku/>
        <w:wordWrap/>
        <w:overflowPunct/>
        <w:topLinePunct w:val="0"/>
        <w:autoSpaceDE/>
        <w:autoSpaceDN/>
        <w:bidi w:val="0"/>
        <w:adjustRightInd/>
        <w:snapToGrid/>
        <w:spacing w:line="540" w:lineRule="exact"/>
        <w:textAlignment w:val="auto"/>
        <w:rPr>
          <w:color w:val="auto"/>
          <w:highlight w:val="none"/>
        </w:rPr>
      </w:pPr>
      <w:bookmarkStart w:id="11" w:name="_Toc124757328"/>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r>
        <w:rPr>
          <w:b w:val="0"/>
          <w:bCs w:val="0"/>
          <w:color w:val="auto"/>
          <w:highlight w:val="none"/>
        </w:rPr>
        <w:t xml:space="preserve">第一章 </w:t>
      </w:r>
      <w:r>
        <w:rPr>
          <w:rFonts w:hint="eastAsia"/>
          <w:b w:val="0"/>
          <w:bCs w:val="0"/>
          <w:color w:val="auto"/>
          <w:highlight w:val="none"/>
          <w:lang w:val="en-US" w:eastAsia="zh-CN"/>
        </w:rPr>
        <w:t xml:space="preserve"> </w:t>
      </w:r>
      <w:r>
        <w:rPr>
          <w:b w:val="0"/>
          <w:bCs w:val="0"/>
          <w:color w:val="auto"/>
          <w:highlight w:val="none"/>
        </w:rPr>
        <w:t>流域概况及防洪现状</w:t>
      </w:r>
      <w:bookmarkEnd w:id="11"/>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2" w:name="_Toc124757329"/>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流域概况</w:t>
      </w:r>
      <w:bookmarkEnd w:id="12"/>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Fonts w:hint="eastAsia" w:ascii="黑体" w:hAnsi="黑体" w:eastAsia="黑体" w:cs="黑体"/>
          <w:b w:val="0"/>
          <w:bCs/>
          <w:color w:val="auto"/>
          <w:highlight w:val="none"/>
        </w:rPr>
        <w:t>一、地理</w:t>
      </w:r>
      <w:bookmarkStart w:id="13" w:name="_Hlk124853663"/>
      <w:r>
        <w:rPr>
          <w:rFonts w:hint="eastAsia" w:ascii="黑体" w:hAnsi="黑体" w:eastAsia="黑体" w:cs="黑体"/>
          <w:b w:val="0"/>
          <w:bCs/>
          <w:color w:val="auto"/>
          <w:highlight w:val="none"/>
        </w:rPr>
        <w:t>位置</w:t>
      </w:r>
      <w:bookmarkEnd w:id="13"/>
    </w:p>
    <w:p>
      <w:pPr>
        <w:pStyle w:val="156"/>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沱江是长江左岸一级支流，干流自上而下流经德阳、成都、资阳、内江、自贡、泸州6市32个县（市、区）。</w:t>
      </w:r>
      <w:bookmarkStart w:id="14" w:name="_Hlk124853643"/>
      <w:r>
        <w:rPr>
          <w:rFonts w:hint="default" w:ascii="Times New Roman" w:hAnsi="Times New Roman" w:eastAsia="仿宋_GB2312" w:cs="Times New Roman"/>
          <w:b w:val="0"/>
          <w:bCs/>
          <w:color w:val="auto"/>
          <w:sz w:val="30"/>
          <w:szCs w:val="30"/>
          <w:highlight w:val="none"/>
        </w:rPr>
        <w:t>沱江流域</w:t>
      </w:r>
      <w:bookmarkEnd w:id="14"/>
      <w:r>
        <w:rPr>
          <w:rFonts w:hint="default" w:ascii="Times New Roman" w:hAnsi="Times New Roman" w:eastAsia="仿宋_GB2312" w:cs="Times New Roman"/>
          <w:b w:val="0"/>
          <w:bCs/>
          <w:color w:val="auto"/>
          <w:sz w:val="30"/>
          <w:szCs w:val="30"/>
          <w:highlight w:val="none"/>
        </w:rPr>
        <w:t>地处四川盆地腹部地区，介于岷江和涪江流域之间，且与岷江水系相连，为不封闭流域。</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二、河流水系</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沱江发源于绵竹市西北九顶山老鹰梁子大盐井沟，流域面积2.79万km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（其中四川</w:t>
      </w:r>
      <w:r>
        <w:rPr>
          <w:rFonts w:hint="default" w:ascii="Times New Roman" w:hAnsi="Times New Roman" w:eastAsia="仿宋_GB2312" w:cs="Times New Roman"/>
          <w:b w:val="0"/>
          <w:bCs/>
          <w:color w:val="auto"/>
          <w:sz w:val="30"/>
          <w:szCs w:val="30"/>
          <w:highlight w:val="none"/>
          <w:lang w:eastAsia="zh-CN"/>
        </w:rPr>
        <w:t>省</w:t>
      </w:r>
      <w:r>
        <w:rPr>
          <w:rFonts w:hint="default" w:ascii="Times New Roman" w:hAnsi="Times New Roman" w:eastAsia="仿宋_GB2312" w:cs="Times New Roman"/>
          <w:b w:val="0"/>
          <w:bCs/>
          <w:color w:val="auto"/>
          <w:sz w:val="30"/>
          <w:szCs w:val="30"/>
          <w:highlight w:val="none"/>
        </w:rPr>
        <w:t>2.56万km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，重庆市0.23万km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），河长63</w:t>
      </w:r>
      <w:r>
        <w:rPr>
          <w:rFonts w:hint="default" w:ascii="Times New Roman" w:hAnsi="Times New Roman" w:eastAsia="仿宋_GB2312" w:cs="Times New Roman"/>
          <w:b w:val="0"/>
          <w:bCs/>
          <w:color w:val="auto"/>
          <w:sz w:val="30"/>
          <w:szCs w:val="30"/>
          <w:highlight w:val="none"/>
          <w:lang w:val="en-US" w:eastAsia="zh-CN"/>
        </w:rPr>
        <w:t>8</w:t>
      </w:r>
      <w:r>
        <w:rPr>
          <w:rFonts w:hint="default" w:ascii="Times New Roman" w:hAnsi="Times New Roman" w:eastAsia="仿宋_GB2312" w:cs="Times New Roman"/>
          <w:b w:val="0"/>
          <w:bCs/>
          <w:color w:val="auto"/>
          <w:sz w:val="30"/>
          <w:szCs w:val="30"/>
          <w:highlight w:val="none"/>
        </w:rPr>
        <w:t>km，总落差475</w:t>
      </w:r>
      <w:r>
        <w:rPr>
          <w:rFonts w:hint="default" w:ascii="Times New Roman" w:hAnsi="Times New Roman" w:eastAsia="仿宋_GB2312" w:cs="Times New Roman"/>
          <w:b w:val="0"/>
          <w:bCs/>
          <w:color w:val="auto"/>
          <w:sz w:val="30"/>
          <w:szCs w:val="30"/>
          <w:highlight w:val="none"/>
          <w:lang w:val="en-US" w:eastAsia="zh-CN"/>
        </w:rPr>
        <w:t>7</w:t>
      </w:r>
      <w:r>
        <w:rPr>
          <w:rFonts w:hint="default" w:ascii="Times New Roman" w:hAnsi="Times New Roman" w:eastAsia="仿宋_GB2312" w:cs="Times New Roman"/>
          <w:b w:val="0"/>
          <w:bCs/>
          <w:color w:val="auto"/>
          <w:sz w:val="30"/>
          <w:szCs w:val="30"/>
          <w:highlight w:val="none"/>
        </w:rPr>
        <w:t>m。</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根据流域地形和河道特征，流域分为上、中、下游。金堂县赵镇三江汇口以上为上游，河长13</w:t>
      </w:r>
      <w:r>
        <w:rPr>
          <w:rFonts w:hint="default" w:ascii="Times New Roman" w:hAnsi="Times New Roman" w:eastAsia="仿宋_GB2312" w:cs="Times New Roman"/>
          <w:b w:val="0"/>
          <w:bCs/>
          <w:color w:val="auto"/>
          <w:sz w:val="30"/>
          <w:szCs w:val="30"/>
          <w:highlight w:val="none"/>
          <w:lang w:val="en-US" w:eastAsia="zh-CN"/>
        </w:rPr>
        <w:t>6</w:t>
      </w:r>
      <w:r>
        <w:rPr>
          <w:rFonts w:hint="default" w:ascii="Times New Roman" w:hAnsi="Times New Roman" w:eastAsia="仿宋_GB2312" w:cs="Times New Roman"/>
          <w:b w:val="0"/>
          <w:bCs/>
          <w:color w:val="auto"/>
          <w:sz w:val="30"/>
          <w:szCs w:val="30"/>
          <w:highlight w:val="none"/>
        </w:rPr>
        <w:t>km；赵镇至内江为中游，河长300km，落差14</w:t>
      </w:r>
      <w:r>
        <w:rPr>
          <w:rFonts w:hint="default" w:ascii="Times New Roman" w:hAnsi="Times New Roman" w:eastAsia="仿宋_GB2312" w:cs="Times New Roman"/>
          <w:b w:val="0"/>
          <w:bCs/>
          <w:color w:val="auto"/>
          <w:sz w:val="30"/>
          <w:szCs w:val="30"/>
          <w:highlight w:val="none"/>
          <w:lang w:val="en-US" w:eastAsia="zh-CN"/>
        </w:rPr>
        <w:t>7</w:t>
      </w:r>
      <w:r>
        <w:rPr>
          <w:rFonts w:hint="default" w:ascii="Times New Roman" w:hAnsi="Times New Roman" w:eastAsia="仿宋_GB2312" w:cs="Times New Roman"/>
          <w:b w:val="0"/>
          <w:bCs/>
          <w:color w:val="auto"/>
          <w:sz w:val="30"/>
          <w:szCs w:val="30"/>
          <w:highlight w:val="none"/>
        </w:rPr>
        <w:t>m，比降0.</w:t>
      </w:r>
      <w:r>
        <w:rPr>
          <w:rFonts w:hint="default" w:ascii="Times New Roman" w:hAnsi="Times New Roman" w:eastAsia="仿宋_GB2312" w:cs="Times New Roman"/>
          <w:b w:val="0"/>
          <w:bCs/>
          <w:color w:val="auto"/>
          <w:sz w:val="30"/>
          <w:szCs w:val="30"/>
          <w:highlight w:val="none"/>
          <w:lang w:val="en-US" w:eastAsia="zh-CN"/>
        </w:rPr>
        <w:t>5</w:t>
      </w:r>
      <w:r>
        <w:rPr>
          <w:rFonts w:hint="default" w:ascii="Times New Roman" w:hAnsi="Times New Roman" w:eastAsia="仿宋_GB2312" w:cs="Times New Roman"/>
          <w:b w:val="0"/>
          <w:bCs/>
          <w:color w:val="auto"/>
          <w:sz w:val="30"/>
          <w:szCs w:val="30"/>
          <w:highlight w:val="none"/>
        </w:rPr>
        <w:t>‰；内江至河口为下游，河长202km，落差67m，比降0.3‰。</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沱江流域上游水系呈向心</w:t>
      </w:r>
      <w:r>
        <w:rPr>
          <w:rFonts w:hint="default" w:ascii="Times New Roman" w:hAnsi="Times New Roman" w:eastAsia="仿宋_GB2312" w:cs="Times New Roman"/>
          <w:b w:val="0"/>
          <w:bCs/>
          <w:color w:val="auto"/>
          <w:sz w:val="30"/>
          <w:szCs w:val="30"/>
          <w:highlight w:val="none"/>
          <w:lang w:val="en-US" w:eastAsia="zh-CN"/>
        </w:rPr>
        <w:t>状</w:t>
      </w:r>
      <w:r>
        <w:rPr>
          <w:rFonts w:hint="default" w:ascii="Times New Roman" w:hAnsi="Times New Roman" w:eastAsia="仿宋_GB2312" w:cs="Times New Roman"/>
          <w:b w:val="0"/>
          <w:bCs/>
          <w:color w:val="auto"/>
          <w:sz w:val="30"/>
          <w:szCs w:val="30"/>
          <w:highlight w:val="none"/>
        </w:rPr>
        <w:t>分布，</w:t>
      </w:r>
      <w:r>
        <w:rPr>
          <w:rFonts w:hint="default" w:ascii="Times New Roman" w:hAnsi="Times New Roman" w:eastAsia="仿宋_GB2312" w:cs="Times New Roman"/>
          <w:b w:val="0"/>
          <w:bCs/>
          <w:color w:val="auto"/>
          <w:sz w:val="30"/>
          <w:szCs w:val="30"/>
          <w:highlight w:val="none"/>
          <w:lang w:val="en-US" w:eastAsia="zh-CN"/>
        </w:rPr>
        <w:t>由主源绵远河及</w:t>
      </w:r>
      <w:r>
        <w:rPr>
          <w:rFonts w:hint="default" w:ascii="Times New Roman" w:hAnsi="Times New Roman" w:eastAsia="仿宋_GB2312" w:cs="Times New Roman"/>
          <w:b w:val="0"/>
          <w:bCs/>
          <w:color w:val="auto"/>
          <w:sz w:val="30"/>
          <w:szCs w:val="30"/>
          <w:highlight w:val="none"/>
        </w:rPr>
        <w:t>支流石亭江、湔江、青白江、毗河</w:t>
      </w:r>
      <w:r>
        <w:rPr>
          <w:rFonts w:hint="default" w:ascii="Times New Roman" w:hAnsi="Times New Roman" w:eastAsia="仿宋_GB2312" w:cs="Times New Roman"/>
          <w:b w:val="0"/>
          <w:bCs/>
          <w:color w:val="auto"/>
          <w:sz w:val="30"/>
          <w:szCs w:val="30"/>
          <w:highlight w:val="none"/>
          <w:lang w:val="en-US" w:eastAsia="zh-CN"/>
        </w:rPr>
        <w:t>组成</w:t>
      </w:r>
      <w:r>
        <w:rPr>
          <w:rFonts w:hint="default" w:ascii="Times New Roman" w:hAnsi="Times New Roman" w:eastAsia="仿宋_GB2312" w:cs="Times New Roman"/>
          <w:b w:val="0"/>
          <w:bCs/>
          <w:color w:val="auto"/>
          <w:sz w:val="30"/>
          <w:szCs w:val="30"/>
          <w:highlight w:val="none"/>
        </w:rPr>
        <w:t>，其中毗河、青白江连通沱江与岷江水系，</w:t>
      </w:r>
      <w:r>
        <w:rPr>
          <w:rFonts w:hint="default" w:ascii="Times New Roman" w:hAnsi="Times New Roman" w:eastAsia="仿宋_GB2312" w:cs="Times New Roman"/>
          <w:b w:val="0"/>
          <w:bCs/>
          <w:color w:val="auto"/>
          <w:sz w:val="30"/>
          <w:szCs w:val="30"/>
          <w:highlight w:val="none"/>
          <w:lang w:val="en-US" w:eastAsia="zh-CN"/>
        </w:rPr>
        <w:t>形成</w:t>
      </w:r>
      <w:r>
        <w:rPr>
          <w:rFonts w:hint="default" w:ascii="Times New Roman" w:hAnsi="Times New Roman" w:eastAsia="仿宋_GB2312" w:cs="Times New Roman"/>
          <w:b w:val="0"/>
          <w:bCs/>
          <w:color w:val="auto"/>
          <w:sz w:val="30"/>
          <w:szCs w:val="30"/>
          <w:highlight w:val="none"/>
        </w:rPr>
        <w:t>了沱江流域不封闭的特点。中下游支流主要有绛溪河、球溪河、资水河、濛溪河、大清流河、釜溪河、濑溪河等</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其中流域面积大于3000km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的主要支流有釜溪河、濑溪河，200</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3000km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的中小河流有51条。</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default" w:ascii="Times New Roman" w:hAnsi="Times New Roman" w:eastAsia="仿宋_GB2312" w:cs="Times New Roman"/>
          <w:b w:val="0"/>
          <w:bCs/>
          <w:color w:val="auto"/>
          <w:highlight w:val="none"/>
        </w:rPr>
      </w:pPr>
      <w:r>
        <w:rPr>
          <w:rStyle w:val="550"/>
          <w:rFonts w:hint="eastAsia" w:ascii="黑体" w:hAnsi="黑体" w:eastAsia="黑体" w:cs="黑体"/>
          <w:b w:val="0"/>
          <w:bCs/>
          <w:color w:val="auto"/>
          <w:highlight w:val="none"/>
        </w:rPr>
        <w:t>三、地形地貌</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沱江流域地貌发育受地质构造控制，地势西北高、东南低，分为龙门山山地、成都平原、川中低山丘陵</w:t>
      </w:r>
      <w:r>
        <w:rPr>
          <w:rFonts w:hint="default" w:ascii="Times New Roman" w:hAnsi="Times New Roman" w:eastAsia="仿宋_GB2312" w:cs="Times New Roman"/>
          <w:b w:val="0"/>
          <w:bCs/>
          <w:color w:val="auto"/>
          <w:sz w:val="30"/>
          <w:szCs w:val="30"/>
          <w:highlight w:val="none"/>
          <w:lang w:val="en-US" w:eastAsia="zh-CN"/>
        </w:rPr>
        <w:t>3</w:t>
      </w:r>
      <w:r>
        <w:rPr>
          <w:rFonts w:hint="default" w:ascii="Times New Roman" w:hAnsi="Times New Roman" w:eastAsia="仿宋_GB2312" w:cs="Times New Roman"/>
          <w:b w:val="0"/>
          <w:bCs/>
          <w:color w:val="auto"/>
          <w:sz w:val="30"/>
          <w:szCs w:val="30"/>
          <w:highlight w:val="none"/>
        </w:rPr>
        <w:t>个地貌区。</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龙门山山地：分布在沱江上游（关口、高景关、汉旺一线西北侧），龙门山崇山峻岭，连绵不断，山高谷深。多为北东—南西向山脉，</w:t>
      </w:r>
      <w:r>
        <w:rPr>
          <w:rFonts w:hint="default" w:ascii="Times New Roman" w:hAnsi="Times New Roman" w:eastAsia="仿宋_GB2312" w:cs="Times New Roman"/>
          <w:b w:val="0"/>
          <w:bCs/>
          <w:color w:val="auto"/>
          <w:sz w:val="30"/>
          <w:szCs w:val="30"/>
          <w:highlight w:val="none"/>
          <w:lang w:eastAsia="zh-CN"/>
        </w:rPr>
        <w:t>海拔</w:t>
      </w:r>
      <w:r>
        <w:rPr>
          <w:rFonts w:hint="default" w:ascii="Times New Roman" w:hAnsi="Times New Roman" w:eastAsia="仿宋_GB2312" w:cs="Times New Roman"/>
          <w:b w:val="0"/>
          <w:bCs/>
          <w:color w:val="auto"/>
          <w:sz w:val="30"/>
          <w:szCs w:val="30"/>
          <w:highlight w:val="none"/>
        </w:rPr>
        <w:t>3000～4000m，峰顶尖峭，谷地深邃。绵远河、石亭江、湔江自北向南横切山脉</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形成复杂崎岖的地貌形态。</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成都平原：成都平原地势西北高、东南低，地面坡度大。沱江水系进入平原后，河道分叉与岷江水系联系，交织成水网，形成扇状散流，并在金堂县汇入沱江干流；平原周边分布有小片的丘陵。</w:t>
      </w:r>
    </w:p>
    <w:p>
      <w:pPr>
        <w:pStyle w:val="156"/>
        <w:keepNext w:val="0"/>
        <w:keepLines w:val="0"/>
        <w:pageBreakBefore w:val="0"/>
        <w:widowControl w:val="0"/>
        <w:kinsoku/>
        <w:wordWrap/>
        <w:overflowPunct/>
        <w:topLinePunct w:val="0"/>
        <w:autoSpaceDE/>
        <w:autoSpaceDN/>
        <w:bidi w:val="0"/>
        <w:adjustRightInd/>
        <w:snapToGrid/>
        <w:spacing w:line="560" w:lineRule="exact"/>
        <w:ind w:firstLine="522"/>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川中低山丘陵：</w:t>
      </w:r>
      <w:r>
        <w:rPr>
          <w:rFonts w:hint="default" w:ascii="Times New Roman" w:hAnsi="Times New Roman" w:eastAsia="仿宋_GB2312" w:cs="Times New Roman"/>
          <w:b w:val="0"/>
          <w:bCs/>
          <w:color w:val="auto"/>
          <w:sz w:val="30"/>
          <w:szCs w:val="30"/>
          <w:highlight w:val="none"/>
          <w:lang w:val="en-US" w:eastAsia="zh-CN"/>
        </w:rPr>
        <w:t>分布在</w:t>
      </w:r>
      <w:r>
        <w:rPr>
          <w:rFonts w:hint="default" w:ascii="Times New Roman" w:hAnsi="Times New Roman" w:eastAsia="仿宋_GB2312" w:cs="Times New Roman"/>
          <w:b w:val="0"/>
          <w:bCs/>
          <w:color w:val="auto"/>
          <w:sz w:val="30"/>
          <w:szCs w:val="30"/>
          <w:highlight w:val="none"/>
        </w:rPr>
        <w:t>沱江干支流金堂县赵镇三江汇口以下，地貌类型按成因</w:t>
      </w:r>
      <w:r>
        <w:rPr>
          <w:rFonts w:hint="default" w:ascii="Times New Roman" w:hAnsi="Times New Roman" w:eastAsia="仿宋_GB2312" w:cs="Times New Roman"/>
          <w:b w:val="0"/>
          <w:bCs/>
          <w:color w:val="auto"/>
          <w:sz w:val="30"/>
          <w:szCs w:val="30"/>
          <w:highlight w:val="none"/>
          <w:lang w:val="en-US" w:eastAsia="zh-CN"/>
        </w:rPr>
        <w:t>分</w:t>
      </w:r>
      <w:r>
        <w:rPr>
          <w:rFonts w:hint="default" w:ascii="Times New Roman" w:hAnsi="Times New Roman" w:eastAsia="仿宋_GB2312" w:cs="Times New Roman"/>
          <w:b w:val="0"/>
          <w:bCs/>
          <w:color w:val="auto"/>
          <w:sz w:val="30"/>
          <w:szCs w:val="30"/>
          <w:highlight w:val="none"/>
        </w:rPr>
        <w:t>为构造剥蚀低山和丘陵</w:t>
      </w:r>
      <w:r>
        <w:rPr>
          <w:rFonts w:hint="default" w:ascii="Times New Roman" w:hAnsi="Times New Roman" w:eastAsia="仿宋_GB2312" w:cs="Times New Roman"/>
          <w:b w:val="0"/>
          <w:bCs/>
          <w:color w:val="auto"/>
          <w:sz w:val="30"/>
          <w:szCs w:val="30"/>
          <w:highlight w:val="none"/>
          <w:lang w:val="en-US" w:eastAsia="zh-CN"/>
        </w:rPr>
        <w:t>地貌</w:t>
      </w:r>
      <w:r>
        <w:rPr>
          <w:rFonts w:hint="default" w:ascii="Times New Roman" w:hAnsi="Times New Roman" w:eastAsia="仿宋_GB2312" w:cs="Times New Roman"/>
          <w:b w:val="0"/>
          <w:bCs/>
          <w:color w:val="auto"/>
          <w:sz w:val="30"/>
          <w:szCs w:val="30"/>
          <w:highlight w:val="none"/>
        </w:rPr>
        <w:t>、河流侵蚀堆积地貌、侵蚀岩溶地貌。</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四、洪水灾害</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沱江流域历来洪灾频繁，损失严重。据史料统计，1153年到1991年839年间，共发生有记载的洪水78次，平均11年左右一次</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1946</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1949年、1958</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1959年、1972</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1974年等存在连续几年发生洪水的特性。</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1992</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2020年29年</w:t>
      </w:r>
      <w:r>
        <w:rPr>
          <w:rFonts w:hint="default" w:ascii="Times New Roman" w:hAnsi="Times New Roman" w:eastAsia="仿宋_GB2312" w:cs="Times New Roman"/>
          <w:b w:val="0"/>
          <w:bCs/>
          <w:color w:val="auto"/>
          <w:sz w:val="30"/>
          <w:szCs w:val="30"/>
          <w:highlight w:val="none"/>
          <w:lang w:val="en-US" w:eastAsia="zh-CN"/>
        </w:rPr>
        <w:t>间，洪水发生频率越来越高，</w:t>
      </w:r>
      <w:r>
        <w:rPr>
          <w:rFonts w:hint="default" w:ascii="Times New Roman" w:hAnsi="Times New Roman" w:eastAsia="仿宋_GB2312" w:cs="Times New Roman"/>
          <w:b w:val="0"/>
          <w:bCs/>
          <w:color w:val="auto"/>
          <w:sz w:val="30"/>
          <w:szCs w:val="30"/>
          <w:highlight w:val="none"/>
        </w:rPr>
        <w:t>平均约2年发生一次。近年来</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沱江调查和实测到的主要大洪水年份有1993年、1995年、1998年、2001年、2013年、2018年及2020年，频繁发生的洪灾造成了</w:t>
      </w:r>
      <w:r>
        <w:rPr>
          <w:rFonts w:hint="default" w:ascii="Times New Roman" w:hAnsi="Times New Roman" w:eastAsia="仿宋_GB2312" w:cs="Times New Roman"/>
          <w:b w:val="0"/>
          <w:bCs/>
          <w:color w:val="auto"/>
          <w:sz w:val="30"/>
          <w:szCs w:val="30"/>
          <w:highlight w:val="none"/>
          <w:lang w:val="en-US" w:eastAsia="zh-CN"/>
        </w:rPr>
        <w:t>严重</w:t>
      </w:r>
      <w:r>
        <w:rPr>
          <w:rFonts w:hint="default" w:ascii="Times New Roman" w:hAnsi="Times New Roman" w:eastAsia="仿宋_GB2312" w:cs="Times New Roman"/>
          <w:b w:val="0"/>
          <w:bCs/>
          <w:color w:val="auto"/>
          <w:sz w:val="30"/>
          <w:szCs w:val="30"/>
          <w:highlight w:val="none"/>
        </w:rPr>
        <w:t>损失</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2020年8月大洪水是近年来洪灾影响最大的一场洪水，</w:t>
      </w:r>
      <w:r>
        <w:rPr>
          <w:rFonts w:hint="default" w:ascii="Times New Roman" w:hAnsi="Times New Roman" w:eastAsia="仿宋_GB2312" w:cs="Times New Roman"/>
          <w:b w:val="0"/>
          <w:bCs/>
          <w:color w:val="auto"/>
          <w:sz w:val="30"/>
          <w:szCs w:val="30"/>
          <w:highlight w:val="none"/>
          <w:lang w:val="en-US" w:eastAsia="zh-CN"/>
        </w:rPr>
        <w:t>涉及</w:t>
      </w:r>
      <w:r>
        <w:rPr>
          <w:rFonts w:hint="default" w:ascii="Times New Roman" w:hAnsi="Times New Roman" w:eastAsia="仿宋_GB2312" w:cs="Times New Roman"/>
          <w:b w:val="0"/>
          <w:bCs/>
          <w:color w:val="auto"/>
          <w:sz w:val="30"/>
          <w:szCs w:val="30"/>
          <w:highlight w:val="none"/>
        </w:rPr>
        <w:t>流域21个县（市、区）</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受灾</w:t>
      </w:r>
      <w:r>
        <w:rPr>
          <w:rFonts w:hint="default" w:ascii="Times New Roman" w:hAnsi="Times New Roman" w:eastAsia="仿宋_GB2312" w:cs="Times New Roman"/>
          <w:b w:val="0"/>
          <w:bCs/>
          <w:color w:val="auto"/>
          <w:sz w:val="30"/>
          <w:szCs w:val="30"/>
          <w:highlight w:val="none"/>
          <w:lang w:val="en-US" w:eastAsia="zh-CN"/>
        </w:rPr>
        <w:t>人口约</w:t>
      </w:r>
      <w:r>
        <w:rPr>
          <w:rFonts w:hint="default" w:ascii="Times New Roman" w:hAnsi="Times New Roman" w:eastAsia="仿宋_GB2312" w:cs="Times New Roman"/>
          <w:b w:val="0"/>
          <w:bCs/>
          <w:color w:val="auto"/>
          <w:sz w:val="30"/>
          <w:szCs w:val="30"/>
          <w:highlight w:val="none"/>
        </w:rPr>
        <w:t>7</w:t>
      </w:r>
      <w:r>
        <w:rPr>
          <w:rFonts w:hint="default" w:ascii="Times New Roman" w:hAnsi="Times New Roman" w:eastAsia="仿宋_GB2312" w:cs="Times New Roman"/>
          <w:b w:val="0"/>
          <w:bCs/>
          <w:color w:val="auto"/>
          <w:sz w:val="30"/>
          <w:szCs w:val="30"/>
          <w:highlight w:val="none"/>
          <w:lang w:val="en-US" w:eastAsia="zh-CN"/>
        </w:rPr>
        <w:t>8</w:t>
      </w:r>
      <w:r>
        <w:rPr>
          <w:rFonts w:hint="default" w:ascii="Times New Roman" w:hAnsi="Times New Roman" w:eastAsia="仿宋_GB2312" w:cs="Times New Roman"/>
          <w:b w:val="0"/>
          <w:bCs/>
          <w:color w:val="auto"/>
          <w:sz w:val="30"/>
          <w:szCs w:val="30"/>
          <w:highlight w:val="none"/>
        </w:rPr>
        <w:t>万人，受灾农田57万亩，直接经济损失8</w:t>
      </w:r>
      <w:r>
        <w:rPr>
          <w:rFonts w:hint="default" w:ascii="Times New Roman" w:hAnsi="Times New Roman" w:eastAsia="仿宋_GB2312" w:cs="Times New Roman"/>
          <w:b w:val="0"/>
          <w:bCs/>
          <w:color w:val="auto"/>
          <w:sz w:val="30"/>
          <w:szCs w:val="30"/>
          <w:highlight w:val="none"/>
          <w:lang w:val="en-US" w:eastAsia="zh-CN"/>
        </w:rPr>
        <w:t>2</w:t>
      </w:r>
      <w:r>
        <w:rPr>
          <w:rFonts w:hint="default" w:ascii="Times New Roman" w:hAnsi="Times New Roman" w:eastAsia="仿宋_GB2312" w:cs="Times New Roman"/>
          <w:b w:val="0"/>
          <w:bCs/>
          <w:color w:val="auto"/>
          <w:sz w:val="30"/>
          <w:szCs w:val="30"/>
          <w:highlight w:val="none"/>
        </w:rPr>
        <w:t>亿元（当年价）。</w:t>
      </w:r>
    </w:p>
    <w:p>
      <w:pPr>
        <w:pStyle w:val="156"/>
        <w:keepNext w:val="0"/>
        <w:keepLines w:val="0"/>
        <w:pageBreakBefore w:val="0"/>
        <w:widowControl w:val="0"/>
        <w:kinsoku/>
        <w:wordWrap/>
        <w:overflowPunct/>
        <w:topLinePunct w:val="0"/>
        <w:autoSpaceDE/>
        <w:autoSpaceDN/>
        <w:bidi w:val="0"/>
        <w:adjustRightInd/>
        <w:snapToGrid/>
        <w:spacing w:line="560" w:lineRule="exact"/>
        <w:ind w:firstLine="586"/>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特别是金堂县城</w:t>
      </w:r>
      <w:r>
        <w:rPr>
          <w:rFonts w:hint="default" w:ascii="Times New Roman" w:hAnsi="Times New Roman" w:eastAsia="仿宋_GB2312" w:cs="Times New Roman"/>
          <w:b w:val="0"/>
          <w:bCs/>
          <w:color w:val="auto"/>
          <w:sz w:val="30"/>
          <w:szCs w:val="30"/>
          <w:highlight w:val="none"/>
          <w:lang w:val="en-US" w:eastAsia="zh-CN"/>
        </w:rPr>
        <w:t>区，</w:t>
      </w:r>
      <w:r>
        <w:rPr>
          <w:rFonts w:hint="default" w:ascii="Times New Roman" w:hAnsi="Times New Roman" w:eastAsia="仿宋_GB2312" w:cs="Times New Roman"/>
          <w:b w:val="0"/>
          <w:bCs/>
          <w:color w:val="auto"/>
          <w:sz w:val="30"/>
          <w:szCs w:val="30"/>
          <w:highlight w:val="none"/>
        </w:rPr>
        <w:t>近年来屡遭洪水淹城</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洪水灾害严重威胁人民</w:t>
      </w:r>
      <w:r>
        <w:rPr>
          <w:rFonts w:hint="default" w:ascii="Times New Roman" w:hAnsi="Times New Roman" w:eastAsia="仿宋_GB2312" w:cs="Times New Roman"/>
          <w:b w:val="0"/>
          <w:bCs/>
          <w:color w:val="auto"/>
          <w:sz w:val="30"/>
          <w:szCs w:val="30"/>
          <w:highlight w:val="none"/>
          <w:lang w:val="en-US" w:eastAsia="zh-CN"/>
        </w:rPr>
        <w:t>群众</w:t>
      </w:r>
      <w:r>
        <w:rPr>
          <w:rFonts w:hint="default" w:ascii="Times New Roman" w:hAnsi="Times New Roman" w:eastAsia="仿宋_GB2312" w:cs="Times New Roman"/>
          <w:b w:val="0"/>
          <w:bCs/>
          <w:color w:val="auto"/>
          <w:sz w:val="30"/>
          <w:szCs w:val="30"/>
          <w:highlight w:val="none"/>
        </w:rPr>
        <w:t>生命财产安全，制约当地经济社会</w:t>
      </w:r>
      <w:r>
        <w:rPr>
          <w:rFonts w:hint="default" w:ascii="Times New Roman" w:hAnsi="Times New Roman" w:eastAsia="仿宋_GB2312" w:cs="Times New Roman"/>
          <w:b w:val="0"/>
          <w:bCs/>
          <w:color w:val="auto"/>
          <w:sz w:val="30"/>
          <w:szCs w:val="30"/>
          <w:highlight w:val="none"/>
          <w:lang w:val="en-US" w:eastAsia="zh-CN"/>
        </w:rPr>
        <w:t>高质量</w:t>
      </w:r>
      <w:r>
        <w:rPr>
          <w:rFonts w:hint="default" w:ascii="Times New Roman" w:hAnsi="Times New Roman" w:eastAsia="仿宋_GB2312" w:cs="Times New Roman"/>
          <w:b w:val="0"/>
          <w:bCs/>
          <w:color w:val="auto"/>
          <w:sz w:val="30"/>
          <w:szCs w:val="30"/>
          <w:highlight w:val="none"/>
        </w:rPr>
        <w:t>发展。2018年</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7</w:t>
      </w:r>
      <w:r>
        <w:rPr>
          <w:rFonts w:hint="default" w:ascii="Times New Roman" w:hAnsi="Times New Roman" w:eastAsia="仿宋_GB2312" w:cs="Times New Roman"/>
          <w:b w:val="0"/>
          <w:bCs/>
          <w:color w:val="auto"/>
          <w:sz w:val="30"/>
          <w:szCs w:val="30"/>
          <w:highlight w:val="none"/>
          <w:lang w:val="en-US" w:eastAsia="zh-CN"/>
        </w:rPr>
        <w:t>·</w:t>
      </w:r>
      <w:r>
        <w:rPr>
          <w:rFonts w:hint="default" w:ascii="Times New Roman" w:hAnsi="Times New Roman" w:eastAsia="仿宋_GB2312" w:cs="Times New Roman"/>
          <w:b w:val="0"/>
          <w:bCs/>
          <w:color w:val="auto"/>
          <w:sz w:val="30"/>
          <w:szCs w:val="30"/>
          <w:highlight w:val="none"/>
        </w:rPr>
        <w:t>11</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洪水淹没金堂县城区面积17km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，受灾人口2</w:t>
      </w:r>
      <w:r>
        <w:rPr>
          <w:rFonts w:hint="default" w:ascii="Times New Roman" w:hAnsi="Times New Roman" w:eastAsia="仿宋_GB2312" w:cs="Times New Roman"/>
          <w:b w:val="0"/>
          <w:bCs/>
          <w:color w:val="auto"/>
          <w:sz w:val="30"/>
          <w:szCs w:val="30"/>
          <w:highlight w:val="none"/>
          <w:lang w:val="en-US" w:eastAsia="zh-CN"/>
        </w:rPr>
        <w:t>5</w:t>
      </w:r>
      <w:r>
        <w:rPr>
          <w:rFonts w:hint="default" w:ascii="Times New Roman" w:hAnsi="Times New Roman" w:eastAsia="仿宋_GB2312" w:cs="Times New Roman"/>
          <w:b w:val="0"/>
          <w:bCs/>
          <w:color w:val="auto"/>
          <w:sz w:val="30"/>
          <w:szCs w:val="30"/>
          <w:highlight w:val="none"/>
        </w:rPr>
        <w:t>万</w:t>
      </w:r>
      <w:r>
        <w:rPr>
          <w:rFonts w:hint="default" w:ascii="Times New Roman" w:hAnsi="Times New Roman" w:eastAsia="仿宋_GB2312" w:cs="Times New Roman"/>
          <w:b w:val="0"/>
          <w:bCs/>
          <w:color w:val="auto"/>
          <w:sz w:val="30"/>
          <w:szCs w:val="30"/>
          <w:highlight w:val="none"/>
          <w:lang w:val="en-US" w:eastAsia="zh-CN"/>
        </w:rPr>
        <w:t>人</w:t>
      </w:r>
      <w:r>
        <w:rPr>
          <w:rFonts w:hint="default" w:ascii="Times New Roman" w:hAnsi="Times New Roman" w:eastAsia="仿宋_GB2312" w:cs="Times New Roman"/>
          <w:b w:val="0"/>
          <w:bCs/>
          <w:color w:val="auto"/>
          <w:sz w:val="30"/>
          <w:szCs w:val="30"/>
          <w:highlight w:val="none"/>
        </w:rPr>
        <w:t>，造成直接经济损失46亿元</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2020年</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8</w:t>
      </w:r>
      <w:r>
        <w:rPr>
          <w:rFonts w:hint="default" w:ascii="Times New Roman" w:hAnsi="Times New Roman" w:eastAsia="仿宋_GB2312" w:cs="Times New Roman"/>
          <w:b w:val="0"/>
          <w:bCs/>
          <w:color w:val="auto"/>
          <w:sz w:val="30"/>
          <w:szCs w:val="30"/>
          <w:highlight w:val="none"/>
          <w:lang w:val="en-US" w:eastAsia="zh-CN"/>
        </w:rPr>
        <w:t>·</w:t>
      </w:r>
      <w:r>
        <w:rPr>
          <w:rFonts w:hint="default" w:ascii="Times New Roman" w:hAnsi="Times New Roman" w:eastAsia="仿宋_GB2312" w:cs="Times New Roman"/>
          <w:b w:val="0"/>
          <w:bCs/>
          <w:color w:val="auto"/>
          <w:sz w:val="30"/>
          <w:szCs w:val="30"/>
          <w:highlight w:val="none"/>
        </w:rPr>
        <w:t>17</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洪水淹没金堂县城区面积1</w:t>
      </w:r>
      <w:r>
        <w:rPr>
          <w:rFonts w:hint="default" w:ascii="Times New Roman" w:hAnsi="Times New Roman" w:eastAsia="仿宋_GB2312" w:cs="Times New Roman"/>
          <w:b w:val="0"/>
          <w:bCs/>
          <w:color w:val="auto"/>
          <w:sz w:val="30"/>
          <w:szCs w:val="30"/>
          <w:highlight w:val="none"/>
          <w:lang w:val="en-US" w:eastAsia="zh-CN"/>
        </w:rPr>
        <w:t>6</w:t>
      </w:r>
      <w:r>
        <w:rPr>
          <w:rFonts w:hint="default" w:ascii="Times New Roman" w:hAnsi="Times New Roman" w:eastAsia="仿宋_GB2312" w:cs="Times New Roman"/>
          <w:b w:val="0"/>
          <w:bCs/>
          <w:color w:val="auto"/>
          <w:sz w:val="30"/>
          <w:szCs w:val="30"/>
          <w:highlight w:val="none"/>
        </w:rPr>
        <w:t>km</w:t>
      </w:r>
      <w:r>
        <w:rPr>
          <w:rFonts w:hint="default" w:ascii="Times New Roman" w:hAnsi="Times New Roman" w:eastAsia="仿宋_GB2312" w:cs="Times New Roman"/>
          <w:b w:val="0"/>
          <w:bCs/>
          <w:color w:val="auto"/>
          <w:sz w:val="30"/>
          <w:szCs w:val="30"/>
          <w:highlight w:val="none"/>
          <w:vertAlign w:val="superscript"/>
        </w:rPr>
        <w:t>2</w:t>
      </w:r>
      <w:r>
        <w:rPr>
          <w:rFonts w:hint="default" w:ascii="Times New Roman" w:hAnsi="Times New Roman" w:eastAsia="仿宋_GB2312" w:cs="Times New Roman"/>
          <w:b w:val="0"/>
          <w:bCs/>
          <w:color w:val="auto"/>
          <w:sz w:val="30"/>
          <w:szCs w:val="30"/>
          <w:highlight w:val="none"/>
        </w:rPr>
        <w:t>，受灾人口24万</w:t>
      </w:r>
      <w:r>
        <w:rPr>
          <w:rFonts w:hint="default" w:ascii="Times New Roman" w:hAnsi="Times New Roman" w:eastAsia="仿宋_GB2312" w:cs="Times New Roman"/>
          <w:b w:val="0"/>
          <w:bCs/>
          <w:color w:val="auto"/>
          <w:sz w:val="30"/>
          <w:szCs w:val="30"/>
          <w:highlight w:val="none"/>
          <w:lang w:val="en-US" w:eastAsia="zh-CN"/>
        </w:rPr>
        <w:t>人</w:t>
      </w:r>
      <w:r>
        <w:rPr>
          <w:rFonts w:hint="default" w:ascii="Times New Roman" w:hAnsi="Times New Roman" w:eastAsia="仿宋_GB2312" w:cs="Times New Roman"/>
          <w:b w:val="0"/>
          <w:bCs/>
          <w:color w:val="auto"/>
          <w:sz w:val="30"/>
          <w:szCs w:val="30"/>
          <w:highlight w:val="none"/>
        </w:rPr>
        <w:t>，造成直接经济损失4</w:t>
      </w:r>
      <w:r>
        <w:rPr>
          <w:rFonts w:hint="default" w:ascii="Times New Roman" w:hAnsi="Times New Roman" w:eastAsia="仿宋_GB2312" w:cs="Times New Roman"/>
          <w:b w:val="0"/>
          <w:bCs/>
          <w:color w:val="auto"/>
          <w:sz w:val="30"/>
          <w:szCs w:val="30"/>
          <w:highlight w:val="none"/>
          <w:lang w:val="en-US" w:eastAsia="zh-CN"/>
        </w:rPr>
        <w:t>2</w:t>
      </w:r>
      <w:r>
        <w:rPr>
          <w:rFonts w:hint="default" w:ascii="Times New Roman" w:hAnsi="Times New Roman" w:eastAsia="仿宋_GB2312" w:cs="Times New Roman"/>
          <w:b w:val="0"/>
          <w:bCs/>
          <w:color w:val="auto"/>
          <w:sz w:val="30"/>
          <w:szCs w:val="30"/>
          <w:highlight w:val="none"/>
        </w:rPr>
        <w:t>亿元。</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default" w:ascii="Times New Roman" w:hAnsi="Times New Roman" w:eastAsia="仿宋_GB2312" w:cs="Times New Roman"/>
          <w:b w:val="0"/>
          <w:bCs/>
          <w:color w:val="auto"/>
          <w:highlight w:val="none"/>
          <w:lang w:val="en-US" w:eastAsia="zh-CN"/>
        </w:rPr>
      </w:pPr>
      <w:bookmarkStart w:id="15" w:name="_Toc124757330"/>
      <w:r>
        <w:rPr>
          <w:rStyle w:val="550"/>
          <w:rFonts w:hint="eastAsia" w:ascii="黑体" w:hAnsi="黑体" w:eastAsia="黑体" w:cs="黑体"/>
          <w:b w:val="0"/>
          <w:bCs/>
          <w:color w:val="auto"/>
          <w:highlight w:val="none"/>
        </w:rPr>
        <w:t>五、社会经济</w:t>
      </w:r>
      <w:r>
        <w:rPr>
          <w:rStyle w:val="550"/>
          <w:rFonts w:hint="eastAsia" w:ascii="黑体" w:hAnsi="黑体" w:eastAsia="黑体" w:cs="黑体"/>
          <w:b w:val="0"/>
          <w:bCs/>
          <w:color w:val="auto"/>
          <w:highlight w:val="none"/>
          <w:lang w:val="en-US" w:eastAsia="zh-CN"/>
        </w:rPr>
        <w:t>概况</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沱江流域涉及成都平原经济区、川南经济区，</w:t>
      </w:r>
      <w:r>
        <w:rPr>
          <w:rFonts w:hint="default" w:ascii="Times New Roman" w:hAnsi="Times New Roman" w:eastAsia="仿宋_GB2312" w:cs="Times New Roman"/>
          <w:b w:val="0"/>
          <w:bCs/>
          <w:color w:val="auto"/>
          <w:sz w:val="30"/>
          <w:szCs w:val="30"/>
          <w:highlight w:val="none"/>
          <w:lang w:val="en-US" w:eastAsia="zh-CN"/>
        </w:rPr>
        <w:t>地处</w:t>
      </w:r>
      <w:r>
        <w:rPr>
          <w:rFonts w:hint="default" w:ascii="Times New Roman" w:hAnsi="Times New Roman" w:eastAsia="仿宋_GB2312" w:cs="Times New Roman"/>
          <w:b w:val="0"/>
          <w:bCs/>
          <w:color w:val="auto"/>
          <w:sz w:val="30"/>
          <w:szCs w:val="30"/>
          <w:highlight w:val="none"/>
        </w:rPr>
        <w:t>成渝地区</w:t>
      </w:r>
      <w:bookmarkStart w:id="16" w:name="_Hlk120990423"/>
      <w:r>
        <w:rPr>
          <w:rFonts w:hint="default" w:ascii="Times New Roman" w:hAnsi="Times New Roman" w:eastAsia="仿宋_GB2312" w:cs="Times New Roman"/>
          <w:b w:val="0"/>
          <w:bCs/>
          <w:color w:val="auto"/>
          <w:sz w:val="30"/>
          <w:szCs w:val="30"/>
          <w:highlight w:val="none"/>
        </w:rPr>
        <w:t>中部</w:t>
      </w:r>
      <w:bookmarkEnd w:id="16"/>
      <w:r>
        <w:rPr>
          <w:rFonts w:hint="default" w:ascii="Times New Roman" w:hAnsi="Times New Roman" w:eastAsia="仿宋_GB2312" w:cs="Times New Roman"/>
          <w:b w:val="0"/>
          <w:bCs/>
          <w:color w:val="auto"/>
          <w:sz w:val="30"/>
          <w:szCs w:val="30"/>
          <w:highlight w:val="none"/>
        </w:rPr>
        <w:t>，是成渝地区双城经济圈的重要组成部分。</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沱江干流流经德阳、成都、资阳、内江、自贡、泸州等6市32个县（市、区），</w:t>
      </w:r>
      <w:r>
        <w:rPr>
          <w:rFonts w:hint="default" w:ascii="Times New Roman" w:hAnsi="Times New Roman" w:eastAsia="仿宋_GB2312" w:cs="Times New Roman"/>
          <w:b w:val="0"/>
          <w:bCs/>
          <w:color w:val="auto"/>
          <w:sz w:val="30"/>
          <w:szCs w:val="30"/>
          <w:highlight w:val="none"/>
          <w:lang w:val="en-US" w:eastAsia="zh-CN"/>
        </w:rPr>
        <w:t>规划流域面积2.3万km</w:t>
      </w:r>
      <w:r>
        <w:rPr>
          <w:rFonts w:hint="default" w:ascii="Times New Roman" w:hAnsi="Times New Roman" w:eastAsia="仿宋_GB2312" w:cs="Times New Roman"/>
          <w:b w:val="0"/>
          <w:bCs/>
          <w:color w:val="auto"/>
          <w:sz w:val="30"/>
          <w:szCs w:val="30"/>
          <w:highlight w:val="none"/>
          <w:vertAlign w:val="superscript"/>
          <w:lang w:val="en-US" w:eastAsia="zh-CN"/>
        </w:rPr>
        <w:t>2</w:t>
      </w:r>
      <w:r>
        <w:rPr>
          <w:rFonts w:hint="default" w:ascii="Times New Roman" w:hAnsi="Times New Roman" w:eastAsia="仿宋_GB2312" w:cs="Times New Roman"/>
          <w:b w:val="0"/>
          <w:bCs/>
          <w:color w:val="auto"/>
          <w:sz w:val="30"/>
          <w:szCs w:val="30"/>
          <w:highlight w:val="none"/>
          <w:vertAlign w:val="baseline"/>
          <w:lang w:val="en-US" w:eastAsia="zh-CN"/>
        </w:rPr>
        <w:t>，</w:t>
      </w:r>
      <w:r>
        <w:rPr>
          <w:rFonts w:hint="default" w:ascii="Times New Roman" w:hAnsi="Times New Roman" w:eastAsia="仿宋_GB2312" w:cs="Times New Roman"/>
          <w:b w:val="0"/>
          <w:bCs/>
          <w:color w:val="auto"/>
          <w:sz w:val="30"/>
          <w:szCs w:val="30"/>
          <w:highlight w:val="none"/>
        </w:rPr>
        <w:t>2020年总人口约1774万人，面积、人口分别占全省总数的5%和21%，人口密度是全省平均数的4倍多</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lang w:val="en-US" w:eastAsia="zh-CN"/>
        </w:rPr>
        <w:t>地区</w:t>
      </w:r>
      <w:r>
        <w:rPr>
          <w:rFonts w:hint="default" w:ascii="Times New Roman" w:hAnsi="Times New Roman" w:eastAsia="仿宋_GB2312" w:cs="Times New Roman"/>
          <w:b w:val="0"/>
          <w:bCs/>
          <w:color w:val="auto"/>
          <w:sz w:val="30"/>
          <w:szCs w:val="30"/>
          <w:highlight w:val="none"/>
        </w:rPr>
        <w:t>生产总值1.</w:t>
      </w:r>
      <w:r>
        <w:rPr>
          <w:rFonts w:hint="default" w:ascii="Times New Roman" w:hAnsi="Times New Roman" w:eastAsia="仿宋_GB2312" w:cs="Times New Roman"/>
          <w:b w:val="0"/>
          <w:bCs/>
          <w:color w:val="auto"/>
          <w:sz w:val="30"/>
          <w:szCs w:val="30"/>
          <w:highlight w:val="none"/>
          <w:lang w:val="en-US" w:eastAsia="zh-CN"/>
        </w:rPr>
        <w:t>1</w:t>
      </w:r>
      <w:r>
        <w:rPr>
          <w:rFonts w:hint="default" w:ascii="Times New Roman" w:hAnsi="Times New Roman" w:eastAsia="仿宋_GB2312" w:cs="Times New Roman"/>
          <w:b w:val="0"/>
          <w:bCs/>
          <w:color w:val="auto"/>
          <w:sz w:val="30"/>
          <w:szCs w:val="30"/>
          <w:highlight w:val="none"/>
        </w:rPr>
        <w:t>万亿元，占全省的21%</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耕地面积1472万亩，粮食总产量593万吨，均占全省的17%。</w:t>
      </w:r>
    </w:p>
    <w:p>
      <w:pPr>
        <w:pStyle w:val="4"/>
        <w:keepNext/>
        <w:keepLines/>
        <w:pageBreakBefore w:val="0"/>
        <w:widowControl w:val="0"/>
        <w:kinsoku/>
        <w:wordWrap/>
        <w:overflowPunct/>
        <w:topLinePunct w:val="0"/>
        <w:autoSpaceDE/>
        <w:autoSpaceDN/>
        <w:bidi w:val="0"/>
        <w:adjustRightInd/>
        <w:snapToGrid/>
        <w:spacing w:before="0" w:after="0" w:line="560" w:lineRule="exact"/>
        <w:textAlignment w:val="auto"/>
        <w:rPr>
          <w:rFonts w:hint="eastAsia" w:ascii="楷体_GB2312" w:hAnsi="楷体_GB2312" w:eastAsia="楷体_GB2312" w:cs="楷体_GB2312"/>
          <w:b w:val="0"/>
          <w:bCs/>
          <w:color w:val="auto"/>
          <w:highlight w:val="none"/>
        </w:rPr>
      </w:pPr>
      <w:r>
        <w:rPr>
          <w:rFonts w:hint="eastAsia" w:ascii="楷体_GB2312" w:hAnsi="楷体_GB2312" w:eastAsia="楷体_GB2312" w:cs="楷体_GB2312"/>
          <w:b w:val="0"/>
          <w:bCs/>
          <w:color w:val="auto"/>
          <w:highlight w:val="none"/>
        </w:rPr>
        <w:t>第二节  防洪现状</w:t>
      </w:r>
      <w:bookmarkEnd w:id="15"/>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bookmarkStart w:id="17" w:name="_Toc294463227"/>
      <w:bookmarkStart w:id="18" w:name="_Toc293828260"/>
      <w:bookmarkStart w:id="19" w:name="_Toc293828250"/>
      <w:r>
        <w:rPr>
          <w:rStyle w:val="550"/>
          <w:rFonts w:hint="eastAsia" w:ascii="黑体" w:hAnsi="黑体" w:eastAsia="黑体" w:cs="黑体"/>
          <w:b w:val="0"/>
          <w:bCs/>
          <w:color w:val="auto"/>
          <w:highlight w:val="none"/>
        </w:rPr>
        <w:t>一、防洪建设现状</w:t>
      </w:r>
      <w:bookmarkEnd w:id="17"/>
      <w:bookmarkEnd w:id="18"/>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eastAsia" w:ascii="楷体_GB2312" w:hAnsi="楷体_GB2312" w:eastAsia="楷体_GB2312" w:cs="楷体_GB2312"/>
          <w:b w:val="0"/>
          <w:bCs/>
          <w:color w:val="auto"/>
          <w:sz w:val="30"/>
          <w:szCs w:val="30"/>
          <w:highlight w:val="none"/>
        </w:rPr>
      </w:pPr>
      <w:bookmarkStart w:id="20" w:name="_Toc274668766"/>
      <w:r>
        <w:rPr>
          <w:rFonts w:hint="eastAsia" w:ascii="楷体_GB2312" w:hAnsi="楷体_GB2312" w:eastAsia="楷体_GB2312" w:cs="楷体_GB2312"/>
          <w:b w:val="0"/>
          <w:bCs/>
          <w:color w:val="auto"/>
          <w:sz w:val="30"/>
          <w:szCs w:val="30"/>
          <w:highlight w:val="none"/>
        </w:rPr>
        <w:t>（一）工程</w:t>
      </w:r>
      <w:bookmarkEnd w:id="20"/>
      <w:r>
        <w:rPr>
          <w:rFonts w:hint="eastAsia" w:ascii="楷体_GB2312" w:hAnsi="楷体_GB2312" w:eastAsia="楷体_GB2312" w:cs="楷体_GB2312"/>
          <w:b w:val="0"/>
          <w:bCs/>
          <w:color w:val="auto"/>
          <w:sz w:val="30"/>
          <w:szCs w:val="30"/>
          <w:highlight w:val="none"/>
          <w:lang w:val="en-US" w:eastAsia="zh-CN"/>
        </w:rPr>
        <w:t>措施</w:t>
      </w:r>
      <w:r>
        <w:rPr>
          <w:rFonts w:hint="eastAsia" w:ascii="楷体_GB2312" w:hAnsi="楷体_GB2312" w:eastAsia="楷体_GB2312" w:cs="楷体_GB2312"/>
          <w:b w:val="0"/>
          <w:bCs/>
          <w:color w:val="auto"/>
          <w:sz w:val="30"/>
          <w:szCs w:val="30"/>
          <w:highlight w:val="none"/>
        </w:rPr>
        <w:t>建设</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沱江流域防洪保护区岸线1842km，现状防洪工程以堤防为主，已建堤防护岸1457km（堤防133</w:t>
      </w:r>
      <w:r>
        <w:rPr>
          <w:rFonts w:hint="default" w:ascii="Times New Roman" w:hAnsi="Times New Roman" w:eastAsia="仿宋_GB2312" w:cs="Times New Roman"/>
          <w:b w:val="0"/>
          <w:bCs/>
          <w:color w:val="auto"/>
          <w:sz w:val="30"/>
          <w:szCs w:val="30"/>
          <w:highlight w:val="none"/>
          <w:lang w:val="en-US" w:eastAsia="zh-CN"/>
        </w:rPr>
        <w:t>1</w:t>
      </w:r>
      <w:r>
        <w:rPr>
          <w:rFonts w:hint="default" w:ascii="Times New Roman" w:hAnsi="Times New Roman" w:eastAsia="仿宋_GB2312" w:cs="Times New Roman"/>
          <w:b w:val="0"/>
          <w:bCs/>
          <w:color w:val="auto"/>
          <w:sz w:val="30"/>
          <w:szCs w:val="30"/>
          <w:highlight w:val="none"/>
        </w:rPr>
        <w:t>km，护岸126km）。其中干流已建堤防护岸38</w:t>
      </w:r>
      <w:r>
        <w:rPr>
          <w:rFonts w:hint="default" w:ascii="Times New Roman" w:hAnsi="Times New Roman" w:eastAsia="仿宋_GB2312" w:cs="Times New Roman"/>
          <w:b w:val="0"/>
          <w:bCs/>
          <w:color w:val="auto"/>
          <w:sz w:val="30"/>
          <w:szCs w:val="30"/>
          <w:highlight w:val="none"/>
          <w:lang w:val="en-US" w:eastAsia="zh-CN"/>
        </w:rPr>
        <w:t>3</w:t>
      </w:r>
      <w:r>
        <w:rPr>
          <w:rFonts w:hint="default" w:ascii="Times New Roman" w:hAnsi="Times New Roman" w:eastAsia="仿宋_GB2312" w:cs="Times New Roman"/>
          <w:b w:val="0"/>
          <w:bCs/>
          <w:color w:val="auto"/>
          <w:sz w:val="30"/>
          <w:szCs w:val="30"/>
          <w:highlight w:val="none"/>
        </w:rPr>
        <w:t>km（堤防30</w:t>
      </w:r>
      <w:r>
        <w:rPr>
          <w:rFonts w:hint="default" w:ascii="Times New Roman" w:hAnsi="Times New Roman" w:eastAsia="仿宋_GB2312" w:cs="Times New Roman"/>
          <w:b w:val="0"/>
          <w:bCs/>
          <w:color w:val="auto"/>
          <w:sz w:val="30"/>
          <w:szCs w:val="30"/>
          <w:highlight w:val="none"/>
          <w:lang w:val="en-US" w:eastAsia="zh-CN"/>
        </w:rPr>
        <w:t>7</w:t>
      </w:r>
      <w:r>
        <w:rPr>
          <w:rFonts w:hint="default" w:ascii="Times New Roman" w:hAnsi="Times New Roman" w:eastAsia="仿宋_GB2312" w:cs="Times New Roman"/>
          <w:b w:val="0"/>
          <w:bCs/>
          <w:color w:val="auto"/>
          <w:sz w:val="30"/>
          <w:szCs w:val="30"/>
          <w:highlight w:val="none"/>
        </w:rPr>
        <w:t>km，护岸7</w:t>
      </w:r>
      <w:r>
        <w:rPr>
          <w:rFonts w:hint="default" w:ascii="Times New Roman" w:hAnsi="Times New Roman" w:eastAsia="仿宋_GB2312" w:cs="Times New Roman"/>
          <w:b w:val="0"/>
          <w:bCs/>
          <w:color w:val="auto"/>
          <w:sz w:val="30"/>
          <w:szCs w:val="30"/>
          <w:highlight w:val="none"/>
          <w:lang w:val="en-US" w:eastAsia="zh-CN"/>
        </w:rPr>
        <w:t>6</w:t>
      </w:r>
      <w:r>
        <w:rPr>
          <w:rFonts w:hint="default" w:ascii="Times New Roman" w:hAnsi="Times New Roman" w:eastAsia="仿宋_GB2312" w:cs="Times New Roman"/>
          <w:b w:val="0"/>
          <w:bCs/>
          <w:color w:val="auto"/>
          <w:sz w:val="30"/>
          <w:szCs w:val="30"/>
          <w:highlight w:val="none"/>
        </w:rPr>
        <w:t>km），占26%；主要支流已建堤防护岸</w:t>
      </w:r>
      <w:r>
        <w:rPr>
          <w:rFonts w:hint="default" w:ascii="Times New Roman" w:hAnsi="Times New Roman" w:eastAsia="仿宋_GB2312" w:cs="Times New Roman"/>
          <w:b w:val="0"/>
          <w:bCs/>
          <w:color w:val="auto"/>
          <w:sz w:val="30"/>
          <w:szCs w:val="30"/>
          <w:highlight w:val="none"/>
          <w:lang w:val="en-US" w:eastAsia="zh-CN"/>
        </w:rPr>
        <w:t>49</w:t>
      </w:r>
      <w:r>
        <w:rPr>
          <w:rFonts w:hint="default" w:ascii="Times New Roman" w:hAnsi="Times New Roman" w:eastAsia="仿宋_GB2312" w:cs="Times New Roman"/>
          <w:b w:val="0"/>
          <w:bCs/>
          <w:color w:val="auto"/>
          <w:sz w:val="30"/>
          <w:szCs w:val="30"/>
          <w:highlight w:val="none"/>
        </w:rPr>
        <w:t>km（堤防3</w:t>
      </w:r>
      <w:r>
        <w:rPr>
          <w:rFonts w:hint="default" w:ascii="Times New Roman" w:hAnsi="Times New Roman" w:eastAsia="仿宋_GB2312" w:cs="Times New Roman"/>
          <w:b w:val="0"/>
          <w:bCs/>
          <w:color w:val="auto"/>
          <w:sz w:val="30"/>
          <w:szCs w:val="30"/>
          <w:highlight w:val="none"/>
          <w:lang w:val="en-US" w:eastAsia="zh-CN"/>
        </w:rPr>
        <w:t>4</w:t>
      </w:r>
      <w:r>
        <w:rPr>
          <w:rFonts w:hint="default" w:ascii="Times New Roman" w:hAnsi="Times New Roman" w:eastAsia="仿宋_GB2312" w:cs="Times New Roman"/>
          <w:b w:val="0"/>
          <w:bCs/>
          <w:color w:val="auto"/>
          <w:sz w:val="30"/>
          <w:szCs w:val="30"/>
          <w:highlight w:val="none"/>
        </w:rPr>
        <w:t>km，护岸1</w:t>
      </w:r>
      <w:r>
        <w:rPr>
          <w:rFonts w:hint="default" w:ascii="Times New Roman" w:hAnsi="Times New Roman" w:eastAsia="仿宋_GB2312" w:cs="Times New Roman"/>
          <w:b w:val="0"/>
          <w:bCs/>
          <w:color w:val="auto"/>
          <w:sz w:val="30"/>
          <w:szCs w:val="30"/>
          <w:highlight w:val="none"/>
          <w:lang w:val="en-US" w:eastAsia="zh-CN"/>
        </w:rPr>
        <w:t>5</w:t>
      </w:r>
      <w:r>
        <w:rPr>
          <w:rFonts w:hint="default" w:ascii="Times New Roman" w:hAnsi="Times New Roman" w:eastAsia="仿宋_GB2312" w:cs="Times New Roman"/>
          <w:b w:val="0"/>
          <w:bCs/>
          <w:color w:val="auto"/>
          <w:sz w:val="30"/>
          <w:szCs w:val="30"/>
          <w:highlight w:val="none"/>
        </w:rPr>
        <w:t>km），占</w:t>
      </w:r>
      <w:r>
        <w:rPr>
          <w:rFonts w:hint="default" w:ascii="Times New Roman" w:hAnsi="Times New Roman" w:eastAsia="仿宋_GB2312" w:cs="Times New Roman"/>
          <w:b w:val="0"/>
          <w:bCs/>
          <w:color w:val="auto"/>
          <w:sz w:val="30"/>
          <w:szCs w:val="30"/>
          <w:highlight w:val="none"/>
          <w:lang w:val="en-US" w:eastAsia="zh-CN"/>
        </w:rPr>
        <w:t>4</w:t>
      </w:r>
      <w:r>
        <w:rPr>
          <w:rFonts w:hint="default" w:ascii="Times New Roman" w:hAnsi="Times New Roman" w:eastAsia="仿宋_GB2312" w:cs="Times New Roman"/>
          <w:b w:val="0"/>
          <w:bCs/>
          <w:color w:val="auto"/>
          <w:sz w:val="30"/>
          <w:szCs w:val="30"/>
          <w:highlight w:val="none"/>
        </w:rPr>
        <w:t>%</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中小河流已建堤防护岸1025km（堤防989km，护岸36km），占70%。县</w:t>
      </w:r>
      <w:r>
        <w:rPr>
          <w:rFonts w:hint="default" w:ascii="Times New Roman" w:hAnsi="Times New Roman" w:eastAsia="仿宋_GB2312" w:cs="Times New Roman"/>
          <w:b w:val="0"/>
          <w:bCs/>
          <w:color w:val="auto"/>
          <w:sz w:val="30"/>
          <w:szCs w:val="30"/>
          <w:highlight w:val="none"/>
          <w:lang w:val="en-US" w:eastAsia="zh-CN"/>
        </w:rPr>
        <w:t>级</w:t>
      </w:r>
      <w:r>
        <w:rPr>
          <w:rFonts w:hint="default" w:ascii="Times New Roman" w:hAnsi="Times New Roman" w:eastAsia="仿宋_GB2312" w:cs="Times New Roman"/>
          <w:b w:val="0"/>
          <w:bCs/>
          <w:color w:val="auto"/>
          <w:sz w:val="30"/>
          <w:szCs w:val="30"/>
          <w:highlight w:val="none"/>
        </w:rPr>
        <w:t>及以上城</w:t>
      </w:r>
      <w:r>
        <w:rPr>
          <w:rFonts w:hint="default" w:ascii="Times New Roman" w:hAnsi="Times New Roman" w:eastAsia="仿宋_GB2312" w:cs="Times New Roman"/>
          <w:b w:val="0"/>
          <w:bCs/>
          <w:color w:val="auto"/>
          <w:sz w:val="30"/>
          <w:szCs w:val="30"/>
          <w:highlight w:val="none"/>
          <w:lang w:val="en-US" w:eastAsia="zh-CN"/>
        </w:rPr>
        <w:t>区</w:t>
      </w:r>
      <w:r>
        <w:rPr>
          <w:rFonts w:hint="default" w:ascii="Times New Roman" w:hAnsi="Times New Roman" w:eastAsia="仿宋_GB2312" w:cs="Times New Roman"/>
          <w:b w:val="0"/>
          <w:bCs/>
          <w:color w:val="auto"/>
          <w:sz w:val="30"/>
          <w:szCs w:val="30"/>
          <w:highlight w:val="none"/>
        </w:rPr>
        <w:t>河段已建堤防护岸4</w:t>
      </w:r>
      <w:r>
        <w:rPr>
          <w:rFonts w:hint="default" w:ascii="Times New Roman" w:hAnsi="Times New Roman" w:eastAsia="仿宋_GB2312" w:cs="Times New Roman"/>
          <w:b w:val="0"/>
          <w:bCs/>
          <w:color w:val="auto"/>
          <w:sz w:val="30"/>
          <w:szCs w:val="30"/>
          <w:highlight w:val="none"/>
          <w:lang w:val="en-US" w:eastAsia="zh-CN"/>
        </w:rPr>
        <w:t>20</w:t>
      </w:r>
      <w:r>
        <w:rPr>
          <w:rFonts w:hint="default" w:ascii="Times New Roman" w:hAnsi="Times New Roman" w:eastAsia="仿宋_GB2312" w:cs="Times New Roman"/>
          <w:b w:val="0"/>
          <w:bCs/>
          <w:color w:val="auto"/>
          <w:sz w:val="30"/>
          <w:szCs w:val="30"/>
          <w:highlight w:val="none"/>
        </w:rPr>
        <w:t>km（堤防40</w:t>
      </w:r>
      <w:r>
        <w:rPr>
          <w:rFonts w:hint="default" w:ascii="Times New Roman" w:hAnsi="Times New Roman" w:eastAsia="仿宋_GB2312" w:cs="Times New Roman"/>
          <w:b w:val="0"/>
          <w:bCs/>
          <w:color w:val="auto"/>
          <w:sz w:val="30"/>
          <w:szCs w:val="30"/>
          <w:highlight w:val="none"/>
          <w:lang w:val="en-US" w:eastAsia="zh-CN"/>
        </w:rPr>
        <w:t>7</w:t>
      </w:r>
      <w:r>
        <w:rPr>
          <w:rFonts w:hint="default" w:ascii="Times New Roman" w:hAnsi="Times New Roman" w:eastAsia="仿宋_GB2312" w:cs="Times New Roman"/>
          <w:b w:val="0"/>
          <w:bCs/>
          <w:color w:val="auto"/>
          <w:sz w:val="30"/>
          <w:szCs w:val="30"/>
          <w:highlight w:val="none"/>
        </w:rPr>
        <w:t>km，护岸13km），占2</w:t>
      </w:r>
      <w:r>
        <w:rPr>
          <w:rFonts w:hint="default" w:ascii="Times New Roman" w:hAnsi="Times New Roman" w:eastAsia="仿宋_GB2312" w:cs="Times New Roman"/>
          <w:b w:val="0"/>
          <w:bCs/>
          <w:color w:val="auto"/>
          <w:sz w:val="30"/>
          <w:szCs w:val="30"/>
          <w:highlight w:val="none"/>
          <w:lang w:val="en-US" w:eastAsia="zh-CN"/>
        </w:rPr>
        <w:t>9</w:t>
      </w:r>
      <w:r>
        <w:rPr>
          <w:rFonts w:hint="default" w:ascii="Times New Roman" w:hAnsi="Times New Roman" w:eastAsia="仿宋_GB2312" w:cs="Times New Roman"/>
          <w:b w:val="0"/>
          <w:bCs/>
          <w:color w:val="auto"/>
          <w:sz w:val="30"/>
          <w:szCs w:val="30"/>
          <w:highlight w:val="none"/>
        </w:rPr>
        <w:t>%；乡</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lang w:val="en-US" w:eastAsia="zh-CN"/>
        </w:rPr>
        <w:t>镇</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村河段已建堤防护岸1037km（堤防924km，护岸113km），占71%。</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bookmarkStart w:id="21" w:name="_Toc274668767"/>
      <w:r>
        <w:rPr>
          <w:rFonts w:hint="default" w:ascii="Times New Roman" w:hAnsi="Times New Roman" w:eastAsia="仿宋_GB2312" w:cs="Times New Roman"/>
          <w:b w:val="0"/>
          <w:bCs/>
          <w:color w:val="auto"/>
          <w:sz w:val="30"/>
          <w:szCs w:val="30"/>
          <w:highlight w:val="none"/>
        </w:rPr>
        <w:t>流域内仅2座</w:t>
      </w:r>
      <w:r>
        <w:rPr>
          <w:rFonts w:hint="default" w:ascii="Times New Roman" w:hAnsi="Times New Roman" w:eastAsia="仿宋_GB2312" w:cs="Times New Roman"/>
          <w:b w:val="0"/>
          <w:bCs/>
          <w:color w:val="auto"/>
          <w:sz w:val="30"/>
          <w:szCs w:val="30"/>
          <w:highlight w:val="none"/>
          <w:lang w:val="en-US" w:eastAsia="zh-CN"/>
        </w:rPr>
        <w:t>已成水库</w:t>
      </w:r>
      <w:r>
        <w:rPr>
          <w:rFonts w:hint="default" w:ascii="Times New Roman" w:hAnsi="Times New Roman" w:eastAsia="仿宋_GB2312" w:cs="Times New Roman"/>
          <w:b w:val="0"/>
          <w:bCs/>
          <w:color w:val="auto"/>
          <w:sz w:val="30"/>
          <w:szCs w:val="30"/>
          <w:highlight w:val="none"/>
        </w:rPr>
        <w:t>具有防洪</w:t>
      </w:r>
      <w:r>
        <w:rPr>
          <w:rFonts w:hint="default" w:ascii="Times New Roman" w:hAnsi="Times New Roman" w:eastAsia="仿宋_GB2312" w:cs="Times New Roman"/>
          <w:b w:val="0"/>
          <w:bCs/>
          <w:color w:val="auto"/>
          <w:sz w:val="30"/>
          <w:szCs w:val="30"/>
          <w:highlight w:val="none"/>
          <w:lang w:val="en-US" w:eastAsia="zh-CN"/>
        </w:rPr>
        <w:t>功能</w:t>
      </w:r>
      <w:r>
        <w:rPr>
          <w:rFonts w:hint="default" w:ascii="Times New Roman" w:hAnsi="Times New Roman" w:eastAsia="仿宋_GB2312" w:cs="Times New Roman"/>
          <w:b w:val="0"/>
          <w:bCs/>
          <w:color w:val="auto"/>
          <w:sz w:val="30"/>
          <w:szCs w:val="30"/>
          <w:highlight w:val="none"/>
        </w:rPr>
        <w:t>：一是彭州市莲花洞水库（青白江上游支流土溪河），防洪库容99</w:t>
      </w:r>
      <w:r>
        <w:rPr>
          <w:rFonts w:hint="default" w:ascii="Times New Roman" w:hAnsi="Times New Roman" w:eastAsia="仿宋_GB2312" w:cs="Times New Roman"/>
          <w:b w:val="0"/>
          <w:bCs/>
          <w:color w:val="auto"/>
          <w:sz w:val="30"/>
          <w:szCs w:val="30"/>
          <w:highlight w:val="none"/>
          <w:lang w:val="en-US" w:eastAsia="zh-CN"/>
        </w:rPr>
        <w:t>2</w:t>
      </w:r>
      <w:r>
        <w:rPr>
          <w:rFonts w:hint="default" w:ascii="Times New Roman" w:hAnsi="Times New Roman" w:eastAsia="仿宋_GB2312" w:cs="Times New Roman"/>
          <w:b w:val="0"/>
          <w:bCs/>
          <w:color w:val="auto"/>
          <w:sz w:val="30"/>
          <w:szCs w:val="30"/>
          <w:highlight w:val="none"/>
        </w:rPr>
        <w:t>万m</w:t>
      </w:r>
      <w:r>
        <w:rPr>
          <w:rFonts w:hint="default" w:ascii="Times New Roman" w:hAnsi="Times New Roman" w:eastAsia="仿宋_GB2312" w:cs="Times New Roman"/>
          <w:b w:val="0"/>
          <w:bCs/>
          <w:color w:val="auto"/>
          <w:sz w:val="30"/>
          <w:szCs w:val="30"/>
          <w:highlight w:val="none"/>
          <w:vertAlign w:val="superscript"/>
        </w:rPr>
        <w:t>3</w:t>
      </w:r>
      <w:r>
        <w:rPr>
          <w:rFonts w:hint="default" w:ascii="Times New Roman" w:hAnsi="Times New Roman" w:eastAsia="仿宋_GB2312" w:cs="Times New Roman"/>
          <w:b w:val="0"/>
          <w:bCs/>
          <w:color w:val="auto"/>
          <w:sz w:val="30"/>
          <w:szCs w:val="30"/>
          <w:highlight w:val="none"/>
        </w:rPr>
        <w:t>；二是金堂县红旗水库</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北河左岸支流爪龙溪</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，防洪库容309万m</w:t>
      </w:r>
      <w:r>
        <w:rPr>
          <w:rFonts w:hint="default" w:ascii="Times New Roman" w:hAnsi="Times New Roman" w:eastAsia="仿宋_GB2312" w:cs="Times New Roman"/>
          <w:b w:val="0"/>
          <w:bCs/>
          <w:color w:val="auto"/>
          <w:sz w:val="30"/>
          <w:szCs w:val="30"/>
          <w:highlight w:val="none"/>
          <w:vertAlign w:val="superscript"/>
        </w:rPr>
        <w:t>3</w:t>
      </w:r>
      <w:r>
        <w:rPr>
          <w:rFonts w:hint="default" w:ascii="Times New Roman" w:hAnsi="Times New Roman" w:eastAsia="仿宋_GB2312" w:cs="Times New Roman"/>
          <w:b w:val="0"/>
          <w:bCs/>
          <w:color w:val="auto"/>
          <w:sz w:val="30"/>
          <w:szCs w:val="30"/>
          <w:highlight w:val="none"/>
        </w:rPr>
        <w:t>。</w:t>
      </w:r>
      <w:r>
        <w:rPr>
          <w:rFonts w:hint="default" w:ascii="Times New Roman" w:hAnsi="Times New Roman" w:eastAsia="仿宋_GB2312" w:cs="Times New Roman"/>
          <w:b w:val="0"/>
          <w:bCs/>
          <w:color w:val="auto"/>
          <w:sz w:val="30"/>
          <w:szCs w:val="30"/>
          <w:highlight w:val="none"/>
          <w:lang w:val="en-US" w:eastAsia="zh-CN"/>
        </w:rPr>
        <w:t>2</w:t>
      </w:r>
      <w:r>
        <w:rPr>
          <w:rFonts w:hint="default" w:ascii="Times New Roman" w:hAnsi="Times New Roman" w:eastAsia="仿宋_GB2312" w:cs="Times New Roman"/>
          <w:b w:val="0"/>
          <w:bCs/>
          <w:color w:val="auto"/>
          <w:sz w:val="30"/>
          <w:szCs w:val="30"/>
          <w:highlight w:val="none"/>
        </w:rPr>
        <w:t>座水库防洪保护对象</w:t>
      </w:r>
      <w:r>
        <w:rPr>
          <w:rFonts w:hint="default" w:ascii="Times New Roman" w:hAnsi="Times New Roman" w:eastAsia="仿宋_GB2312" w:cs="Times New Roman"/>
          <w:b w:val="0"/>
          <w:bCs/>
          <w:color w:val="auto"/>
          <w:sz w:val="30"/>
          <w:szCs w:val="30"/>
          <w:highlight w:val="none"/>
          <w:lang w:val="en-US" w:eastAsia="zh-CN"/>
        </w:rPr>
        <w:t>为</w:t>
      </w:r>
      <w:r>
        <w:rPr>
          <w:rFonts w:hint="default" w:ascii="Times New Roman" w:hAnsi="Times New Roman" w:eastAsia="仿宋_GB2312" w:cs="Times New Roman"/>
          <w:b w:val="0"/>
          <w:bCs/>
          <w:color w:val="auto"/>
          <w:sz w:val="30"/>
          <w:szCs w:val="30"/>
          <w:highlight w:val="none"/>
        </w:rPr>
        <w:t>支流</w:t>
      </w:r>
      <w:r>
        <w:rPr>
          <w:rFonts w:hint="default" w:ascii="Times New Roman" w:hAnsi="Times New Roman" w:eastAsia="仿宋_GB2312" w:cs="Times New Roman"/>
          <w:b w:val="0"/>
          <w:bCs/>
          <w:color w:val="auto"/>
          <w:sz w:val="30"/>
          <w:szCs w:val="30"/>
          <w:highlight w:val="none"/>
          <w:lang w:val="en-US" w:eastAsia="zh-CN"/>
        </w:rPr>
        <w:t>坝下沿岸</w:t>
      </w:r>
      <w:r>
        <w:rPr>
          <w:rFonts w:hint="default" w:ascii="Times New Roman" w:hAnsi="Times New Roman" w:eastAsia="仿宋_GB2312" w:cs="Times New Roman"/>
          <w:b w:val="0"/>
          <w:bCs/>
          <w:color w:val="auto"/>
          <w:sz w:val="30"/>
          <w:szCs w:val="30"/>
          <w:highlight w:val="none"/>
        </w:rPr>
        <w:t>城镇，防洪库容小，对沱江干流防洪作用甚微。</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eastAsia" w:ascii="楷体_GB2312" w:hAnsi="楷体_GB2312" w:eastAsia="楷体_GB2312" w:cs="楷体_GB2312"/>
          <w:b w:val="0"/>
          <w:bCs/>
          <w:color w:val="auto"/>
          <w:sz w:val="30"/>
          <w:szCs w:val="30"/>
          <w:highlight w:val="none"/>
        </w:rPr>
      </w:pPr>
      <w:r>
        <w:rPr>
          <w:rFonts w:hint="eastAsia" w:ascii="楷体_GB2312" w:hAnsi="楷体_GB2312" w:eastAsia="楷体_GB2312" w:cs="楷体_GB2312"/>
          <w:b w:val="0"/>
          <w:bCs/>
          <w:color w:val="auto"/>
          <w:sz w:val="30"/>
          <w:szCs w:val="30"/>
          <w:highlight w:val="none"/>
        </w:rPr>
        <w:t>（二）非工程措施</w:t>
      </w:r>
      <w:bookmarkEnd w:id="21"/>
      <w:r>
        <w:rPr>
          <w:rFonts w:hint="eastAsia" w:ascii="楷体_GB2312" w:hAnsi="楷体_GB2312" w:eastAsia="楷体_GB2312" w:cs="楷体_GB2312"/>
          <w:b w:val="0"/>
          <w:bCs/>
          <w:color w:val="auto"/>
          <w:sz w:val="30"/>
          <w:szCs w:val="30"/>
          <w:highlight w:val="none"/>
        </w:rPr>
        <w:t>建设</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1.防汛指挥系统。</w:t>
      </w:r>
      <w:r>
        <w:rPr>
          <w:rFonts w:hint="default" w:ascii="Times New Roman" w:hAnsi="Times New Roman" w:eastAsia="仿宋_GB2312" w:cs="Times New Roman"/>
          <w:b w:val="0"/>
          <w:bCs/>
          <w:color w:val="auto"/>
          <w:sz w:val="30"/>
          <w:szCs w:val="30"/>
          <w:highlight w:val="none"/>
          <w:lang w:val="en-US" w:eastAsia="zh-CN"/>
        </w:rPr>
        <w:t>已建成</w:t>
      </w:r>
      <w:r>
        <w:rPr>
          <w:rFonts w:hint="default" w:ascii="Times New Roman" w:hAnsi="Times New Roman" w:eastAsia="仿宋_GB2312" w:cs="Times New Roman"/>
          <w:b w:val="0"/>
          <w:bCs/>
          <w:color w:val="auto"/>
          <w:sz w:val="30"/>
          <w:szCs w:val="30"/>
          <w:highlight w:val="none"/>
        </w:rPr>
        <w:t>四川省与国家防总、长江防总的计算机广域网系统、视频会议系统，省</w:t>
      </w:r>
      <w:r>
        <w:rPr>
          <w:rFonts w:hint="default" w:ascii="Times New Roman" w:hAnsi="Times New Roman" w:eastAsia="仿宋_GB2312" w:cs="Times New Roman"/>
          <w:b w:val="0"/>
          <w:bCs/>
          <w:color w:val="auto"/>
          <w:sz w:val="30"/>
          <w:szCs w:val="30"/>
          <w:highlight w:val="none"/>
          <w:lang w:val="en-US" w:eastAsia="zh-CN"/>
        </w:rPr>
        <w:t>及流域内各</w:t>
      </w:r>
      <w:r>
        <w:rPr>
          <w:rFonts w:hint="default" w:ascii="Times New Roman" w:hAnsi="Times New Roman" w:eastAsia="仿宋_GB2312" w:cs="Times New Roman"/>
          <w:b w:val="0"/>
          <w:bCs/>
          <w:color w:val="auto"/>
          <w:sz w:val="30"/>
          <w:szCs w:val="30"/>
          <w:highlight w:val="none"/>
        </w:rPr>
        <w:t>市的防汛专网</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业务管理系统</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防汛视频会议系统，6个水情分中心。</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2.防汛监测系统。</w:t>
      </w:r>
      <w:r>
        <w:rPr>
          <w:rFonts w:hint="default" w:ascii="Times New Roman" w:hAnsi="Times New Roman" w:eastAsia="仿宋_GB2312" w:cs="Times New Roman"/>
          <w:b w:val="0"/>
          <w:bCs/>
          <w:color w:val="auto"/>
          <w:sz w:val="30"/>
          <w:szCs w:val="30"/>
          <w:highlight w:val="none"/>
          <w:lang w:val="en-US" w:eastAsia="zh-CN"/>
        </w:rPr>
        <w:t>已建成</w:t>
      </w:r>
      <w:r>
        <w:rPr>
          <w:rFonts w:hint="default" w:ascii="Times New Roman" w:hAnsi="Times New Roman" w:eastAsia="仿宋_GB2312" w:cs="Times New Roman"/>
          <w:b w:val="0"/>
          <w:bCs/>
          <w:color w:val="auto"/>
          <w:sz w:val="30"/>
          <w:szCs w:val="30"/>
          <w:highlight w:val="none"/>
        </w:rPr>
        <w:t>水文监测站点301个</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其中水文站34个</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水位站24个</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雨量站243个</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lang w:val="en-US" w:eastAsia="zh-CN"/>
        </w:rPr>
        <w:t>形成了</w:t>
      </w:r>
      <w:r>
        <w:rPr>
          <w:rFonts w:hint="default" w:ascii="Times New Roman" w:hAnsi="Times New Roman" w:eastAsia="仿宋_GB2312" w:cs="Times New Roman"/>
          <w:b w:val="0"/>
          <w:bCs/>
          <w:color w:val="auto"/>
          <w:sz w:val="30"/>
          <w:szCs w:val="30"/>
          <w:highlight w:val="none"/>
        </w:rPr>
        <w:t>比较完</w:t>
      </w:r>
      <w:r>
        <w:rPr>
          <w:rFonts w:hint="default" w:ascii="Times New Roman" w:hAnsi="Times New Roman" w:eastAsia="仿宋_GB2312" w:cs="Times New Roman"/>
          <w:b w:val="0"/>
          <w:bCs/>
          <w:color w:val="auto"/>
          <w:sz w:val="30"/>
          <w:szCs w:val="30"/>
          <w:highlight w:val="none"/>
          <w:lang w:val="en-US" w:eastAsia="zh-CN"/>
        </w:rPr>
        <w:t>善</w:t>
      </w:r>
      <w:r>
        <w:rPr>
          <w:rFonts w:hint="default" w:ascii="Times New Roman" w:hAnsi="Times New Roman" w:eastAsia="仿宋_GB2312" w:cs="Times New Roman"/>
          <w:b w:val="0"/>
          <w:bCs/>
          <w:color w:val="auto"/>
          <w:sz w:val="30"/>
          <w:szCs w:val="30"/>
          <w:highlight w:val="none"/>
        </w:rPr>
        <w:t>、相对稳定的基本报汛站网体系，</w:t>
      </w:r>
      <w:r>
        <w:rPr>
          <w:rFonts w:hint="default" w:ascii="Times New Roman" w:hAnsi="Times New Roman" w:eastAsia="仿宋_GB2312" w:cs="Times New Roman"/>
          <w:b w:val="0"/>
          <w:bCs/>
          <w:color w:val="auto"/>
          <w:sz w:val="30"/>
          <w:szCs w:val="30"/>
          <w:highlight w:val="none"/>
          <w:lang w:val="en-US" w:eastAsia="zh-CN"/>
        </w:rPr>
        <w:t>覆盖</w:t>
      </w:r>
      <w:r>
        <w:rPr>
          <w:rFonts w:hint="default" w:ascii="Times New Roman" w:hAnsi="Times New Roman" w:eastAsia="仿宋_GB2312" w:cs="Times New Roman"/>
          <w:b w:val="0"/>
          <w:bCs/>
          <w:color w:val="auto"/>
          <w:sz w:val="30"/>
          <w:szCs w:val="30"/>
          <w:highlight w:val="none"/>
        </w:rPr>
        <w:t>了沱江干流及主要支流，为沱江流域防汛抗旱</w:t>
      </w:r>
      <w:r>
        <w:rPr>
          <w:rFonts w:hint="default" w:ascii="Times New Roman" w:hAnsi="Times New Roman" w:eastAsia="仿宋_GB2312" w:cs="Times New Roman"/>
          <w:b w:val="0"/>
          <w:bCs/>
          <w:color w:val="auto"/>
          <w:sz w:val="30"/>
          <w:szCs w:val="30"/>
          <w:highlight w:val="none"/>
          <w:lang w:val="en-US" w:eastAsia="zh-CN"/>
        </w:rPr>
        <w:t>提供了技术保障</w:t>
      </w:r>
      <w:r>
        <w:rPr>
          <w:rFonts w:hint="default" w:ascii="Times New Roman" w:hAnsi="Times New Roman" w:eastAsia="仿宋_GB2312" w:cs="Times New Roman"/>
          <w:b w:val="0"/>
          <w:bCs/>
          <w:color w:val="auto"/>
          <w:sz w:val="30"/>
          <w:szCs w:val="30"/>
          <w:highlight w:val="none"/>
        </w:rPr>
        <w:t>。</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3.防洪管理。已建立以辖区行政首长负责制为核心的省、市、县三级防洪管理体制和机构</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国家防总、水利部、长江防总、长江委对流域防洪进行指导和监督。</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bookmarkStart w:id="22" w:name="_Toc294463229"/>
      <w:bookmarkStart w:id="23" w:name="_Toc293828262"/>
      <w:r>
        <w:rPr>
          <w:rStyle w:val="550"/>
          <w:rFonts w:hint="eastAsia" w:ascii="黑体" w:hAnsi="黑体" w:eastAsia="黑体" w:cs="黑体"/>
          <w:b w:val="0"/>
          <w:bCs/>
          <w:color w:val="auto"/>
          <w:highlight w:val="none"/>
        </w:rPr>
        <w:t>二、现状防洪能力</w:t>
      </w:r>
      <w:bookmarkEnd w:id="22"/>
      <w:bookmarkEnd w:id="23"/>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bookmarkStart w:id="24" w:name="_Toc293828264"/>
      <w:bookmarkStart w:id="25" w:name="_Toc274322633"/>
      <w:bookmarkStart w:id="26" w:name="_Toc275336170"/>
      <w:bookmarkStart w:id="27" w:name="_Toc294463230"/>
      <w:bookmarkStart w:id="28" w:name="_Toc274668772"/>
      <w:bookmarkStart w:id="29" w:name="_Toc275335990"/>
      <w:bookmarkStart w:id="30" w:name="_Toc274668885"/>
      <w:bookmarkStart w:id="31" w:name="_Toc274668414"/>
      <w:r>
        <w:rPr>
          <w:rFonts w:hint="default" w:ascii="Times New Roman" w:hAnsi="Times New Roman" w:eastAsia="仿宋_GB2312" w:cs="Times New Roman"/>
          <w:b w:val="0"/>
          <w:bCs/>
          <w:color w:val="auto"/>
          <w:sz w:val="30"/>
          <w:szCs w:val="30"/>
          <w:highlight w:val="none"/>
        </w:rPr>
        <w:t>根据《四川省防洪标准复核和完善防洪体系布局研究》成果，沱江流域有防洪需求的县级以上城市19</w:t>
      </w:r>
      <w:r>
        <w:rPr>
          <w:rFonts w:hint="default" w:ascii="Times New Roman" w:hAnsi="Times New Roman" w:eastAsia="仿宋_GB2312" w:cs="Times New Roman"/>
          <w:b w:val="0"/>
          <w:bCs/>
          <w:color w:val="auto"/>
          <w:sz w:val="30"/>
          <w:szCs w:val="30"/>
          <w:highlight w:val="none"/>
          <w:lang w:val="en-US" w:eastAsia="zh-CN"/>
        </w:rPr>
        <w:t>个</w:t>
      </w:r>
      <w:r>
        <w:rPr>
          <w:rFonts w:hint="default" w:ascii="Times New Roman" w:hAnsi="Times New Roman" w:eastAsia="仿宋_GB2312" w:cs="Times New Roman"/>
          <w:b w:val="0"/>
          <w:bCs/>
          <w:color w:val="auto"/>
          <w:sz w:val="30"/>
          <w:szCs w:val="30"/>
          <w:highlight w:val="none"/>
        </w:rPr>
        <w:t>，其中地级市5</w:t>
      </w:r>
      <w:r>
        <w:rPr>
          <w:rFonts w:hint="default" w:ascii="Times New Roman" w:hAnsi="Times New Roman" w:eastAsia="仿宋_GB2312" w:cs="Times New Roman"/>
          <w:b w:val="0"/>
          <w:bCs/>
          <w:color w:val="auto"/>
          <w:sz w:val="30"/>
          <w:szCs w:val="30"/>
          <w:highlight w:val="none"/>
          <w:lang w:val="en-US" w:eastAsia="zh-CN"/>
        </w:rPr>
        <w:t>个</w:t>
      </w:r>
      <w:r>
        <w:rPr>
          <w:rFonts w:hint="default" w:ascii="Times New Roman" w:hAnsi="Times New Roman" w:eastAsia="仿宋_GB2312" w:cs="Times New Roman"/>
          <w:b w:val="0"/>
          <w:bCs/>
          <w:color w:val="auto"/>
          <w:sz w:val="30"/>
          <w:szCs w:val="30"/>
          <w:highlight w:val="none"/>
        </w:rPr>
        <w:t>。防洪能力达标的县级以上城市15个，</w:t>
      </w:r>
      <w:bookmarkStart w:id="32" w:name="_Hlk121042422"/>
      <w:r>
        <w:rPr>
          <w:rFonts w:hint="default" w:ascii="Times New Roman" w:hAnsi="Times New Roman" w:eastAsia="仿宋_GB2312" w:cs="Times New Roman"/>
          <w:b w:val="0"/>
          <w:bCs/>
          <w:color w:val="auto"/>
          <w:sz w:val="30"/>
          <w:szCs w:val="30"/>
          <w:highlight w:val="none"/>
          <w:lang w:val="en-US" w:eastAsia="zh-CN"/>
        </w:rPr>
        <w:t>达标率为</w:t>
      </w:r>
      <w:r>
        <w:rPr>
          <w:rFonts w:hint="default" w:ascii="Times New Roman" w:hAnsi="Times New Roman" w:eastAsia="仿宋_GB2312" w:cs="Times New Roman"/>
          <w:b w:val="0"/>
          <w:bCs/>
          <w:color w:val="auto"/>
          <w:sz w:val="30"/>
          <w:szCs w:val="30"/>
          <w:highlight w:val="none"/>
        </w:rPr>
        <w:t>79%。沱江流域有防洪任务的重点河段共计100段，河长101</w:t>
      </w:r>
      <w:r>
        <w:rPr>
          <w:rFonts w:hint="default" w:ascii="Times New Roman" w:hAnsi="Times New Roman" w:eastAsia="仿宋_GB2312" w:cs="Times New Roman"/>
          <w:b w:val="0"/>
          <w:bCs/>
          <w:color w:val="auto"/>
          <w:sz w:val="30"/>
          <w:szCs w:val="30"/>
          <w:highlight w:val="none"/>
          <w:lang w:val="en-US" w:eastAsia="zh-CN"/>
        </w:rPr>
        <w:t>1</w:t>
      </w:r>
      <w:r>
        <w:rPr>
          <w:rFonts w:hint="default" w:ascii="Times New Roman" w:hAnsi="Times New Roman" w:eastAsia="仿宋_GB2312" w:cs="Times New Roman"/>
          <w:b w:val="0"/>
          <w:bCs/>
          <w:color w:val="auto"/>
          <w:sz w:val="30"/>
          <w:szCs w:val="30"/>
          <w:highlight w:val="none"/>
        </w:rPr>
        <w:t>km，达标或基本达标的河段长34</w:t>
      </w:r>
      <w:r>
        <w:rPr>
          <w:rFonts w:hint="default" w:ascii="Times New Roman" w:hAnsi="Times New Roman" w:eastAsia="仿宋_GB2312" w:cs="Times New Roman"/>
          <w:b w:val="0"/>
          <w:bCs/>
          <w:color w:val="auto"/>
          <w:sz w:val="30"/>
          <w:szCs w:val="30"/>
          <w:highlight w:val="none"/>
          <w:lang w:val="en-US" w:eastAsia="zh-CN"/>
        </w:rPr>
        <w:t>8</w:t>
      </w:r>
      <w:r>
        <w:rPr>
          <w:rFonts w:hint="default" w:ascii="Times New Roman" w:hAnsi="Times New Roman" w:eastAsia="仿宋_GB2312" w:cs="Times New Roman"/>
          <w:b w:val="0"/>
          <w:bCs/>
          <w:color w:val="auto"/>
          <w:sz w:val="30"/>
          <w:szCs w:val="30"/>
          <w:highlight w:val="none"/>
        </w:rPr>
        <w:t>km，</w:t>
      </w:r>
      <w:r>
        <w:rPr>
          <w:rFonts w:hint="default" w:ascii="Times New Roman" w:hAnsi="Times New Roman" w:eastAsia="仿宋_GB2312" w:cs="Times New Roman"/>
          <w:b w:val="0"/>
          <w:bCs/>
          <w:color w:val="auto"/>
          <w:sz w:val="30"/>
          <w:szCs w:val="30"/>
          <w:highlight w:val="none"/>
          <w:lang w:val="en-US" w:eastAsia="zh-CN"/>
        </w:rPr>
        <w:t>达标率为</w:t>
      </w:r>
      <w:r>
        <w:rPr>
          <w:rFonts w:hint="default" w:ascii="Times New Roman" w:hAnsi="Times New Roman" w:eastAsia="仿宋_GB2312" w:cs="Times New Roman"/>
          <w:b w:val="0"/>
          <w:bCs/>
          <w:color w:val="auto"/>
          <w:sz w:val="30"/>
          <w:szCs w:val="30"/>
          <w:highlight w:val="none"/>
        </w:rPr>
        <w:t>34%。</w:t>
      </w:r>
      <w:bookmarkEnd w:id="32"/>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沱江上游德阳段已建堤防5</w:t>
      </w:r>
      <w:r>
        <w:rPr>
          <w:rFonts w:hint="default" w:ascii="Times New Roman" w:hAnsi="Times New Roman" w:eastAsia="仿宋_GB2312" w:cs="Times New Roman"/>
          <w:b w:val="0"/>
          <w:bCs/>
          <w:color w:val="auto"/>
          <w:sz w:val="30"/>
          <w:szCs w:val="30"/>
          <w:highlight w:val="none"/>
          <w:lang w:val="en-US" w:eastAsia="zh-CN"/>
        </w:rPr>
        <w:t>10</w:t>
      </w:r>
      <w:r>
        <w:rPr>
          <w:rFonts w:hint="default" w:ascii="Times New Roman" w:hAnsi="Times New Roman" w:eastAsia="仿宋_GB2312" w:cs="Times New Roman"/>
          <w:b w:val="0"/>
          <w:bCs/>
          <w:color w:val="auto"/>
          <w:sz w:val="30"/>
          <w:szCs w:val="30"/>
          <w:highlight w:val="none"/>
        </w:rPr>
        <w:t>km，城区防洪</w:t>
      </w:r>
      <w:r>
        <w:rPr>
          <w:rFonts w:hint="default" w:ascii="Times New Roman" w:hAnsi="Times New Roman" w:eastAsia="仿宋_GB2312" w:cs="Times New Roman"/>
          <w:b w:val="0"/>
          <w:bCs/>
          <w:color w:val="auto"/>
          <w:sz w:val="30"/>
          <w:szCs w:val="30"/>
          <w:highlight w:val="none"/>
          <w:lang w:val="en-US" w:eastAsia="zh-CN"/>
        </w:rPr>
        <w:t>能力</w:t>
      </w:r>
      <w:r>
        <w:rPr>
          <w:rFonts w:hint="default" w:ascii="Times New Roman" w:hAnsi="Times New Roman" w:eastAsia="仿宋_GB2312" w:cs="Times New Roman"/>
          <w:b w:val="0"/>
          <w:bCs/>
          <w:color w:val="auto"/>
          <w:sz w:val="30"/>
          <w:szCs w:val="30"/>
          <w:highlight w:val="none"/>
        </w:rPr>
        <w:t>普遍达到20～50年一遇，乡村段普遍达到10～</w:t>
      </w:r>
      <w:r>
        <w:rPr>
          <w:rFonts w:hint="default" w:ascii="Times New Roman" w:hAnsi="Times New Roman" w:eastAsia="仿宋_GB2312" w:cs="Times New Roman"/>
          <w:b w:val="0"/>
          <w:bCs/>
          <w:color w:val="auto"/>
          <w:sz w:val="30"/>
          <w:szCs w:val="30"/>
          <w:highlight w:val="none"/>
          <w:lang w:val="en-US" w:eastAsia="zh-CN"/>
        </w:rPr>
        <w:t>2</w:t>
      </w:r>
      <w:r>
        <w:rPr>
          <w:rFonts w:hint="default" w:ascii="Times New Roman" w:hAnsi="Times New Roman" w:eastAsia="仿宋_GB2312" w:cs="Times New Roman"/>
          <w:b w:val="0"/>
          <w:bCs/>
          <w:color w:val="auto"/>
          <w:sz w:val="30"/>
          <w:szCs w:val="30"/>
          <w:highlight w:val="none"/>
        </w:rPr>
        <w:t>0年一遇，但</w:t>
      </w:r>
      <w:r>
        <w:rPr>
          <w:rFonts w:hint="default" w:ascii="Times New Roman" w:hAnsi="Times New Roman" w:eastAsia="仿宋_GB2312" w:cs="Times New Roman"/>
          <w:b w:val="0"/>
          <w:bCs/>
          <w:color w:val="auto"/>
          <w:sz w:val="30"/>
          <w:szCs w:val="30"/>
          <w:highlight w:val="none"/>
          <w:lang w:val="en-US" w:eastAsia="zh-CN"/>
        </w:rPr>
        <w:t>局部</w:t>
      </w:r>
      <w:r>
        <w:rPr>
          <w:rFonts w:hint="default" w:ascii="Times New Roman" w:hAnsi="Times New Roman" w:eastAsia="仿宋_GB2312" w:cs="Times New Roman"/>
          <w:b w:val="0"/>
          <w:bCs/>
          <w:color w:val="auto"/>
          <w:sz w:val="30"/>
          <w:szCs w:val="30"/>
          <w:highlight w:val="none"/>
        </w:rPr>
        <w:t>堤防建设标准</w:t>
      </w:r>
      <w:r>
        <w:rPr>
          <w:rFonts w:hint="default" w:ascii="Times New Roman" w:hAnsi="Times New Roman" w:eastAsia="仿宋_GB2312" w:cs="Times New Roman"/>
          <w:b w:val="0"/>
          <w:bCs/>
          <w:color w:val="auto"/>
          <w:sz w:val="30"/>
          <w:szCs w:val="30"/>
          <w:highlight w:val="none"/>
          <w:lang w:val="en-US" w:eastAsia="zh-CN"/>
        </w:rPr>
        <w:t>偏低</w:t>
      </w:r>
      <w:r>
        <w:rPr>
          <w:rFonts w:hint="default" w:ascii="Times New Roman" w:hAnsi="Times New Roman" w:eastAsia="仿宋_GB2312" w:cs="Times New Roman"/>
          <w:b w:val="0"/>
          <w:bCs/>
          <w:color w:val="auto"/>
          <w:sz w:val="30"/>
          <w:szCs w:val="30"/>
          <w:highlight w:val="none"/>
        </w:rPr>
        <w:t>，部分</w:t>
      </w:r>
      <w:r>
        <w:rPr>
          <w:rFonts w:hint="default" w:ascii="Times New Roman" w:hAnsi="Times New Roman" w:eastAsia="仿宋_GB2312" w:cs="Times New Roman"/>
          <w:b w:val="0"/>
          <w:bCs/>
          <w:color w:val="auto"/>
          <w:sz w:val="30"/>
          <w:szCs w:val="30"/>
          <w:highlight w:val="none"/>
          <w:lang w:val="en-US" w:eastAsia="zh-CN"/>
        </w:rPr>
        <w:t>河段</w:t>
      </w:r>
      <w:r>
        <w:rPr>
          <w:rFonts w:hint="default" w:ascii="Times New Roman" w:hAnsi="Times New Roman" w:eastAsia="仿宋_GB2312" w:cs="Times New Roman"/>
          <w:b w:val="0"/>
          <w:bCs/>
          <w:color w:val="auto"/>
          <w:sz w:val="30"/>
          <w:szCs w:val="30"/>
          <w:highlight w:val="none"/>
        </w:rPr>
        <w:t>现</w:t>
      </w:r>
      <w:r>
        <w:rPr>
          <w:rFonts w:hint="default" w:ascii="Times New Roman" w:hAnsi="Times New Roman" w:eastAsia="仿宋_GB2312" w:cs="Times New Roman"/>
          <w:b w:val="0"/>
          <w:bCs/>
          <w:color w:val="auto"/>
          <w:sz w:val="30"/>
          <w:szCs w:val="30"/>
          <w:highlight w:val="none"/>
          <w:lang w:val="en-US" w:eastAsia="zh-CN"/>
        </w:rPr>
        <w:t>为自然河岸，不</w:t>
      </w:r>
      <w:r>
        <w:rPr>
          <w:rFonts w:hint="default" w:ascii="Times New Roman" w:hAnsi="Times New Roman" w:eastAsia="仿宋_GB2312" w:cs="Times New Roman"/>
          <w:b w:val="0"/>
          <w:bCs/>
          <w:color w:val="auto"/>
          <w:sz w:val="30"/>
          <w:szCs w:val="30"/>
          <w:highlight w:val="none"/>
        </w:rPr>
        <w:t>满足防洪要求。</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default" w:ascii="Times New Roman" w:hAnsi="Times New Roman" w:eastAsia="仿宋_GB2312" w:cs="Times New Roman"/>
          <w:b w:val="0"/>
          <w:bCs/>
          <w:color w:val="auto"/>
          <w:sz w:val="30"/>
          <w:szCs w:val="30"/>
          <w:highlight w:val="none"/>
        </w:rPr>
      </w:pPr>
      <w:r>
        <w:rPr>
          <w:rFonts w:hint="default" w:ascii="Times New Roman" w:hAnsi="Times New Roman" w:eastAsia="仿宋_GB2312" w:cs="Times New Roman"/>
          <w:b w:val="0"/>
          <w:bCs/>
          <w:color w:val="auto"/>
          <w:sz w:val="30"/>
          <w:szCs w:val="30"/>
          <w:highlight w:val="none"/>
        </w:rPr>
        <w:t>沱江中游成都段防洪能力薄弱环节主要集中在金堂</w:t>
      </w:r>
      <w:r>
        <w:rPr>
          <w:rFonts w:hint="default" w:ascii="Times New Roman" w:hAnsi="Times New Roman" w:eastAsia="仿宋_GB2312" w:cs="Times New Roman"/>
          <w:b w:val="0"/>
          <w:bCs/>
          <w:color w:val="auto"/>
          <w:sz w:val="30"/>
          <w:szCs w:val="30"/>
          <w:highlight w:val="none"/>
          <w:lang w:val="en-US" w:eastAsia="zh-CN"/>
        </w:rPr>
        <w:t>县</w:t>
      </w:r>
      <w:r>
        <w:rPr>
          <w:rFonts w:hint="default" w:ascii="Times New Roman" w:hAnsi="Times New Roman" w:eastAsia="仿宋_GB2312" w:cs="Times New Roman"/>
          <w:b w:val="0"/>
          <w:bCs/>
          <w:color w:val="auto"/>
          <w:sz w:val="30"/>
          <w:szCs w:val="30"/>
          <w:highlight w:val="none"/>
        </w:rPr>
        <w:t>城</w:t>
      </w:r>
      <w:r>
        <w:rPr>
          <w:rFonts w:hint="default" w:ascii="Times New Roman" w:hAnsi="Times New Roman" w:eastAsia="仿宋_GB2312" w:cs="Times New Roman"/>
          <w:b w:val="0"/>
          <w:bCs/>
          <w:color w:val="auto"/>
          <w:sz w:val="30"/>
          <w:szCs w:val="30"/>
          <w:highlight w:val="none"/>
          <w:lang w:val="en-US" w:eastAsia="zh-CN"/>
        </w:rPr>
        <w:t>区</w:t>
      </w:r>
      <w:r>
        <w:rPr>
          <w:rFonts w:hint="default" w:ascii="Times New Roman" w:hAnsi="Times New Roman" w:eastAsia="仿宋_GB2312" w:cs="Times New Roman"/>
          <w:b w:val="0"/>
          <w:bCs/>
          <w:color w:val="auto"/>
          <w:sz w:val="30"/>
          <w:szCs w:val="30"/>
          <w:highlight w:val="none"/>
        </w:rPr>
        <w:t>段</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lang w:val="en-US" w:eastAsia="zh-CN"/>
        </w:rPr>
        <w:t>金堂县已实施的</w:t>
      </w:r>
      <w:r>
        <w:rPr>
          <w:rFonts w:hint="default" w:ascii="Times New Roman" w:hAnsi="Times New Roman" w:eastAsia="仿宋_GB2312" w:cs="Times New Roman"/>
          <w:b w:val="0"/>
          <w:bCs/>
          <w:color w:val="auto"/>
          <w:sz w:val="30"/>
          <w:szCs w:val="30"/>
          <w:highlight w:val="none"/>
        </w:rPr>
        <w:t>防洪工程</w:t>
      </w:r>
      <w:r>
        <w:rPr>
          <w:rFonts w:hint="default" w:ascii="Times New Roman" w:hAnsi="Times New Roman" w:eastAsia="仿宋_GB2312" w:cs="Times New Roman"/>
          <w:b w:val="0"/>
          <w:bCs/>
          <w:color w:val="auto"/>
          <w:sz w:val="30"/>
          <w:szCs w:val="30"/>
          <w:highlight w:val="none"/>
          <w:lang w:val="en-US" w:eastAsia="zh-CN"/>
        </w:rPr>
        <w:t>主要</w:t>
      </w:r>
      <w:r>
        <w:rPr>
          <w:rFonts w:hint="default" w:ascii="Times New Roman" w:hAnsi="Times New Roman" w:eastAsia="仿宋_GB2312" w:cs="Times New Roman"/>
          <w:b w:val="0"/>
          <w:bCs/>
          <w:color w:val="auto"/>
          <w:sz w:val="30"/>
          <w:szCs w:val="30"/>
          <w:highlight w:val="none"/>
        </w:rPr>
        <w:t>有</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lang w:val="en-US" w:eastAsia="zh-CN"/>
        </w:rPr>
        <w:t>沱江</w:t>
      </w:r>
      <w:r>
        <w:rPr>
          <w:rFonts w:hint="default" w:ascii="Times New Roman" w:hAnsi="Times New Roman" w:eastAsia="仿宋_GB2312" w:cs="Times New Roman"/>
          <w:b w:val="0"/>
          <w:bCs/>
          <w:color w:val="auto"/>
          <w:sz w:val="30"/>
          <w:szCs w:val="30"/>
          <w:highlight w:val="none"/>
        </w:rPr>
        <w:t>金堂峡拓</w:t>
      </w:r>
      <w:r>
        <w:rPr>
          <w:rFonts w:hint="default" w:ascii="Times New Roman" w:hAnsi="Times New Roman" w:eastAsia="仿宋_GB2312" w:cs="Times New Roman"/>
          <w:b w:val="0"/>
          <w:bCs/>
          <w:color w:val="auto"/>
          <w:sz w:val="30"/>
          <w:szCs w:val="30"/>
          <w:highlight w:val="none"/>
          <w:lang w:val="en-US" w:eastAsia="zh-CN"/>
        </w:rPr>
        <w:t>卡</w:t>
      </w:r>
      <w:r>
        <w:rPr>
          <w:rFonts w:hint="default" w:ascii="Times New Roman" w:hAnsi="Times New Roman" w:eastAsia="仿宋_GB2312" w:cs="Times New Roman"/>
          <w:b w:val="0"/>
          <w:bCs/>
          <w:color w:val="auto"/>
          <w:sz w:val="30"/>
          <w:szCs w:val="30"/>
          <w:highlight w:val="none"/>
        </w:rPr>
        <w:t>工程</w:t>
      </w:r>
      <w:r>
        <w:rPr>
          <w:rFonts w:hint="default" w:ascii="Times New Roman" w:hAnsi="Times New Roman" w:eastAsia="仿宋_GB2312" w:cs="Times New Roman"/>
          <w:b w:val="0"/>
          <w:bCs/>
          <w:color w:val="auto"/>
          <w:sz w:val="30"/>
          <w:szCs w:val="30"/>
          <w:highlight w:val="none"/>
          <w:lang w:eastAsia="zh-CN"/>
        </w:rPr>
        <w:t>”</w:t>
      </w:r>
      <w:r>
        <w:rPr>
          <w:rFonts w:hint="default" w:ascii="Times New Roman" w:hAnsi="Times New Roman" w:eastAsia="仿宋_GB2312" w:cs="Times New Roman"/>
          <w:b w:val="0"/>
          <w:bCs/>
          <w:color w:val="auto"/>
          <w:sz w:val="30"/>
          <w:szCs w:val="30"/>
          <w:highlight w:val="none"/>
        </w:rPr>
        <w:t>，长约1.2km，河道从50～75m拓宽至90m；</w:t>
      </w:r>
      <w:r>
        <w:rPr>
          <w:rFonts w:hint="default" w:ascii="Times New Roman" w:hAnsi="Times New Roman" w:eastAsia="仿宋_GB2312" w:cs="Times New Roman"/>
          <w:b w:val="0"/>
          <w:bCs/>
          <w:color w:val="auto"/>
          <w:sz w:val="30"/>
          <w:szCs w:val="30"/>
          <w:highlight w:val="none"/>
          <w:lang w:val="en-US" w:eastAsia="zh-CN"/>
        </w:rPr>
        <w:t>城区已建堤防护岸</w:t>
      </w:r>
      <w:r>
        <w:rPr>
          <w:rFonts w:hint="default" w:ascii="Times New Roman" w:hAnsi="Times New Roman" w:eastAsia="仿宋_GB2312" w:cs="Times New Roman"/>
          <w:b w:val="0"/>
          <w:bCs/>
          <w:color w:val="auto"/>
          <w:sz w:val="30"/>
          <w:szCs w:val="30"/>
          <w:highlight w:val="none"/>
        </w:rPr>
        <w:t>37km。受金堂县城下游金堂峡壅水及城区堤防建设条件制约，城区段防洪能力为5～10年一遇，部分不足5年一遇，近年来</w:t>
      </w:r>
      <w:r>
        <w:rPr>
          <w:rFonts w:hint="default" w:ascii="Times New Roman" w:hAnsi="Times New Roman" w:eastAsia="仿宋_GB2312" w:cs="Times New Roman"/>
          <w:b w:val="0"/>
          <w:bCs/>
          <w:color w:val="auto"/>
          <w:sz w:val="30"/>
          <w:szCs w:val="30"/>
          <w:highlight w:val="none"/>
          <w:lang w:val="en-US" w:eastAsia="zh-CN"/>
        </w:rPr>
        <w:t>县城</w:t>
      </w:r>
      <w:r>
        <w:rPr>
          <w:rFonts w:hint="default" w:ascii="Times New Roman" w:hAnsi="Times New Roman" w:eastAsia="仿宋_GB2312" w:cs="Times New Roman"/>
          <w:b w:val="0"/>
          <w:bCs/>
          <w:color w:val="auto"/>
          <w:sz w:val="30"/>
          <w:szCs w:val="30"/>
          <w:highlight w:val="none"/>
        </w:rPr>
        <w:t>屡受洪水威胁，防洪能力亟待提升。金堂峡下游干流</w:t>
      </w:r>
      <w:r>
        <w:rPr>
          <w:rFonts w:hint="default" w:ascii="Times New Roman" w:hAnsi="Times New Roman" w:eastAsia="仿宋_GB2312" w:cs="Times New Roman"/>
          <w:b w:val="0"/>
          <w:bCs/>
          <w:color w:val="auto"/>
          <w:sz w:val="30"/>
          <w:szCs w:val="30"/>
          <w:highlight w:val="none"/>
          <w:lang w:val="en-US" w:eastAsia="zh-CN"/>
        </w:rPr>
        <w:t>及</w:t>
      </w:r>
      <w:r>
        <w:rPr>
          <w:rFonts w:hint="default" w:ascii="Times New Roman" w:hAnsi="Times New Roman" w:eastAsia="仿宋_GB2312" w:cs="Times New Roman"/>
          <w:b w:val="0"/>
          <w:bCs/>
          <w:color w:val="auto"/>
          <w:sz w:val="30"/>
          <w:szCs w:val="30"/>
          <w:highlight w:val="none"/>
        </w:rPr>
        <w:t>各支流乡镇段防洪能力也较低，多为5～10年一遇。</w:t>
      </w:r>
    </w:p>
    <w:p>
      <w:pPr>
        <w:pStyle w:val="154"/>
        <w:pageBreakBefore w:val="0"/>
        <w:widowControl w:val="0"/>
        <w:kinsoku/>
        <w:wordWrap/>
        <w:overflowPunct/>
        <w:topLinePunct w:val="0"/>
        <w:autoSpaceDE/>
        <w:autoSpaceDN/>
        <w:bidi w:val="0"/>
        <w:adjustRightInd/>
        <w:snapToGrid/>
        <w:spacing w:line="560" w:lineRule="exact"/>
        <w:ind w:firstLine="578"/>
        <w:textAlignment w:val="auto"/>
        <w:rPr>
          <w:rFonts w:hint="default" w:eastAsia="仿宋_GB2312"/>
          <w:color w:val="auto"/>
          <w:sz w:val="30"/>
          <w:szCs w:val="30"/>
          <w:highlight w:val="none"/>
          <w:lang w:val="en-US" w:eastAsia="zh-CN"/>
        </w:rPr>
      </w:pPr>
      <w:r>
        <w:rPr>
          <w:rFonts w:hint="default" w:ascii="Times New Roman" w:hAnsi="Times New Roman" w:eastAsia="仿宋_GB2312" w:cs="Times New Roman"/>
          <w:b w:val="0"/>
          <w:bCs/>
          <w:color w:val="auto"/>
          <w:sz w:val="30"/>
          <w:szCs w:val="30"/>
          <w:highlight w:val="none"/>
        </w:rPr>
        <w:t>沱江中下游资阳、内江、自贡和泸州段防洪建设主要以堤防为主，干流防洪</w:t>
      </w:r>
      <w:r>
        <w:rPr>
          <w:rFonts w:hint="default" w:ascii="Times New Roman" w:hAnsi="Times New Roman" w:eastAsia="仿宋_GB2312" w:cs="Times New Roman"/>
          <w:b w:val="0"/>
          <w:bCs/>
          <w:color w:val="auto"/>
          <w:sz w:val="30"/>
          <w:szCs w:val="30"/>
          <w:highlight w:val="none"/>
          <w:lang w:val="en-US" w:eastAsia="zh-CN"/>
        </w:rPr>
        <w:t>能力为5</w:t>
      </w:r>
      <w:r>
        <w:rPr>
          <w:rFonts w:hint="default" w:ascii="Times New Roman" w:hAnsi="Times New Roman" w:eastAsia="仿宋_GB2312" w:cs="Times New Roman"/>
          <w:b w:val="0"/>
          <w:bCs/>
          <w:color w:val="auto"/>
          <w:sz w:val="30"/>
          <w:szCs w:val="30"/>
          <w:highlight w:val="none"/>
        </w:rPr>
        <w:t>～50年一遇，其中自贡市城区位于支流釜溪河，局部河段防洪</w:t>
      </w:r>
      <w:r>
        <w:rPr>
          <w:rFonts w:hint="default" w:ascii="Times New Roman" w:hAnsi="Times New Roman" w:eastAsia="仿宋_GB2312" w:cs="Times New Roman"/>
          <w:b w:val="0"/>
          <w:bCs/>
          <w:color w:val="auto"/>
          <w:sz w:val="30"/>
          <w:szCs w:val="30"/>
          <w:highlight w:val="none"/>
          <w:lang w:val="en-US" w:eastAsia="zh-CN"/>
        </w:rPr>
        <w:t>能力</w:t>
      </w:r>
      <w:r>
        <w:rPr>
          <w:rFonts w:hint="default" w:ascii="Times New Roman" w:hAnsi="Times New Roman" w:eastAsia="仿宋_GB2312" w:cs="Times New Roman"/>
          <w:b w:val="0"/>
          <w:bCs/>
          <w:color w:val="auto"/>
          <w:sz w:val="30"/>
          <w:szCs w:val="30"/>
          <w:highlight w:val="none"/>
        </w:rPr>
        <w:t>仅5年一遇。</w:t>
      </w:r>
      <w:r>
        <w:rPr>
          <w:rFonts w:hint="default" w:ascii="Times New Roman" w:hAnsi="Times New Roman" w:eastAsia="仿宋_GB2312" w:cs="Times New Roman"/>
          <w:b w:val="0"/>
          <w:bCs/>
          <w:color w:val="auto"/>
          <w:sz w:val="28"/>
          <w:highlight w:val="none"/>
        </w:rPr>
        <w:t>主要城市控制断面现状防洪能力</w:t>
      </w:r>
      <w:r>
        <w:rPr>
          <w:rFonts w:hint="default" w:ascii="Times New Roman" w:hAnsi="Times New Roman" w:eastAsia="仿宋_GB2312" w:cs="Times New Roman"/>
          <w:b w:val="0"/>
          <w:bCs/>
          <w:color w:val="auto"/>
          <w:sz w:val="28"/>
          <w:highlight w:val="none"/>
          <w:lang w:val="en-US" w:eastAsia="zh-CN"/>
        </w:rPr>
        <w:t>详见表1.2.1。</w:t>
      </w: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表1.2.1              主要城市控制断面现状防洪能力表</w:t>
      </w:r>
    </w:p>
    <w:tbl>
      <w:tblPr>
        <w:tblStyle w:val="88"/>
        <w:tblW w:w="5000" w:type="pct"/>
        <w:tblInd w:w="0" w:type="dxa"/>
        <w:tblLayout w:type="fixed"/>
        <w:tblCellMar>
          <w:top w:w="0" w:type="dxa"/>
          <w:left w:w="108" w:type="dxa"/>
          <w:bottom w:w="0" w:type="dxa"/>
          <w:right w:w="108" w:type="dxa"/>
        </w:tblCellMar>
      </w:tblPr>
      <w:tblGrid>
        <w:gridCol w:w="711"/>
        <w:gridCol w:w="795"/>
        <w:gridCol w:w="2424"/>
        <w:gridCol w:w="3449"/>
        <w:gridCol w:w="1907"/>
      </w:tblGrid>
      <w:tr>
        <w:tblPrEx>
          <w:tblCellMar>
            <w:top w:w="0" w:type="dxa"/>
            <w:left w:w="108" w:type="dxa"/>
            <w:bottom w:w="0" w:type="dxa"/>
            <w:right w:w="108" w:type="dxa"/>
          </w:tblCellMar>
        </w:tblPrEx>
        <w:trPr>
          <w:cantSplit/>
          <w:trHeight w:val="326" w:hRule="atLeast"/>
          <w:tblHeader/>
        </w:trPr>
        <w:tc>
          <w:tcPr>
            <w:tcW w:w="382" w:type="pct"/>
            <w:vMerge w:val="restart"/>
            <w:tcBorders>
              <w:top w:val="single" w:color="auto"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序号</w:t>
            </w:r>
          </w:p>
        </w:tc>
        <w:tc>
          <w:tcPr>
            <w:tcW w:w="428" w:type="pct"/>
            <w:vMerge w:val="restart"/>
            <w:tcBorders>
              <w:top w:val="single" w:color="auto"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地级市</w:t>
            </w:r>
          </w:p>
        </w:tc>
        <w:tc>
          <w:tcPr>
            <w:tcW w:w="1305" w:type="pct"/>
            <w:vMerge w:val="restart"/>
            <w:tcBorders>
              <w:top w:val="single" w:color="auto"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县（区、市）</w:t>
            </w:r>
          </w:p>
        </w:tc>
        <w:tc>
          <w:tcPr>
            <w:tcW w:w="1857" w:type="pct"/>
            <w:vMerge w:val="restart"/>
            <w:tcBorders>
              <w:top w:val="single" w:color="auto"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城市涉及河流</w:t>
            </w:r>
          </w:p>
        </w:tc>
        <w:tc>
          <w:tcPr>
            <w:tcW w:w="1026" w:type="pct"/>
            <w:vMerge w:val="restart"/>
            <w:tcBorders>
              <w:top w:val="single" w:color="auto" w:sz="4" w:space="0"/>
              <w:left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现状防洪能力</w:t>
            </w:r>
          </w:p>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（重现期：年）</w:t>
            </w:r>
          </w:p>
        </w:tc>
      </w:tr>
      <w:tr>
        <w:tblPrEx>
          <w:tblCellMar>
            <w:top w:w="0" w:type="dxa"/>
            <w:left w:w="108" w:type="dxa"/>
            <w:bottom w:w="0" w:type="dxa"/>
            <w:right w:w="108" w:type="dxa"/>
          </w:tblCellMar>
        </w:tblPrEx>
        <w:trPr>
          <w:cantSplit/>
          <w:trHeight w:val="326" w:hRule="atLeas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857"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026" w:type="pct"/>
            <w:vMerge w:val="continue"/>
            <w:tcBorders>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r>
      <w:tr>
        <w:tblPrEx>
          <w:tblCellMar>
            <w:top w:w="0" w:type="dxa"/>
            <w:left w:w="108" w:type="dxa"/>
            <w:bottom w:w="0" w:type="dxa"/>
            <w:right w:w="108" w:type="dxa"/>
          </w:tblCellMar>
        </w:tblPrEx>
        <w:trPr>
          <w:cantSplit/>
        </w:trPr>
        <w:tc>
          <w:tcPr>
            <w:tcW w:w="382" w:type="pct"/>
            <w:vMerge w:val="restart"/>
            <w:tcBorders>
              <w:top w:val="single" w:color="000000" w:sz="4" w:space="0"/>
              <w:left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1</w:t>
            </w:r>
          </w:p>
        </w:tc>
        <w:tc>
          <w:tcPr>
            <w:tcW w:w="428" w:type="pct"/>
            <w:vMerge w:val="restart"/>
            <w:tcBorders>
              <w:top w:val="single" w:color="000000" w:sz="4" w:space="0"/>
              <w:left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德阳市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城区（旌阳区）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绵远河、石亭江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r>
              <w:rPr>
                <w:rFonts w:hint="eastAsia" w:eastAsia="楷体"/>
                <w:color w:val="auto"/>
                <w:kern w:val="0"/>
                <w:sz w:val="21"/>
                <w:szCs w:val="21"/>
                <w:highlight w:val="none"/>
                <w:lang w:val="en-US" w:eastAsia="zh-CN"/>
              </w:rPr>
              <w:t>～</w:t>
            </w:r>
            <w:r>
              <w:rPr>
                <w:rFonts w:eastAsia="楷体"/>
                <w:color w:val="auto"/>
                <w:kern w:val="0"/>
                <w:sz w:val="21"/>
                <w:szCs w:val="21"/>
                <w:highlight w:val="none"/>
              </w:rPr>
              <w:t>50</w:t>
            </w:r>
          </w:p>
        </w:tc>
      </w:tr>
      <w:tr>
        <w:tblPrEx>
          <w:tblCellMar>
            <w:top w:w="0" w:type="dxa"/>
            <w:left w:w="108" w:type="dxa"/>
            <w:bottom w:w="0" w:type="dxa"/>
            <w:right w:w="108" w:type="dxa"/>
          </w:tblCellMar>
        </w:tblPrEx>
        <w:trPr>
          <w:cantSplit/>
        </w:trPr>
        <w:tc>
          <w:tcPr>
            <w:tcW w:w="382" w:type="pct"/>
            <w:vMerge w:val="continue"/>
            <w:tcBorders>
              <w:left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left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广汉市</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湔江（</w:t>
            </w:r>
            <w:r>
              <w:rPr>
                <w:rFonts w:eastAsia="楷体"/>
                <w:color w:val="auto"/>
                <w:kern w:val="0"/>
                <w:sz w:val="21"/>
                <w:szCs w:val="21"/>
                <w:highlight w:val="none"/>
              </w:rPr>
              <w:t>鸭子河</w:t>
            </w:r>
            <w:r>
              <w:rPr>
                <w:rFonts w:hint="eastAsia" w:eastAsia="楷体"/>
                <w:color w:val="auto"/>
                <w:kern w:val="0"/>
                <w:sz w:val="21"/>
                <w:szCs w:val="21"/>
                <w:highlight w:val="none"/>
                <w:lang w:val="en-US" w:eastAsia="zh-CN"/>
              </w:rPr>
              <w:t>）</w:t>
            </w:r>
            <w:r>
              <w:rPr>
                <w:rFonts w:eastAsia="楷体"/>
                <w:color w:val="auto"/>
                <w:kern w:val="0"/>
                <w:sz w:val="21"/>
                <w:szCs w:val="21"/>
                <w:highlight w:val="none"/>
              </w:rPr>
              <w:t>、青白江、北外河、</w:t>
            </w:r>
          </w:p>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濛阳河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50</w:t>
            </w:r>
          </w:p>
        </w:tc>
      </w:tr>
      <w:tr>
        <w:tblPrEx>
          <w:tblCellMar>
            <w:top w:w="0" w:type="dxa"/>
            <w:left w:w="108" w:type="dxa"/>
            <w:bottom w:w="0" w:type="dxa"/>
            <w:right w:w="108" w:type="dxa"/>
          </w:tblCellMar>
        </w:tblPrEx>
        <w:trPr>
          <w:cantSplit/>
        </w:trPr>
        <w:tc>
          <w:tcPr>
            <w:tcW w:w="382" w:type="pct"/>
            <w:vMerge w:val="continue"/>
            <w:tcBorders>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auto"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绵竹市</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马尾河（石亭江支流）、</w:t>
            </w:r>
          </w:p>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射水河（石亭江支流）</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hint="eastAsia" w:eastAsia="楷体"/>
                <w:color w:val="auto"/>
                <w:kern w:val="0"/>
                <w:sz w:val="21"/>
                <w:szCs w:val="21"/>
                <w:highlight w:val="none"/>
                <w:lang w:eastAsia="zh-CN"/>
              </w:rPr>
            </w:pPr>
            <w:r>
              <w:rPr>
                <w:rFonts w:hint="eastAsia" w:eastAsia="楷体"/>
                <w:color w:val="auto"/>
                <w:kern w:val="0"/>
                <w:sz w:val="21"/>
                <w:szCs w:val="21"/>
                <w:highlight w:val="none"/>
                <w:lang w:val="en-US" w:eastAsia="zh-CN"/>
              </w:rPr>
              <w:t>2</w:t>
            </w:r>
          </w:p>
        </w:tc>
        <w:tc>
          <w:tcPr>
            <w:tcW w:w="428"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成都市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龙泉驿区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西江河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r>
              <w:rPr>
                <w:rFonts w:hint="eastAsia" w:eastAsia="楷体"/>
                <w:color w:val="auto"/>
                <w:kern w:val="0"/>
                <w:sz w:val="21"/>
                <w:szCs w:val="21"/>
                <w:highlight w:val="none"/>
                <w:lang w:eastAsia="zh-CN"/>
              </w:rPr>
              <w:t>～</w:t>
            </w:r>
            <w:r>
              <w:rPr>
                <w:rFonts w:eastAsia="楷体"/>
                <w:color w:val="auto"/>
                <w:kern w:val="0"/>
                <w:sz w:val="21"/>
                <w:szCs w:val="21"/>
                <w:highlight w:val="none"/>
              </w:rPr>
              <w:t>50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青白江区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毗河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新都区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毗河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彭州市</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湔江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10</w:t>
            </w:r>
            <w:r>
              <w:rPr>
                <w:rFonts w:hint="eastAsia" w:eastAsia="楷体"/>
                <w:color w:val="auto"/>
                <w:kern w:val="0"/>
                <w:sz w:val="21"/>
                <w:szCs w:val="21"/>
                <w:highlight w:val="none"/>
                <w:lang w:val="en-US" w:eastAsia="zh-CN"/>
              </w:rPr>
              <w:t>～</w:t>
            </w: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金堂县</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沱江、北河、中河、毗河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5</w:t>
            </w:r>
            <w:r>
              <w:rPr>
                <w:rFonts w:hint="eastAsia" w:eastAsia="楷体"/>
                <w:color w:val="auto"/>
                <w:kern w:val="0"/>
                <w:sz w:val="21"/>
                <w:szCs w:val="21"/>
                <w:highlight w:val="none"/>
                <w:lang w:eastAsia="zh-CN"/>
              </w:rPr>
              <w:t>～</w:t>
            </w:r>
            <w:r>
              <w:rPr>
                <w:rFonts w:eastAsia="楷体"/>
                <w:color w:val="auto"/>
                <w:kern w:val="0"/>
                <w:sz w:val="21"/>
                <w:szCs w:val="21"/>
                <w:highlight w:val="none"/>
              </w:rPr>
              <w:t>10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淮州新城（金堂</w:t>
            </w:r>
            <w:r>
              <w:rPr>
                <w:rFonts w:hint="eastAsia" w:eastAsia="楷体"/>
                <w:color w:val="auto"/>
                <w:kern w:val="0"/>
                <w:sz w:val="21"/>
                <w:szCs w:val="21"/>
                <w:highlight w:val="none"/>
                <w:lang w:val="en-US" w:eastAsia="zh-CN"/>
              </w:rPr>
              <w:t>县</w:t>
            </w:r>
            <w:r>
              <w:rPr>
                <w:rFonts w:eastAsia="楷体"/>
                <w:color w:val="auto"/>
                <w:kern w:val="0"/>
                <w:sz w:val="21"/>
                <w:szCs w:val="21"/>
                <w:highlight w:val="none"/>
              </w:rPr>
              <w:t>）</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简阳市</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沱江、绛溪河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20～</w:t>
            </w:r>
            <w:r>
              <w:rPr>
                <w:rFonts w:eastAsia="楷体"/>
                <w:color w:val="auto"/>
                <w:kern w:val="0"/>
                <w:sz w:val="21"/>
                <w:szCs w:val="21"/>
                <w:highlight w:val="none"/>
              </w:rPr>
              <w:t>50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简州新城（简阳</w:t>
            </w:r>
            <w:r>
              <w:rPr>
                <w:rFonts w:hint="eastAsia" w:eastAsia="楷体"/>
                <w:color w:val="auto"/>
                <w:kern w:val="0"/>
                <w:sz w:val="21"/>
                <w:szCs w:val="21"/>
                <w:highlight w:val="none"/>
                <w:lang w:val="en-US" w:eastAsia="zh-CN"/>
              </w:rPr>
              <w:t>市</w:t>
            </w:r>
            <w:r>
              <w:rPr>
                <w:rFonts w:eastAsia="楷体"/>
                <w:color w:val="auto"/>
                <w:kern w:val="0"/>
                <w:sz w:val="21"/>
                <w:szCs w:val="21"/>
                <w:highlight w:val="none"/>
              </w:rPr>
              <w:t>）</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3</w:t>
            </w:r>
          </w:p>
        </w:tc>
        <w:tc>
          <w:tcPr>
            <w:tcW w:w="428"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资阳市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雁江区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沱江、九曲河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5</w:t>
            </w:r>
            <w:r>
              <w:rPr>
                <w:rFonts w:hint="eastAsia" w:eastAsia="楷体"/>
                <w:color w:val="auto"/>
                <w:kern w:val="0"/>
                <w:sz w:val="21"/>
                <w:szCs w:val="21"/>
                <w:highlight w:val="none"/>
                <w:lang w:val="en-US" w:eastAsia="zh-CN"/>
              </w:rPr>
              <w:t>～</w:t>
            </w:r>
            <w:r>
              <w:rPr>
                <w:rFonts w:eastAsia="楷体"/>
                <w:color w:val="auto"/>
                <w:kern w:val="0"/>
                <w:sz w:val="21"/>
                <w:szCs w:val="21"/>
                <w:highlight w:val="none"/>
              </w:rPr>
              <w:t>50</w:t>
            </w:r>
          </w:p>
        </w:tc>
      </w:tr>
      <w:tr>
        <w:tblPrEx>
          <w:tblCellMar>
            <w:top w:w="0" w:type="dxa"/>
            <w:left w:w="108" w:type="dxa"/>
            <w:bottom w:w="0" w:type="dxa"/>
            <w:right w:w="108" w:type="dxa"/>
          </w:tblCellMar>
        </w:tblPrEx>
        <w:trPr>
          <w:cantSplit/>
        </w:trPr>
        <w:tc>
          <w:tcPr>
            <w:tcW w:w="382"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4</w:t>
            </w:r>
          </w:p>
        </w:tc>
        <w:tc>
          <w:tcPr>
            <w:tcW w:w="428"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内江市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城区（市中区、东兴区）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左岸20，右岸50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资中县</w:t>
            </w:r>
          </w:p>
        </w:tc>
        <w:tc>
          <w:tcPr>
            <w:tcW w:w="1857" w:type="pct"/>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w:t>
            </w:r>
          </w:p>
        </w:tc>
        <w:tc>
          <w:tcPr>
            <w:tcW w:w="1026" w:type="pct"/>
            <w:tcBorders>
              <w:top w:val="single" w:color="000000" w:sz="4" w:space="0"/>
              <w:left w:val="single" w:color="000000" w:sz="4" w:space="0"/>
              <w:bottom w:val="single" w:color="auto"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restart"/>
            <w:tcBorders>
              <w:top w:val="single" w:color="000000" w:sz="4" w:space="0"/>
              <w:left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5</w:t>
            </w:r>
          </w:p>
        </w:tc>
        <w:tc>
          <w:tcPr>
            <w:tcW w:w="428" w:type="pct"/>
            <w:vMerge w:val="restart"/>
            <w:tcBorders>
              <w:top w:val="single" w:color="000000" w:sz="4" w:space="0"/>
              <w:left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自贡市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城区（自流井区</w:t>
            </w:r>
            <w:r>
              <w:rPr>
                <w:rFonts w:hint="eastAsia" w:eastAsia="楷体"/>
                <w:color w:val="auto"/>
                <w:kern w:val="0"/>
                <w:sz w:val="21"/>
                <w:szCs w:val="21"/>
                <w:highlight w:val="none"/>
                <w:lang w:eastAsia="zh-CN"/>
              </w:rPr>
              <w:t>、</w:t>
            </w:r>
            <w:r>
              <w:rPr>
                <w:rFonts w:hint="eastAsia" w:eastAsia="楷体"/>
                <w:color w:val="auto"/>
                <w:kern w:val="0"/>
                <w:sz w:val="21"/>
                <w:szCs w:val="21"/>
                <w:highlight w:val="none"/>
                <w:lang w:val="en-US" w:eastAsia="zh-CN"/>
              </w:rPr>
              <w:t>贡井区</w:t>
            </w:r>
            <w:r>
              <w:rPr>
                <w:rFonts w:eastAsia="楷体"/>
                <w:color w:val="auto"/>
                <w:kern w:val="0"/>
                <w:sz w:val="21"/>
                <w:szCs w:val="21"/>
                <w:highlight w:val="none"/>
              </w:rPr>
              <w:t>）</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hint="eastAsia" w:eastAsia="楷体"/>
                <w:color w:val="auto"/>
                <w:kern w:val="0"/>
                <w:sz w:val="21"/>
                <w:szCs w:val="21"/>
                <w:highlight w:val="none"/>
                <w:lang w:eastAsia="zh-CN"/>
              </w:rPr>
            </w:pPr>
            <w:r>
              <w:rPr>
                <w:rFonts w:eastAsia="楷体"/>
                <w:color w:val="auto"/>
                <w:kern w:val="0"/>
                <w:sz w:val="21"/>
                <w:szCs w:val="21"/>
                <w:highlight w:val="none"/>
              </w:rPr>
              <w:t>釜溪河</w:t>
            </w:r>
            <w:r>
              <w:rPr>
                <w:rFonts w:hint="eastAsia" w:eastAsia="楷体"/>
                <w:color w:val="auto"/>
                <w:kern w:val="0"/>
                <w:sz w:val="21"/>
                <w:szCs w:val="21"/>
                <w:highlight w:val="none"/>
                <w:lang w:eastAsia="zh-CN"/>
              </w:rPr>
              <w:t>、</w:t>
            </w:r>
            <w:r>
              <w:rPr>
                <w:rFonts w:hint="eastAsia" w:eastAsia="楷体"/>
                <w:color w:val="auto"/>
                <w:kern w:val="0"/>
                <w:sz w:val="21"/>
                <w:szCs w:val="21"/>
                <w:highlight w:val="none"/>
              </w:rPr>
              <w:t>旭水河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5</w:t>
            </w:r>
            <w:r>
              <w:rPr>
                <w:rFonts w:hint="eastAsia" w:eastAsia="楷体"/>
                <w:color w:val="auto"/>
                <w:kern w:val="0"/>
                <w:sz w:val="21"/>
                <w:szCs w:val="21"/>
                <w:highlight w:val="none"/>
                <w:lang w:eastAsia="zh-CN"/>
              </w:rPr>
              <w:t>～</w:t>
            </w: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left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left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富顺县</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沱江、釜溪河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10</w:t>
            </w:r>
            <w:r>
              <w:rPr>
                <w:rFonts w:hint="eastAsia" w:eastAsia="楷体"/>
                <w:color w:val="auto"/>
                <w:kern w:val="0"/>
                <w:sz w:val="21"/>
                <w:szCs w:val="21"/>
                <w:highlight w:val="none"/>
                <w:lang w:eastAsia="zh-CN"/>
              </w:rPr>
              <w:t>～</w:t>
            </w: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6</w:t>
            </w:r>
          </w:p>
        </w:tc>
        <w:tc>
          <w:tcPr>
            <w:tcW w:w="428" w:type="pct"/>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泸州市</w:t>
            </w: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龙马潭区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沱江、濑溪河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10</w:t>
            </w:r>
            <w:r>
              <w:rPr>
                <w:rFonts w:hint="eastAsia" w:eastAsia="楷体"/>
                <w:color w:val="auto"/>
                <w:kern w:val="0"/>
                <w:sz w:val="21"/>
                <w:szCs w:val="21"/>
                <w:highlight w:val="none"/>
                <w:lang w:eastAsia="zh-CN"/>
              </w:rPr>
              <w:t>～</w:t>
            </w: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江阳区</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沱江、米溪沟</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10</w:t>
            </w:r>
            <w:r>
              <w:rPr>
                <w:rFonts w:hint="eastAsia" w:eastAsia="楷体"/>
                <w:color w:val="auto"/>
                <w:kern w:val="0"/>
                <w:sz w:val="21"/>
                <w:szCs w:val="21"/>
                <w:highlight w:val="none"/>
                <w:lang w:eastAsia="zh-CN"/>
              </w:rPr>
              <w:t>～</w:t>
            </w:r>
            <w:r>
              <w:rPr>
                <w:rFonts w:eastAsia="楷体"/>
                <w:color w:val="auto"/>
                <w:kern w:val="0"/>
                <w:sz w:val="21"/>
                <w:szCs w:val="21"/>
                <w:highlight w:val="none"/>
              </w:rPr>
              <w:t>20</w:t>
            </w:r>
          </w:p>
        </w:tc>
      </w:tr>
      <w:tr>
        <w:tblPrEx>
          <w:tblCellMar>
            <w:top w:w="0" w:type="dxa"/>
            <w:left w:w="108" w:type="dxa"/>
            <w:bottom w:w="0" w:type="dxa"/>
            <w:right w:w="108" w:type="dxa"/>
          </w:tblCellMar>
        </w:tblPrEx>
        <w:trPr>
          <w:cantSplit/>
        </w:trPr>
        <w:tc>
          <w:tcPr>
            <w:tcW w:w="382"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428" w:type="pct"/>
            <w:vMerge w:val="continue"/>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left"/>
              <w:rPr>
                <w:rFonts w:eastAsia="楷体"/>
                <w:color w:val="auto"/>
                <w:kern w:val="0"/>
                <w:sz w:val="21"/>
                <w:szCs w:val="21"/>
                <w:highlight w:val="none"/>
              </w:rPr>
            </w:pPr>
          </w:p>
        </w:tc>
        <w:tc>
          <w:tcPr>
            <w:tcW w:w="1305"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泸县</w:t>
            </w:r>
          </w:p>
        </w:tc>
        <w:tc>
          <w:tcPr>
            <w:tcW w:w="1857"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濑溪河、龙市河</w:t>
            </w:r>
          </w:p>
        </w:tc>
        <w:tc>
          <w:tcPr>
            <w:tcW w:w="1026" w:type="pc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tLeast"/>
              <w:jc w:val="center"/>
              <w:rPr>
                <w:rFonts w:eastAsia="楷体"/>
                <w:color w:val="auto"/>
                <w:kern w:val="0"/>
                <w:sz w:val="21"/>
                <w:szCs w:val="21"/>
                <w:highlight w:val="none"/>
              </w:rPr>
            </w:pPr>
            <w:r>
              <w:rPr>
                <w:rFonts w:eastAsia="楷体"/>
                <w:color w:val="auto"/>
                <w:kern w:val="0"/>
                <w:sz w:val="21"/>
                <w:szCs w:val="21"/>
                <w:highlight w:val="none"/>
              </w:rPr>
              <w:t>＜20</w:t>
            </w:r>
          </w:p>
        </w:tc>
      </w:tr>
    </w:tbl>
    <w:p>
      <w:pPr>
        <w:pStyle w:val="4"/>
        <w:keepNext/>
        <w:keepLines/>
        <w:pageBreakBefore w:val="0"/>
        <w:widowControl w:val="0"/>
        <w:kinsoku/>
        <w:wordWrap/>
        <w:overflowPunct/>
        <w:topLinePunct w:val="0"/>
        <w:autoSpaceDE/>
        <w:autoSpaceDN/>
        <w:bidi w:val="0"/>
        <w:adjustRightInd/>
        <w:snapToGrid/>
        <w:spacing w:before="0" w:after="0" w:line="560" w:lineRule="exact"/>
        <w:textAlignment w:val="auto"/>
        <w:rPr>
          <w:color w:val="auto"/>
          <w:highlight w:val="none"/>
        </w:rPr>
      </w:pPr>
      <w:bookmarkStart w:id="33" w:name="_Toc124757331"/>
      <w:r>
        <w:rPr>
          <w:rFonts w:hint="eastAsia" w:ascii="楷体_GB2312" w:hAnsi="楷体_GB2312" w:eastAsia="楷体_GB2312" w:cs="楷体_GB2312"/>
          <w:b w:val="0"/>
          <w:bCs w:val="0"/>
          <w:color w:val="auto"/>
          <w:highlight w:val="none"/>
        </w:rPr>
        <w:t xml:space="preserve">第三节  </w:t>
      </w:r>
      <w:bookmarkStart w:id="34" w:name="_Hlk120983608"/>
      <w:r>
        <w:rPr>
          <w:rFonts w:hint="eastAsia" w:ascii="楷体_GB2312" w:hAnsi="楷体_GB2312" w:eastAsia="楷体_GB2312" w:cs="楷体_GB2312"/>
          <w:b w:val="0"/>
          <w:bCs w:val="0"/>
          <w:color w:val="auto"/>
          <w:highlight w:val="none"/>
        </w:rPr>
        <w:t>防洪面临的形势</w:t>
      </w:r>
      <w:bookmarkEnd w:id="34"/>
      <w:r>
        <w:rPr>
          <w:rFonts w:hint="eastAsia" w:ascii="楷体_GB2312" w:hAnsi="楷体_GB2312" w:eastAsia="楷体_GB2312" w:cs="楷体_GB2312"/>
          <w:b w:val="0"/>
          <w:bCs w:val="0"/>
          <w:color w:val="auto"/>
          <w:highlight w:val="none"/>
        </w:rPr>
        <w:t>和</w:t>
      </w:r>
      <w:bookmarkStart w:id="35" w:name="_Hlk120983630"/>
      <w:r>
        <w:rPr>
          <w:rFonts w:hint="eastAsia" w:ascii="楷体_GB2312" w:hAnsi="楷体_GB2312" w:eastAsia="楷体_GB2312" w:cs="楷体_GB2312"/>
          <w:b w:val="0"/>
          <w:bCs w:val="0"/>
          <w:color w:val="auto"/>
          <w:highlight w:val="none"/>
        </w:rPr>
        <w:t>挑战</w:t>
      </w:r>
      <w:bookmarkEnd w:id="33"/>
      <w:bookmarkEnd w:id="35"/>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当前，我国</w:t>
      </w:r>
      <w:r>
        <w:rPr>
          <w:rFonts w:hint="eastAsia"/>
          <w:color w:val="auto"/>
          <w:sz w:val="30"/>
          <w:szCs w:val="30"/>
          <w:highlight w:val="none"/>
          <w:lang w:val="en-US" w:eastAsia="zh-CN"/>
        </w:rPr>
        <w:t>已</w:t>
      </w:r>
      <w:r>
        <w:rPr>
          <w:color w:val="auto"/>
          <w:sz w:val="30"/>
          <w:szCs w:val="30"/>
          <w:highlight w:val="none"/>
        </w:rPr>
        <w:t>进入全面建设社会主义现代化国家、向第二个百年奋斗目标进军的新发展阶段</w:t>
      </w:r>
      <w:r>
        <w:rPr>
          <w:rFonts w:hint="eastAsia"/>
          <w:color w:val="auto"/>
          <w:sz w:val="30"/>
          <w:szCs w:val="30"/>
          <w:highlight w:val="none"/>
          <w:lang w:eastAsia="zh-CN"/>
        </w:rPr>
        <w:t>。</w:t>
      </w:r>
      <w:r>
        <w:rPr>
          <w:color w:val="auto"/>
          <w:sz w:val="30"/>
          <w:szCs w:val="30"/>
          <w:highlight w:val="none"/>
        </w:rPr>
        <w:t>随着</w:t>
      </w:r>
      <w:r>
        <w:rPr>
          <w:rFonts w:hint="eastAsia"/>
          <w:color w:val="auto"/>
          <w:sz w:val="30"/>
          <w:szCs w:val="30"/>
          <w:highlight w:val="none"/>
          <w:lang w:val="en-US" w:eastAsia="zh-CN"/>
        </w:rPr>
        <w:t>我省“四化同步、五区共兴、城乡融合”战略实施和沱江流域</w:t>
      </w:r>
      <w:r>
        <w:rPr>
          <w:color w:val="auto"/>
          <w:sz w:val="30"/>
          <w:szCs w:val="30"/>
          <w:highlight w:val="none"/>
        </w:rPr>
        <w:t>经济社会持续</w:t>
      </w:r>
      <w:r>
        <w:rPr>
          <w:rFonts w:hint="eastAsia"/>
          <w:color w:val="auto"/>
          <w:sz w:val="30"/>
          <w:szCs w:val="30"/>
          <w:highlight w:val="none"/>
          <w:lang w:val="en-US" w:eastAsia="zh-CN"/>
        </w:rPr>
        <w:t>迅速</w:t>
      </w:r>
      <w:r>
        <w:rPr>
          <w:color w:val="auto"/>
          <w:sz w:val="30"/>
          <w:szCs w:val="30"/>
          <w:highlight w:val="none"/>
        </w:rPr>
        <w:t>发展</w:t>
      </w:r>
      <w:r>
        <w:rPr>
          <w:rFonts w:hint="eastAsia"/>
          <w:color w:val="auto"/>
          <w:sz w:val="30"/>
          <w:szCs w:val="30"/>
          <w:highlight w:val="none"/>
          <w:lang w:val="en-US" w:eastAsia="zh-CN"/>
        </w:rPr>
        <w:t>和城镇化进程的加速，</w:t>
      </w:r>
      <w:r>
        <w:rPr>
          <w:color w:val="auto"/>
          <w:sz w:val="30"/>
          <w:szCs w:val="30"/>
          <w:highlight w:val="none"/>
        </w:rPr>
        <w:t>国土空间开发保护格局发生变化，人口增加、产业增长、财富集中，防洪保护对象及重要性发生较大变化，城市空间拓展、人民生活品质提升、应急意识增强、生态宜居环境需求对提高洪涝灾害防御标准和优化防洪保护格局提出了新的更高要求，与现有防洪能力不足的矛盾愈来愈突出，局部河段防洪形势严峻。因此，迫切需要编制完善</w:t>
      </w:r>
      <w:r>
        <w:rPr>
          <w:rFonts w:hint="eastAsia"/>
          <w:color w:val="auto"/>
          <w:sz w:val="30"/>
          <w:szCs w:val="30"/>
          <w:highlight w:val="none"/>
          <w:lang w:val="en-US" w:eastAsia="zh-CN"/>
        </w:rPr>
        <w:t>沱江</w:t>
      </w:r>
      <w:r>
        <w:rPr>
          <w:color w:val="auto"/>
          <w:sz w:val="30"/>
          <w:szCs w:val="30"/>
          <w:highlight w:val="none"/>
        </w:rPr>
        <w:t>流域防洪规划，构建洪涝灾害防治新格局，为全面建设社会主义现代化四川提供防洪安全保障。</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w:t>
      </w:r>
      <w:r>
        <w:rPr>
          <w:rStyle w:val="550"/>
          <w:rFonts w:hint="eastAsia" w:ascii="黑体" w:hAnsi="黑体" w:eastAsia="黑体" w:cs="黑体"/>
          <w:b w:val="0"/>
          <w:bCs/>
          <w:color w:val="auto"/>
          <w:highlight w:val="none"/>
          <w:lang w:val="en-US" w:eastAsia="zh-CN"/>
        </w:rPr>
        <w:t>流域</w:t>
      </w:r>
      <w:r>
        <w:rPr>
          <w:rStyle w:val="550"/>
          <w:rFonts w:hint="eastAsia" w:ascii="黑体" w:hAnsi="黑体" w:eastAsia="黑体" w:cs="黑体"/>
          <w:b w:val="0"/>
          <w:bCs/>
          <w:color w:val="auto"/>
          <w:highlight w:val="none"/>
        </w:rPr>
        <w:t>防洪体系需进一步完善</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各级党委政府高度重视防洪设施建设工作</w:t>
      </w:r>
      <w:r>
        <w:rPr>
          <w:rFonts w:hint="eastAsia"/>
          <w:color w:val="auto"/>
          <w:sz w:val="30"/>
          <w:szCs w:val="30"/>
          <w:highlight w:val="none"/>
          <w:lang w:eastAsia="zh-CN"/>
        </w:rPr>
        <w:t>，</w:t>
      </w:r>
      <w:r>
        <w:rPr>
          <w:rFonts w:hint="eastAsia"/>
          <w:color w:val="auto"/>
          <w:sz w:val="30"/>
          <w:szCs w:val="30"/>
          <w:highlight w:val="none"/>
          <w:lang w:val="en-US" w:eastAsia="zh-CN"/>
        </w:rPr>
        <w:t>1998年特</w:t>
      </w:r>
      <w:r>
        <w:rPr>
          <w:color w:val="auto"/>
          <w:sz w:val="30"/>
          <w:szCs w:val="30"/>
          <w:highlight w:val="none"/>
        </w:rPr>
        <w:t>大洪水以来，加快</w:t>
      </w:r>
      <w:r>
        <w:rPr>
          <w:rFonts w:hint="eastAsia"/>
          <w:color w:val="auto"/>
          <w:sz w:val="30"/>
          <w:szCs w:val="30"/>
          <w:highlight w:val="none"/>
          <w:lang w:val="en-US" w:eastAsia="zh-CN"/>
        </w:rPr>
        <w:t>推进</w:t>
      </w:r>
      <w:r>
        <w:rPr>
          <w:color w:val="auto"/>
          <w:sz w:val="30"/>
          <w:szCs w:val="30"/>
          <w:highlight w:val="none"/>
        </w:rPr>
        <w:t>沱江流域防洪工程建设</w:t>
      </w:r>
      <w:r>
        <w:rPr>
          <w:rFonts w:hint="eastAsia"/>
          <w:color w:val="auto"/>
          <w:sz w:val="30"/>
          <w:szCs w:val="30"/>
          <w:highlight w:val="none"/>
          <w:lang w:eastAsia="zh-CN"/>
        </w:rPr>
        <w:t>。</w:t>
      </w:r>
      <w:r>
        <w:rPr>
          <w:color w:val="auto"/>
          <w:sz w:val="30"/>
          <w:szCs w:val="30"/>
          <w:highlight w:val="none"/>
        </w:rPr>
        <w:t>截至2020年底，县级以上城市防洪达标比例</w:t>
      </w:r>
      <w:r>
        <w:rPr>
          <w:rFonts w:hint="eastAsia"/>
          <w:color w:val="auto"/>
          <w:sz w:val="30"/>
          <w:szCs w:val="30"/>
          <w:highlight w:val="none"/>
          <w:lang w:val="en-US" w:eastAsia="zh-CN"/>
        </w:rPr>
        <w:t>达</w:t>
      </w:r>
      <w:r>
        <w:rPr>
          <w:color w:val="auto"/>
          <w:sz w:val="30"/>
          <w:szCs w:val="30"/>
          <w:highlight w:val="none"/>
        </w:rPr>
        <w:t>7</w:t>
      </w:r>
      <w:r>
        <w:rPr>
          <w:rFonts w:hint="eastAsia"/>
          <w:color w:val="auto"/>
          <w:sz w:val="30"/>
          <w:szCs w:val="30"/>
          <w:highlight w:val="none"/>
          <w:lang w:val="en-US" w:eastAsia="zh-CN"/>
        </w:rPr>
        <w:t>9</w:t>
      </w:r>
      <w:r>
        <w:rPr>
          <w:color w:val="auto"/>
          <w:sz w:val="30"/>
          <w:szCs w:val="30"/>
          <w:highlight w:val="none"/>
        </w:rPr>
        <w:t>%</w:t>
      </w:r>
      <w:r>
        <w:rPr>
          <w:rFonts w:hint="eastAsia"/>
          <w:color w:val="auto"/>
          <w:sz w:val="30"/>
          <w:szCs w:val="30"/>
          <w:highlight w:val="none"/>
          <w:lang w:eastAsia="zh-CN"/>
        </w:rPr>
        <w:t>，</w:t>
      </w:r>
      <w:r>
        <w:rPr>
          <w:rFonts w:hint="eastAsia"/>
          <w:color w:val="auto"/>
          <w:sz w:val="30"/>
          <w:szCs w:val="30"/>
          <w:highlight w:val="none"/>
          <w:lang w:val="en-US" w:eastAsia="zh-CN"/>
        </w:rPr>
        <w:t>部分重点河段防洪工程体系仍不完善</w:t>
      </w:r>
      <w:r>
        <w:rPr>
          <w:color w:val="auto"/>
          <w:sz w:val="30"/>
          <w:szCs w:val="30"/>
          <w:highlight w:val="none"/>
        </w:rPr>
        <w:t>。受金堂县城区下游金堂峡以及城区堤防建设条件制约，金堂县城</w:t>
      </w:r>
      <w:r>
        <w:rPr>
          <w:rFonts w:hint="eastAsia"/>
          <w:color w:val="auto"/>
          <w:sz w:val="30"/>
          <w:szCs w:val="30"/>
          <w:highlight w:val="none"/>
          <w:lang w:val="en-US" w:eastAsia="zh-CN"/>
        </w:rPr>
        <w:t>区</w:t>
      </w:r>
      <w:r>
        <w:rPr>
          <w:color w:val="auto"/>
          <w:sz w:val="30"/>
          <w:szCs w:val="30"/>
          <w:highlight w:val="none"/>
        </w:rPr>
        <w:t>防洪能力</w:t>
      </w:r>
      <w:r>
        <w:rPr>
          <w:rFonts w:hint="eastAsia"/>
          <w:color w:val="auto"/>
          <w:sz w:val="30"/>
          <w:szCs w:val="30"/>
          <w:highlight w:val="none"/>
          <w:lang w:val="en-US" w:eastAsia="zh-CN"/>
        </w:rPr>
        <w:t>仅为</w:t>
      </w:r>
      <w:r>
        <w:rPr>
          <w:color w:val="auto"/>
          <w:sz w:val="30"/>
          <w:szCs w:val="30"/>
          <w:highlight w:val="none"/>
        </w:rPr>
        <w:t>5～10年一遇，部分不足5年一遇；自贡市城区位于</w:t>
      </w:r>
      <w:r>
        <w:rPr>
          <w:rFonts w:hint="eastAsia"/>
          <w:color w:val="auto"/>
          <w:sz w:val="30"/>
          <w:szCs w:val="30"/>
          <w:highlight w:val="none"/>
          <w:lang w:val="en-US" w:eastAsia="zh-CN"/>
        </w:rPr>
        <w:t>支流</w:t>
      </w:r>
      <w:r>
        <w:rPr>
          <w:color w:val="auto"/>
          <w:sz w:val="30"/>
          <w:szCs w:val="30"/>
          <w:highlight w:val="none"/>
        </w:rPr>
        <w:t>釜溪河，河道两岸除了左岸同兴路大桥～水涯居</w:t>
      </w:r>
      <w:r>
        <w:rPr>
          <w:rFonts w:hint="eastAsia"/>
          <w:color w:val="auto"/>
          <w:sz w:val="30"/>
          <w:szCs w:val="30"/>
          <w:highlight w:val="none"/>
          <w:lang w:val="en-US" w:eastAsia="zh-CN"/>
        </w:rPr>
        <w:t>段</w:t>
      </w:r>
      <w:r>
        <w:rPr>
          <w:color w:val="auto"/>
          <w:sz w:val="30"/>
          <w:szCs w:val="30"/>
          <w:highlight w:val="none"/>
        </w:rPr>
        <w:t>，右岸步行街～市经委段、川西南矿区段、水涯居大桥～东兴寺大桥段建有沿河挡墙外，其余河段两岸已打造成商业街或复合步道，河道行洪能力较低，防洪能力约5～</w:t>
      </w:r>
      <w:r>
        <w:rPr>
          <w:rFonts w:hint="eastAsia"/>
          <w:color w:val="auto"/>
          <w:sz w:val="30"/>
          <w:szCs w:val="30"/>
          <w:highlight w:val="none"/>
          <w:lang w:val="en-US" w:eastAsia="zh-CN"/>
        </w:rPr>
        <w:t>2</w:t>
      </w:r>
      <w:r>
        <w:rPr>
          <w:color w:val="auto"/>
          <w:sz w:val="30"/>
          <w:szCs w:val="30"/>
          <w:highlight w:val="none"/>
        </w:rPr>
        <w:t>0年一遇。</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流域防洪非工程设施薄弱</w:t>
      </w:r>
      <w:r>
        <w:rPr>
          <w:rFonts w:hint="eastAsia"/>
          <w:color w:val="auto"/>
          <w:sz w:val="30"/>
          <w:szCs w:val="30"/>
          <w:highlight w:val="none"/>
          <w:lang w:eastAsia="zh-CN"/>
        </w:rPr>
        <w:t>。</w:t>
      </w:r>
      <w:r>
        <w:rPr>
          <w:rFonts w:hint="eastAsia"/>
          <w:color w:val="auto"/>
          <w:sz w:val="30"/>
          <w:szCs w:val="30"/>
          <w:highlight w:val="none"/>
          <w:lang w:val="en-US" w:eastAsia="zh-CN"/>
        </w:rPr>
        <w:t>一是</w:t>
      </w:r>
      <w:r>
        <w:rPr>
          <w:color w:val="auto"/>
          <w:sz w:val="30"/>
          <w:szCs w:val="30"/>
          <w:highlight w:val="none"/>
        </w:rPr>
        <w:t>水</w:t>
      </w:r>
      <w:r>
        <w:rPr>
          <w:rFonts w:hint="eastAsia"/>
          <w:color w:val="auto"/>
          <w:sz w:val="30"/>
          <w:szCs w:val="30"/>
          <w:highlight w:val="none"/>
          <w:lang w:val="en-US" w:eastAsia="zh-CN"/>
        </w:rPr>
        <w:t>雨</w:t>
      </w:r>
      <w:r>
        <w:rPr>
          <w:color w:val="auto"/>
          <w:sz w:val="30"/>
          <w:szCs w:val="30"/>
          <w:highlight w:val="none"/>
        </w:rPr>
        <w:t>情监测系统建设</w:t>
      </w:r>
      <w:r>
        <w:rPr>
          <w:rFonts w:hint="eastAsia"/>
          <w:color w:val="auto"/>
          <w:sz w:val="30"/>
          <w:szCs w:val="30"/>
          <w:highlight w:val="none"/>
          <w:lang w:val="en-US" w:eastAsia="zh-CN"/>
        </w:rPr>
        <w:t>滞后</w:t>
      </w:r>
      <w:r>
        <w:rPr>
          <w:color w:val="auto"/>
          <w:sz w:val="30"/>
          <w:szCs w:val="30"/>
          <w:highlight w:val="none"/>
        </w:rPr>
        <w:t>，流域中小河流水情、雨情监测站点偏少，难以满足</w:t>
      </w:r>
      <w:r>
        <w:rPr>
          <w:rFonts w:hint="eastAsia"/>
          <w:color w:val="auto"/>
          <w:sz w:val="30"/>
          <w:szCs w:val="30"/>
          <w:highlight w:val="none"/>
          <w:lang w:val="en-US" w:eastAsia="zh-CN"/>
        </w:rPr>
        <w:t>防洪监测</w:t>
      </w:r>
      <w:r>
        <w:rPr>
          <w:color w:val="auto"/>
          <w:sz w:val="30"/>
          <w:szCs w:val="30"/>
          <w:highlight w:val="none"/>
        </w:rPr>
        <w:t>需要；</w:t>
      </w:r>
      <w:r>
        <w:rPr>
          <w:rFonts w:hint="eastAsia"/>
          <w:color w:val="auto"/>
          <w:sz w:val="30"/>
          <w:szCs w:val="30"/>
          <w:highlight w:val="none"/>
          <w:lang w:val="en-US" w:eastAsia="zh-CN"/>
        </w:rPr>
        <w:t>二是</w:t>
      </w:r>
      <w:r>
        <w:rPr>
          <w:color w:val="auto"/>
          <w:sz w:val="30"/>
          <w:szCs w:val="30"/>
          <w:highlight w:val="none"/>
        </w:rPr>
        <w:t>流域水雨情预报系统</w:t>
      </w:r>
      <w:r>
        <w:rPr>
          <w:rFonts w:hint="eastAsia"/>
          <w:color w:val="auto"/>
          <w:sz w:val="30"/>
          <w:szCs w:val="30"/>
          <w:highlight w:val="none"/>
          <w:lang w:val="en-US" w:eastAsia="zh-CN"/>
        </w:rPr>
        <w:t>不完善</w:t>
      </w:r>
      <w:r>
        <w:rPr>
          <w:color w:val="auto"/>
          <w:sz w:val="30"/>
          <w:szCs w:val="30"/>
          <w:highlight w:val="none"/>
        </w:rPr>
        <w:t>，</w:t>
      </w:r>
      <w:r>
        <w:rPr>
          <w:rFonts w:hint="eastAsia"/>
          <w:color w:val="auto"/>
          <w:sz w:val="30"/>
          <w:szCs w:val="30"/>
          <w:highlight w:val="none"/>
          <w:lang w:val="en-US" w:eastAsia="zh-CN"/>
        </w:rPr>
        <w:t>需</w:t>
      </w:r>
      <w:r>
        <w:rPr>
          <w:color w:val="auto"/>
          <w:sz w:val="30"/>
          <w:szCs w:val="30"/>
          <w:highlight w:val="none"/>
        </w:rPr>
        <w:t>提高流域洪水预报精度，增长洪水预报的预见期，为防洪抢险和避险转移赢得时间，更大程度减少流域洪灾损失；</w:t>
      </w:r>
      <w:r>
        <w:rPr>
          <w:rFonts w:hint="eastAsia"/>
          <w:color w:val="auto"/>
          <w:sz w:val="30"/>
          <w:szCs w:val="30"/>
          <w:highlight w:val="none"/>
          <w:lang w:val="en-US" w:eastAsia="zh-CN"/>
        </w:rPr>
        <w:t>三是</w:t>
      </w:r>
      <w:r>
        <w:rPr>
          <w:color w:val="auto"/>
          <w:sz w:val="30"/>
          <w:szCs w:val="30"/>
          <w:highlight w:val="none"/>
        </w:rPr>
        <w:t>防洪指挥系统建设</w:t>
      </w:r>
      <w:r>
        <w:rPr>
          <w:rFonts w:hint="eastAsia"/>
          <w:color w:val="auto"/>
          <w:sz w:val="30"/>
          <w:szCs w:val="30"/>
          <w:highlight w:val="none"/>
          <w:lang w:val="en-US" w:eastAsia="zh-CN"/>
        </w:rPr>
        <w:t>不完备</w:t>
      </w:r>
      <w:r>
        <w:rPr>
          <w:color w:val="auto"/>
          <w:sz w:val="30"/>
          <w:szCs w:val="30"/>
          <w:highlight w:val="none"/>
        </w:rPr>
        <w:t>，</w:t>
      </w:r>
      <w:r>
        <w:rPr>
          <w:rFonts w:hint="eastAsia"/>
          <w:color w:val="auto"/>
          <w:sz w:val="30"/>
          <w:szCs w:val="30"/>
          <w:highlight w:val="none"/>
          <w:lang w:val="en-US" w:eastAsia="zh-CN"/>
        </w:rPr>
        <w:t>需</w:t>
      </w:r>
      <w:r>
        <w:rPr>
          <w:color w:val="auto"/>
          <w:sz w:val="30"/>
          <w:szCs w:val="30"/>
          <w:highlight w:val="none"/>
        </w:rPr>
        <w:t>增强防汛调度指挥决策技术手段，为</w:t>
      </w:r>
      <w:r>
        <w:rPr>
          <w:rFonts w:hint="eastAsia"/>
          <w:color w:val="auto"/>
          <w:sz w:val="30"/>
          <w:szCs w:val="30"/>
          <w:highlight w:val="none"/>
          <w:lang w:val="en-US" w:eastAsia="zh-CN"/>
        </w:rPr>
        <w:t>调度</w:t>
      </w:r>
      <w:r>
        <w:rPr>
          <w:color w:val="auto"/>
          <w:sz w:val="30"/>
          <w:szCs w:val="30"/>
          <w:highlight w:val="none"/>
        </w:rPr>
        <w:t>指挥决策提供直观、有效和科学的信息支持</w:t>
      </w:r>
      <w:r>
        <w:rPr>
          <w:rFonts w:hint="eastAsia"/>
          <w:color w:val="auto"/>
          <w:sz w:val="30"/>
          <w:szCs w:val="30"/>
          <w:highlight w:val="none"/>
          <w:lang w:eastAsia="zh-CN"/>
        </w:rPr>
        <w:t>。</w:t>
      </w:r>
    </w:p>
    <w:p>
      <w:pPr>
        <w:pStyle w:val="5"/>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二、极端气候及人类活动影响</w:t>
      </w:r>
      <w:bookmarkStart w:id="36" w:name="_Hlk121044989"/>
      <w:r>
        <w:rPr>
          <w:rStyle w:val="550"/>
          <w:rFonts w:hint="eastAsia" w:ascii="黑体" w:hAnsi="黑体" w:eastAsia="黑体" w:cs="黑体"/>
          <w:b w:val="0"/>
          <w:bCs/>
          <w:color w:val="auto"/>
          <w:highlight w:val="none"/>
        </w:rPr>
        <w:t>对防洪提出了新挑战</w:t>
      </w:r>
      <w:bookmarkEnd w:id="36"/>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rFonts w:hint="eastAsia"/>
          <w:color w:val="auto"/>
          <w:sz w:val="30"/>
          <w:szCs w:val="30"/>
          <w:highlight w:val="none"/>
          <w:lang w:val="en-US" w:eastAsia="zh-CN"/>
        </w:rPr>
        <w:t>流域</w:t>
      </w:r>
      <w:r>
        <w:rPr>
          <w:color w:val="auto"/>
          <w:sz w:val="30"/>
          <w:szCs w:val="30"/>
          <w:highlight w:val="none"/>
        </w:rPr>
        <w:t>极端气候频发，局地突发性强降雨频现，导致流域局地、城市地区超标准洪水频发，极端天气事件准确预报难度大，流域防洪安全韧性建设面临新挑战</w:t>
      </w:r>
      <w:r>
        <w:rPr>
          <w:rFonts w:hint="eastAsia"/>
          <w:color w:val="auto"/>
          <w:sz w:val="30"/>
          <w:szCs w:val="30"/>
          <w:highlight w:val="none"/>
          <w:lang w:eastAsia="zh-CN"/>
        </w:rPr>
        <w:t>。</w:t>
      </w:r>
      <w:r>
        <w:rPr>
          <w:color w:val="auto"/>
          <w:sz w:val="30"/>
          <w:szCs w:val="30"/>
          <w:highlight w:val="none"/>
        </w:rPr>
        <w:t>大规模城镇化建设导致流域下垫面条件发生剧烈变化，区域产流速度加快；支流防洪治理工程持续建设，加快了支流洪水汇入干流的速度；沿江堤防和闸坝工程建设导致河道渠化，洪水演进规律变化；流域产流、汇流、演进过程发生新变化。</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rFonts w:ascii="Times New Roman"/>
          <w:color w:val="auto"/>
          <w:spacing w:val="4"/>
          <w:sz w:val="30"/>
          <w:szCs w:val="30"/>
          <w:highlight w:val="none"/>
        </w:rPr>
      </w:pPr>
      <w:r>
        <w:rPr>
          <w:color w:val="auto"/>
          <w:sz w:val="30"/>
          <w:szCs w:val="30"/>
          <w:highlight w:val="none"/>
        </w:rPr>
        <w:t>部分地区土地开发利用及城市建设占用洪水中高风险区域，极易突破防洪安全底线，一旦遭受洪水侵袭将造成严重损失，可能对经济社会发展造成重大影响。</w:t>
      </w:r>
    </w:p>
    <w:p>
      <w:pPr>
        <w:pStyle w:val="713"/>
        <w:keepNext w:val="0"/>
        <w:keepLines w:val="0"/>
        <w:pageBreakBefore w:val="0"/>
        <w:widowControl w:val="0"/>
        <w:kinsoku/>
        <w:wordWrap/>
        <w:overflowPunct/>
        <w:topLinePunct w:val="0"/>
        <w:autoSpaceDE/>
        <w:autoSpaceDN/>
        <w:bidi w:val="0"/>
        <w:adjustRightInd/>
        <w:snapToGrid/>
        <w:spacing w:line="560" w:lineRule="exact"/>
        <w:textAlignment w:val="auto"/>
        <w:rPr>
          <w:rFonts w:ascii="Times New Roman"/>
          <w:color w:val="auto"/>
          <w:spacing w:val="4"/>
          <w:sz w:val="30"/>
          <w:szCs w:val="30"/>
          <w:highlight w:val="none"/>
        </w:rPr>
      </w:pPr>
      <w:r>
        <w:rPr>
          <w:rFonts w:ascii="Times New Roman"/>
          <w:color w:val="auto"/>
          <w:spacing w:val="4"/>
          <w:sz w:val="30"/>
          <w:szCs w:val="30"/>
          <w:highlight w:val="none"/>
        </w:rPr>
        <w:t>平原区河段受开采砂石影响，致使河床连年下切，已造成安全隐患，每年汛期堤防工程和涉河工程水毁损失大，如2017年</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8</w:t>
      </w:r>
      <w:r>
        <w:rPr>
          <w:rFonts w:hint="eastAsia" w:ascii="Times New Roman"/>
          <w:color w:val="auto"/>
          <w:spacing w:val="4"/>
          <w:sz w:val="30"/>
          <w:szCs w:val="30"/>
          <w:highlight w:val="none"/>
          <w:lang w:val="en-US" w:eastAsia="zh-CN"/>
        </w:rPr>
        <w:t>·</w:t>
      </w:r>
      <w:r>
        <w:rPr>
          <w:rFonts w:ascii="Times New Roman"/>
          <w:color w:val="auto"/>
          <w:spacing w:val="4"/>
          <w:sz w:val="30"/>
          <w:szCs w:val="30"/>
          <w:highlight w:val="none"/>
        </w:rPr>
        <w:t>20</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洪灾将绵竹市S107道路石亭江1号大桥和富新大桥冲毁，直接经济损失约1.3亿元。</w:t>
      </w:r>
    </w:p>
    <w:p>
      <w:pPr>
        <w:pStyle w:val="713"/>
        <w:keepNext w:val="0"/>
        <w:keepLines w:val="0"/>
        <w:pageBreakBefore w:val="0"/>
        <w:widowControl w:val="0"/>
        <w:kinsoku/>
        <w:wordWrap/>
        <w:overflowPunct/>
        <w:topLinePunct w:val="0"/>
        <w:autoSpaceDE/>
        <w:autoSpaceDN/>
        <w:bidi w:val="0"/>
        <w:adjustRightInd/>
        <w:snapToGrid/>
        <w:spacing w:line="560" w:lineRule="exact"/>
        <w:textAlignment w:val="auto"/>
        <w:rPr>
          <w:rFonts w:ascii="Times New Roman"/>
          <w:color w:val="auto"/>
          <w:spacing w:val="4"/>
          <w:sz w:val="30"/>
          <w:szCs w:val="30"/>
          <w:highlight w:val="none"/>
        </w:rPr>
      </w:pPr>
      <w:r>
        <w:rPr>
          <w:rFonts w:ascii="Times New Roman"/>
          <w:color w:val="auto"/>
          <w:spacing w:val="4"/>
          <w:sz w:val="30"/>
          <w:szCs w:val="30"/>
          <w:highlight w:val="none"/>
        </w:rPr>
        <w:t>近年来，金堂县经济社会发展迅速，2020年金堂县城区总人口已达3</w:t>
      </w:r>
      <w:r>
        <w:rPr>
          <w:rFonts w:hint="eastAsia" w:ascii="Times New Roman"/>
          <w:color w:val="auto"/>
          <w:spacing w:val="4"/>
          <w:sz w:val="30"/>
          <w:szCs w:val="30"/>
          <w:highlight w:val="none"/>
          <w:lang w:val="en-US" w:eastAsia="zh-CN"/>
        </w:rPr>
        <w:t>3</w:t>
      </w:r>
      <w:r>
        <w:rPr>
          <w:rFonts w:ascii="Times New Roman"/>
          <w:color w:val="auto"/>
          <w:spacing w:val="4"/>
          <w:sz w:val="30"/>
          <w:szCs w:val="30"/>
          <w:highlight w:val="none"/>
        </w:rPr>
        <w:t>万人、GDP达369亿元，已分别达《</w:t>
      </w:r>
      <w:r>
        <w:rPr>
          <w:rFonts w:hint="eastAsia" w:ascii="Times New Roman"/>
          <w:color w:val="auto"/>
          <w:spacing w:val="4"/>
          <w:sz w:val="30"/>
          <w:szCs w:val="30"/>
          <w:highlight w:val="none"/>
          <w:lang w:eastAsia="zh-CN"/>
        </w:rPr>
        <w:t>四川省</w:t>
      </w:r>
      <w:r>
        <w:rPr>
          <w:rFonts w:ascii="Times New Roman"/>
          <w:color w:val="auto"/>
          <w:spacing w:val="4"/>
          <w:sz w:val="30"/>
          <w:szCs w:val="30"/>
          <w:highlight w:val="none"/>
        </w:rPr>
        <w:t>沱江流域综合规划》预测值的4.5倍和14倍。</w:t>
      </w:r>
      <w:r>
        <w:rPr>
          <w:rFonts w:hint="eastAsia" w:ascii="Times New Roman"/>
          <w:color w:val="auto"/>
          <w:spacing w:val="4"/>
          <w:sz w:val="30"/>
          <w:szCs w:val="30"/>
          <w:highlight w:val="none"/>
          <w:lang w:val="en-US" w:eastAsia="zh-CN"/>
        </w:rPr>
        <w:t>金堂县</w:t>
      </w:r>
      <w:r>
        <w:rPr>
          <w:rFonts w:ascii="Times New Roman"/>
          <w:color w:val="auto"/>
          <w:spacing w:val="4"/>
          <w:sz w:val="30"/>
          <w:szCs w:val="30"/>
          <w:highlight w:val="none"/>
        </w:rPr>
        <w:t>城区段防洪能力</w:t>
      </w:r>
      <w:r>
        <w:rPr>
          <w:rFonts w:hint="eastAsia" w:ascii="Times New Roman"/>
          <w:color w:val="auto"/>
          <w:spacing w:val="4"/>
          <w:sz w:val="30"/>
          <w:szCs w:val="30"/>
          <w:highlight w:val="none"/>
          <w:lang w:val="en-US" w:eastAsia="zh-CN"/>
        </w:rPr>
        <w:t>仅</w:t>
      </w:r>
      <w:r>
        <w:rPr>
          <w:rFonts w:ascii="Times New Roman"/>
          <w:color w:val="auto"/>
          <w:spacing w:val="4"/>
          <w:sz w:val="30"/>
          <w:szCs w:val="30"/>
          <w:highlight w:val="none"/>
        </w:rPr>
        <w:t>5～10年一遇，部分不足5年一遇</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连续遭遇2018年、2020年两场50年一遇量级的洪水，城区近半被淹，20多万人受灾，累计经济损失近90亿元，严重威胁人民生命财产安全，影响县域经济社会正常运行。在《</w:t>
      </w:r>
      <w:r>
        <w:rPr>
          <w:rFonts w:hint="eastAsia" w:ascii="Times New Roman"/>
          <w:color w:val="auto"/>
          <w:spacing w:val="4"/>
          <w:sz w:val="30"/>
          <w:szCs w:val="30"/>
          <w:highlight w:val="none"/>
          <w:lang w:eastAsia="zh-CN"/>
        </w:rPr>
        <w:t>四川省</w:t>
      </w:r>
      <w:r>
        <w:rPr>
          <w:rFonts w:ascii="Times New Roman"/>
          <w:color w:val="auto"/>
          <w:spacing w:val="4"/>
          <w:sz w:val="30"/>
          <w:szCs w:val="30"/>
          <w:highlight w:val="none"/>
        </w:rPr>
        <w:t>沱江流域综合规划》中提出的在上游支流建大型防洪水库的条件也发生了重大变化，关口水库、清平水库</w:t>
      </w:r>
      <w:r>
        <w:rPr>
          <w:rFonts w:hint="eastAsia" w:ascii="Times New Roman"/>
          <w:color w:val="auto"/>
          <w:spacing w:val="4"/>
          <w:sz w:val="30"/>
          <w:szCs w:val="30"/>
          <w:highlight w:val="none"/>
        </w:rPr>
        <w:t>前期工作尚未启动</w:t>
      </w:r>
      <w:r>
        <w:rPr>
          <w:rFonts w:ascii="Times New Roman"/>
          <w:color w:val="auto"/>
          <w:spacing w:val="4"/>
          <w:sz w:val="30"/>
          <w:szCs w:val="30"/>
          <w:highlight w:val="none"/>
        </w:rPr>
        <w:t>，高景关水库由原大型水库调整为2座中型水库即金花寺水库、高景关水库</w:t>
      </w:r>
      <w:r>
        <w:rPr>
          <w:rFonts w:hint="eastAsia" w:ascii="Times New Roman"/>
          <w:color w:val="auto"/>
          <w:spacing w:val="4"/>
          <w:sz w:val="30"/>
          <w:szCs w:val="30"/>
          <w:highlight w:val="none"/>
        </w:rPr>
        <w:t>分级建设</w:t>
      </w:r>
      <w:r>
        <w:rPr>
          <w:rFonts w:ascii="Times New Roman"/>
          <w:color w:val="auto"/>
          <w:spacing w:val="4"/>
          <w:sz w:val="30"/>
          <w:szCs w:val="30"/>
          <w:highlight w:val="none"/>
        </w:rPr>
        <w:t>；分洪工程受</w:t>
      </w:r>
      <w:r>
        <w:rPr>
          <w:rFonts w:hint="eastAsia" w:ascii="Times New Roman"/>
          <w:color w:val="auto"/>
          <w:spacing w:val="4"/>
          <w:sz w:val="30"/>
          <w:szCs w:val="30"/>
          <w:highlight w:val="none"/>
        </w:rPr>
        <w:t>既有基础设施</w:t>
      </w:r>
      <w:r>
        <w:rPr>
          <w:rFonts w:ascii="Times New Roman"/>
          <w:color w:val="auto"/>
          <w:spacing w:val="4"/>
          <w:sz w:val="30"/>
          <w:szCs w:val="30"/>
          <w:highlight w:val="none"/>
        </w:rPr>
        <w:t>制约，建设难度也非常大；修建蓄洪工程受土地利用的限制。</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lang w:val="en-US" w:eastAsia="zh-CN"/>
        </w:rPr>
        <w:t>三</w:t>
      </w:r>
      <w:r>
        <w:rPr>
          <w:rStyle w:val="550"/>
          <w:rFonts w:hint="eastAsia" w:ascii="黑体" w:hAnsi="黑体" w:eastAsia="黑体" w:cs="黑体"/>
          <w:b w:val="0"/>
          <w:bCs/>
          <w:color w:val="auto"/>
          <w:highlight w:val="none"/>
        </w:rPr>
        <w:t>、</w:t>
      </w:r>
      <w:r>
        <w:rPr>
          <w:rStyle w:val="550"/>
          <w:rFonts w:hint="eastAsia" w:ascii="黑体" w:hAnsi="黑体" w:eastAsia="黑体" w:cs="黑体"/>
          <w:b w:val="0"/>
          <w:bCs/>
          <w:color w:val="auto"/>
          <w:highlight w:val="none"/>
          <w:lang w:val="en-US" w:eastAsia="zh-CN"/>
        </w:rPr>
        <w:t>新时期</w:t>
      </w:r>
      <w:r>
        <w:rPr>
          <w:rStyle w:val="550"/>
          <w:rFonts w:hint="eastAsia" w:ascii="黑体" w:hAnsi="黑体" w:eastAsia="黑体" w:cs="黑体"/>
          <w:b w:val="0"/>
          <w:bCs/>
          <w:color w:val="auto"/>
          <w:highlight w:val="none"/>
        </w:rPr>
        <w:t>防洪</w:t>
      </w:r>
      <w:r>
        <w:rPr>
          <w:rStyle w:val="550"/>
          <w:rFonts w:hint="eastAsia" w:ascii="黑体" w:hAnsi="黑体" w:eastAsia="黑体" w:cs="黑体"/>
          <w:b w:val="0"/>
          <w:bCs/>
          <w:color w:val="auto"/>
          <w:highlight w:val="none"/>
          <w:lang w:val="en-US" w:eastAsia="zh-CN"/>
        </w:rPr>
        <w:t>减灾理念对</w:t>
      </w:r>
      <w:r>
        <w:rPr>
          <w:rStyle w:val="550"/>
          <w:rFonts w:hint="eastAsia" w:ascii="黑体" w:hAnsi="黑体" w:eastAsia="黑体" w:cs="黑体"/>
          <w:b w:val="0"/>
          <w:bCs/>
          <w:color w:val="auto"/>
          <w:highlight w:val="none"/>
        </w:rPr>
        <w:t>流域</w:t>
      </w:r>
      <w:r>
        <w:rPr>
          <w:rStyle w:val="550"/>
          <w:rFonts w:hint="eastAsia" w:ascii="黑体" w:hAnsi="黑体" w:eastAsia="黑体" w:cs="黑体"/>
          <w:b w:val="0"/>
          <w:bCs/>
          <w:color w:val="auto"/>
          <w:highlight w:val="none"/>
          <w:lang w:val="en-US" w:eastAsia="zh-CN"/>
        </w:rPr>
        <w:t>防洪</w:t>
      </w:r>
      <w:r>
        <w:rPr>
          <w:rStyle w:val="550"/>
          <w:rFonts w:hint="eastAsia" w:ascii="黑体" w:hAnsi="黑体" w:eastAsia="黑体" w:cs="黑体"/>
          <w:b w:val="0"/>
          <w:bCs/>
          <w:color w:val="auto"/>
          <w:highlight w:val="none"/>
        </w:rPr>
        <w:t>提出了新要求</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习近平总书记提出了关于防灾减灾救灾</w:t>
      </w:r>
      <w:r>
        <w:rPr>
          <w:rFonts w:hint="eastAsia"/>
          <w:color w:val="auto"/>
          <w:sz w:val="30"/>
          <w:szCs w:val="30"/>
          <w:highlight w:val="none"/>
          <w:lang w:eastAsia="zh-CN"/>
        </w:rPr>
        <w:t>“</w:t>
      </w:r>
      <w:r>
        <w:rPr>
          <w:color w:val="auto"/>
          <w:sz w:val="30"/>
          <w:szCs w:val="30"/>
          <w:highlight w:val="none"/>
        </w:rPr>
        <w:t>两个坚持、三个转变</w:t>
      </w:r>
      <w:r>
        <w:rPr>
          <w:rFonts w:hint="eastAsia"/>
          <w:color w:val="auto"/>
          <w:sz w:val="30"/>
          <w:szCs w:val="30"/>
          <w:highlight w:val="none"/>
          <w:lang w:eastAsia="zh-CN"/>
        </w:rPr>
        <w:t>”“</w:t>
      </w:r>
      <w:r>
        <w:rPr>
          <w:color w:val="auto"/>
          <w:sz w:val="30"/>
          <w:szCs w:val="30"/>
          <w:highlight w:val="none"/>
        </w:rPr>
        <w:t>坚持人民至上、生命至上</w:t>
      </w:r>
      <w:r>
        <w:rPr>
          <w:rFonts w:hint="eastAsia"/>
          <w:color w:val="auto"/>
          <w:sz w:val="30"/>
          <w:szCs w:val="30"/>
          <w:highlight w:val="none"/>
          <w:lang w:eastAsia="zh-CN"/>
        </w:rPr>
        <w:t>”</w:t>
      </w:r>
      <w:r>
        <w:rPr>
          <w:color w:val="auto"/>
          <w:sz w:val="30"/>
          <w:szCs w:val="30"/>
          <w:highlight w:val="none"/>
        </w:rPr>
        <w:t>等一系列重要论述，强调要从注重灾后救助向注重灾前预防转变，要更加突出防范洪水灾害风险和消除防洪隐患；党的十九届五中全会提出</w:t>
      </w:r>
      <w:r>
        <w:rPr>
          <w:rFonts w:hint="eastAsia"/>
          <w:color w:val="auto"/>
          <w:sz w:val="30"/>
          <w:szCs w:val="30"/>
          <w:highlight w:val="none"/>
          <w:lang w:eastAsia="zh-CN"/>
        </w:rPr>
        <w:t>“</w:t>
      </w:r>
      <w:r>
        <w:rPr>
          <w:color w:val="auto"/>
          <w:sz w:val="30"/>
          <w:szCs w:val="30"/>
          <w:highlight w:val="none"/>
        </w:rPr>
        <w:t>要提升洪涝干旱等自然灾害防御工程标准</w:t>
      </w:r>
      <w:r>
        <w:rPr>
          <w:rFonts w:hint="eastAsia"/>
          <w:color w:val="auto"/>
          <w:sz w:val="30"/>
          <w:szCs w:val="30"/>
          <w:highlight w:val="none"/>
          <w:lang w:eastAsia="zh-CN"/>
        </w:rPr>
        <w:t>”</w:t>
      </w:r>
      <w:r>
        <w:rPr>
          <w:color w:val="auto"/>
          <w:sz w:val="30"/>
          <w:szCs w:val="30"/>
          <w:highlight w:val="none"/>
        </w:rPr>
        <w:t>。</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《中华人民共和国国民经济和社会发展第十四个五年规划和2035年远景目标纲要》提出</w:t>
      </w:r>
      <w:r>
        <w:rPr>
          <w:rFonts w:hint="eastAsia"/>
          <w:color w:val="auto"/>
          <w:sz w:val="30"/>
          <w:szCs w:val="30"/>
          <w:highlight w:val="none"/>
          <w:lang w:eastAsia="zh-CN"/>
        </w:rPr>
        <w:t>“</w:t>
      </w:r>
      <w:r>
        <w:rPr>
          <w:color w:val="auto"/>
          <w:sz w:val="30"/>
          <w:szCs w:val="30"/>
          <w:highlight w:val="none"/>
        </w:rPr>
        <w:t>实施防洪提升工程，解决防汛薄弱环节，加快防洪控制性枢纽工程建设和中小河流治理、病险水库除险加固，全面推进堤防和蓄滞洪区建设</w:t>
      </w:r>
      <w:r>
        <w:rPr>
          <w:rFonts w:hint="eastAsia"/>
          <w:color w:val="auto"/>
          <w:sz w:val="30"/>
          <w:szCs w:val="30"/>
          <w:highlight w:val="none"/>
          <w:lang w:eastAsia="zh-CN"/>
        </w:rPr>
        <w:t>”</w:t>
      </w:r>
      <w:r>
        <w:rPr>
          <w:color w:val="auto"/>
          <w:sz w:val="30"/>
          <w:szCs w:val="30"/>
          <w:highlight w:val="none"/>
        </w:rPr>
        <w:t>。</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2022年全国水利工作会议提出，各级水利部门要深刻认识、准确把握当前水利工作面临的形势，统筹发展和安全，统筹水灾害、水资源、水生态、水环境系统治理，推动新阶段水利高质量发展</w:t>
      </w:r>
      <w:r>
        <w:rPr>
          <w:rFonts w:hint="eastAsia"/>
          <w:color w:val="auto"/>
          <w:sz w:val="30"/>
          <w:szCs w:val="30"/>
          <w:highlight w:val="none"/>
          <w:lang w:eastAsia="zh-CN"/>
        </w:rPr>
        <w:t>，</w:t>
      </w:r>
      <w:r>
        <w:rPr>
          <w:color w:val="auto"/>
          <w:sz w:val="30"/>
          <w:szCs w:val="30"/>
          <w:highlight w:val="none"/>
        </w:rPr>
        <w:t>进一步增强风险意识，树牢底线思维，坚持人民至上、生命至上，增强底线意识、忧患意识、责任意识、担当意识，落实预报、预警、预演、预案</w:t>
      </w:r>
      <w:r>
        <w:rPr>
          <w:rFonts w:hint="eastAsia"/>
          <w:color w:val="auto"/>
          <w:sz w:val="30"/>
          <w:szCs w:val="30"/>
          <w:highlight w:val="none"/>
          <w:lang w:eastAsia="zh-CN"/>
        </w:rPr>
        <w:t>“</w:t>
      </w:r>
      <w:r>
        <w:rPr>
          <w:color w:val="auto"/>
          <w:sz w:val="30"/>
          <w:szCs w:val="30"/>
          <w:highlight w:val="none"/>
        </w:rPr>
        <w:t>四预</w:t>
      </w:r>
      <w:r>
        <w:rPr>
          <w:rFonts w:hint="eastAsia"/>
          <w:color w:val="auto"/>
          <w:sz w:val="30"/>
          <w:szCs w:val="30"/>
          <w:highlight w:val="none"/>
          <w:lang w:eastAsia="zh-CN"/>
        </w:rPr>
        <w:t>”</w:t>
      </w:r>
      <w:r>
        <w:rPr>
          <w:color w:val="auto"/>
          <w:sz w:val="30"/>
          <w:szCs w:val="30"/>
          <w:highlight w:val="none"/>
        </w:rPr>
        <w:t>措施，贯通雨情、水情、险情、灾情</w:t>
      </w:r>
      <w:r>
        <w:rPr>
          <w:rFonts w:hint="eastAsia"/>
          <w:color w:val="auto"/>
          <w:sz w:val="30"/>
          <w:szCs w:val="30"/>
          <w:highlight w:val="none"/>
          <w:lang w:eastAsia="zh-CN"/>
        </w:rPr>
        <w:t>“</w:t>
      </w:r>
      <w:r>
        <w:rPr>
          <w:color w:val="auto"/>
          <w:sz w:val="30"/>
          <w:szCs w:val="30"/>
          <w:highlight w:val="none"/>
        </w:rPr>
        <w:t>四情</w:t>
      </w:r>
      <w:r>
        <w:rPr>
          <w:rFonts w:hint="eastAsia"/>
          <w:color w:val="auto"/>
          <w:sz w:val="30"/>
          <w:szCs w:val="30"/>
          <w:highlight w:val="none"/>
          <w:lang w:eastAsia="zh-CN"/>
        </w:rPr>
        <w:t>”</w:t>
      </w:r>
      <w:r>
        <w:rPr>
          <w:color w:val="auto"/>
          <w:sz w:val="30"/>
          <w:szCs w:val="30"/>
          <w:highlight w:val="none"/>
        </w:rPr>
        <w:t>防御，抓紧补短板、堵漏洞、强弱项，做好水</w:t>
      </w:r>
      <w:r>
        <w:rPr>
          <w:rFonts w:hint="eastAsia"/>
          <w:color w:val="auto"/>
          <w:sz w:val="30"/>
          <w:szCs w:val="30"/>
          <w:highlight w:val="none"/>
          <w:lang w:val="en-US" w:eastAsia="zh-CN"/>
        </w:rPr>
        <w:t>旱</w:t>
      </w:r>
      <w:r>
        <w:rPr>
          <w:color w:val="auto"/>
          <w:sz w:val="30"/>
          <w:szCs w:val="30"/>
          <w:highlight w:val="none"/>
        </w:rPr>
        <w:t>灾害防御工作。</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w:t>
      </w:r>
      <w:r>
        <w:rPr>
          <w:rFonts w:hint="eastAsia"/>
          <w:color w:val="auto"/>
          <w:sz w:val="30"/>
          <w:szCs w:val="30"/>
          <w:highlight w:val="none"/>
          <w:lang w:eastAsia="zh-CN"/>
        </w:rPr>
        <w:t>“</w:t>
      </w:r>
      <w:r>
        <w:rPr>
          <w:color w:val="auto"/>
          <w:sz w:val="30"/>
          <w:szCs w:val="30"/>
          <w:highlight w:val="none"/>
        </w:rPr>
        <w:t>十四五</w:t>
      </w:r>
      <w:r>
        <w:rPr>
          <w:rFonts w:hint="eastAsia"/>
          <w:color w:val="auto"/>
          <w:sz w:val="30"/>
          <w:szCs w:val="30"/>
          <w:highlight w:val="none"/>
          <w:lang w:eastAsia="zh-CN"/>
        </w:rPr>
        <w:t>”</w:t>
      </w:r>
      <w:r>
        <w:rPr>
          <w:color w:val="auto"/>
          <w:sz w:val="30"/>
          <w:szCs w:val="30"/>
          <w:highlight w:val="none"/>
        </w:rPr>
        <w:t>时期完善流域防洪工程体系重点工作实施方案》指出，流域防洪工程体系是抵御洪涝灾害、保障防洪安全的第一道防线，以流域为单元，通过固底板、补短板、锻长板，加快完善由河道</w:t>
      </w:r>
      <w:r>
        <w:rPr>
          <w:rFonts w:hint="eastAsia"/>
          <w:color w:val="auto"/>
          <w:sz w:val="30"/>
          <w:szCs w:val="30"/>
          <w:highlight w:val="none"/>
          <w:lang w:val="en-US" w:eastAsia="zh-CN"/>
        </w:rPr>
        <w:t>整治</w:t>
      </w:r>
      <w:r>
        <w:rPr>
          <w:rFonts w:hint="eastAsia"/>
          <w:color w:val="auto"/>
          <w:sz w:val="30"/>
          <w:szCs w:val="30"/>
          <w:highlight w:val="none"/>
          <w:lang w:eastAsia="zh-CN"/>
        </w:rPr>
        <w:t>、</w:t>
      </w:r>
      <w:r>
        <w:rPr>
          <w:color w:val="auto"/>
          <w:sz w:val="30"/>
          <w:szCs w:val="30"/>
          <w:highlight w:val="none"/>
        </w:rPr>
        <w:t>堤防</w:t>
      </w:r>
      <w:r>
        <w:rPr>
          <w:rFonts w:hint="eastAsia"/>
          <w:color w:val="auto"/>
          <w:sz w:val="30"/>
          <w:szCs w:val="30"/>
          <w:highlight w:val="none"/>
          <w:lang w:val="en-US" w:eastAsia="zh-CN"/>
        </w:rPr>
        <w:t>护岸</w:t>
      </w:r>
      <w:r>
        <w:rPr>
          <w:color w:val="auto"/>
          <w:sz w:val="30"/>
          <w:szCs w:val="30"/>
          <w:highlight w:val="none"/>
        </w:rPr>
        <w:t>、水库、分蓄洪</w:t>
      </w:r>
      <w:r>
        <w:rPr>
          <w:rFonts w:hint="eastAsia"/>
          <w:color w:val="auto"/>
          <w:sz w:val="30"/>
          <w:szCs w:val="30"/>
          <w:highlight w:val="none"/>
          <w:lang w:val="en-US" w:eastAsia="zh-CN"/>
        </w:rPr>
        <w:t>工程</w:t>
      </w:r>
      <w:r>
        <w:rPr>
          <w:color w:val="auto"/>
          <w:sz w:val="30"/>
          <w:szCs w:val="30"/>
          <w:highlight w:val="none"/>
        </w:rPr>
        <w:t>等组成的现代化防洪工程体系，大幅提</w:t>
      </w:r>
      <w:r>
        <w:rPr>
          <w:rFonts w:hint="eastAsia"/>
          <w:color w:val="auto"/>
          <w:sz w:val="30"/>
          <w:szCs w:val="30"/>
          <w:highlight w:val="none"/>
          <w:lang w:val="en-US" w:eastAsia="zh-CN"/>
        </w:rPr>
        <w:t>高</w:t>
      </w:r>
      <w:r>
        <w:rPr>
          <w:color w:val="auto"/>
          <w:sz w:val="30"/>
          <w:szCs w:val="30"/>
          <w:highlight w:val="none"/>
        </w:rPr>
        <w:t>洪涝灾害防御能力，为全面建设社会主义现代化国家提供有力的防洪安全保障；要求切实加强规划引领，针对流域防洪面临的新形势和新要求，开展新一轮防洪规划编制工作，完善流域防洪规划体系。</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lang w:val="en-US" w:eastAsia="zh-CN"/>
        </w:rPr>
        <w:t>四</w:t>
      </w:r>
      <w:r>
        <w:rPr>
          <w:rStyle w:val="550"/>
          <w:rFonts w:hint="eastAsia" w:ascii="黑体" w:hAnsi="黑体" w:eastAsia="黑体" w:cs="黑体"/>
          <w:b w:val="0"/>
          <w:bCs/>
          <w:color w:val="auto"/>
          <w:highlight w:val="none"/>
        </w:rPr>
        <w:t>、国家和区域重大发展战略</w:t>
      </w:r>
      <w:bookmarkStart w:id="37" w:name="_Hlk120993038"/>
      <w:r>
        <w:rPr>
          <w:rStyle w:val="550"/>
          <w:rFonts w:hint="eastAsia" w:ascii="黑体" w:hAnsi="黑体" w:eastAsia="黑体" w:cs="黑体"/>
          <w:b w:val="0"/>
          <w:bCs/>
          <w:color w:val="auto"/>
          <w:highlight w:val="none"/>
        </w:rPr>
        <w:t>对流域防洪提出了更高要求</w:t>
      </w:r>
      <w:bookmarkEnd w:id="37"/>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长江经济带发展、成渝地区双城经济圈建设等国家重大战略和四川省</w:t>
      </w:r>
      <w:r>
        <w:rPr>
          <w:rFonts w:hint="eastAsia"/>
          <w:color w:val="auto"/>
          <w:sz w:val="30"/>
          <w:szCs w:val="30"/>
          <w:highlight w:val="none"/>
          <w:lang w:eastAsia="zh-CN"/>
        </w:rPr>
        <w:t>“</w:t>
      </w:r>
      <w:r>
        <w:rPr>
          <w:color w:val="auto"/>
          <w:sz w:val="30"/>
          <w:szCs w:val="30"/>
          <w:highlight w:val="none"/>
        </w:rPr>
        <w:t>四化同步、城乡融合、五区共兴</w:t>
      </w:r>
      <w:r>
        <w:rPr>
          <w:rFonts w:hint="eastAsia"/>
          <w:color w:val="auto"/>
          <w:sz w:val="30"/>
          <w:szCs w:val="30"/>
          <w:highlight w:val="none"/>
          <w:lang w:eastAsia="zh-CN"/>
        </w:rPr>
        <w:t>”</w:t>
      </w:r>
      <w:r>
        <w:rPr>
          <w:color w:val="auto"/>
          <w:sz w:val="30"/>
          <w:szCs w:val="30"/>
          <w:highlight w:val="none"/>
        </w:rPr>
        <w:t>战略加快推进，沿江城镇化格局不断优化，城镇化率不断提高，潜在洪灾风险损失逐步加大，对流域防洪保安提出了更高要求。</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沱江流域位于成渝地区中部，涵盖了成渝</w:t>
      </w:r>
      <w:r>
        <w:rPr>
          <w:rFonts w:hint="eastAsia"/>
          <w:color w:val="auto"/>
          <w:sz w:val="30"/>
          <w:szCs w:val="30"/>
          <w:highlight w:val="none"/>
          <w:lang w:eastAsia="zh-CN"/>
        </w:rPr>
        <w:t>“</w:t>
      </w:r>
      <w:r>
        <w:rPr>
          <w:color w:val="auto"/>
          <w:sz w:val="30"/>
          <w:szCs w:val="30"/>
          <w:highlight w:val="none"/>
        </w:rPr>
        <w:t>双圈</w:t>
      </w:r>
      <w:r>
        <w:rPr>
          <w:rFonts w:hint="eastAsia"/>
          <w:color w:val="auto"/>
          <w:sz w:val="30"/>
          <w:szCs w:val="30"/>
          <w:highlight w:val="none"/>
          <w:lang w:eastAsia="zh-CN"/>
        </w:rPr>
        <w:t>”</w:t>
      </w:r>
      <w:r>
        <w:rPr>
          <w:color w:val="auto"/>
          <w:sz w:val="30"/>
          <w:szCs w:val="30"/>
          <w:highlight w:val="none"/>
        </w:rPr>
        <w:t>之一的成都都市圈内的成都、德阳、资阳和</w:t>
      </w:r>
      <w:r>
        <w:rPr>
          <w:rFonts w:hint="eastAsia"/>
          <w:color w:val="auto"/>
          <w:sz w:val="30"/>
          <w:szCs w:val="30"/>
          <w:highlight w:val="none"/>
          <w:lang w:eastAsia="zh-CN"/>
        </w:rPr>
        <w:t>“</w:t>
      </w:r>
      <w:r>
        <w:rPr>
          <w:color w:val="auto"/>
          <w:sz w:val="30"/>
          <w:szCs w:val="30"/>
          <w:highlight w:val="none"/>
        </w:rPr>
        <w:t>南翼</w:t>
      </w:r>
      <w:r>
        <w:rPr>
          <w:rFonts w:hint="eastAsia"/>
          <w:color w:val="auto"/>
          <w:sz w:val="30"/>
          <w:szCs w:val="30"/>
          <w:highlight w:val="none"/>
          <w:lang w:eastAsia="zh-CN"/>
        </w:rPr>
        <w:t>”</w:t>
      </w:r>
      <w:r>
        <w:rPr>
          <w:color w:val="auto"/>
          <w:sz w:val="30"/>
          <w:szCs w:val="30"/>
          <w:highlight w:val="none"/>
        </w:rPr>
        <w:t>上</w:t>
      </w:r>
      <w:bookmarkStart w:id="38" w:name="_Hlk120990752"/>
      <w:r>
        <w:rPr>
          <w:color w:val="auto"/>
          <w:sz w:val="30"/>
          <w:szCs w:val="30"/>
          <w:highlight w:val="none"/>
        </w:rPr>
        <w:t>的</w:t>
      </w:r>
      <w:bookmarkEnd w:id="38"/>
      <w:r>
        <w:rPr>
          <w:color w:val="auto"/>
          <w:sz w:val="30"/>
          <w:szCs w:val="30"/>
          <w:highlight w:val="none"/>
        </w:rPr>
        <w:t>内江、自贡、泸州，按照《成渝地区双城经济圈建设规划纲要》要求，需要推进防洪减灾设施建设，加强主要江河和中小河流防洪治理，实施防洪控制性水库联合调度；系统推进城市堤防、排水管渠、排涝除险、蓄水空间等设施建设，有效治理城市内涝问题；构建智慧水利平台，健全水资源监控体系，推进水利资源共享、调配、监管一体化。</w:t>
      </w:r>
    </w:p>
    <w:bookmarkEnd w:id="19"/>
    <w:bookmarkEnd w:id="24"/>
    <w:bookmarkEnd w:id="25"/>
    <w:bookmarkEnd w:id="26"/>
    <w:bookmarkEnd w:id="27"/>
    <w:bookmarkEnd w:id="28"/>
    <w:bookmarkEnd w:id="29"/>
    <w:bookmarkEnd w:id="30"/>
    <w:bookmarkEnd w:id="31"/>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bookmarkStart w:id="39" w:name="_Toc289152036"/>
      <w:r>
        <w:rPr>
          <w:rFonts w:hint="eastAsia"/>
          <w:color w:val="auto"/>
          <w:sz w:val="30"/>
          <w:szCs w:val="30"/>
          <w:highlight w:val="none"/>
          <w:lang w:val="en-US" w:eastAsia="zh-CN"/>
        </w:rPr>
        <w:t>综上，</w:t>
      </w:r>
      <w:r>
        <w:rPr>
          <w:color w:val="auto"/>
          <w:sz w:val="30"/>
          <w:szCs w:val="30"/>
          <w:highlight w:val="none"/>
        </w:rPr>
        <w:t>为有效适应流域洪水特性新变化，以及新时代新要求，强化流域防洪体系建设和超标准洪水应对措施，提</w:t>
      </w:r>
      <w:r>
        <w:rPr>
          <w:rFonts w:hint="eastAsia"/>
          <w:color w:val="auto"/>
          <w:sz w:val="30"/>
          <w:szCs w:val="30"/>
          <w:highlight w:val="none"/>
          <w:lang w:val="en-US" w:eastAsia="zh-CN"/>
        </w:rPr>
        <w:t>高</w:t>
      </w:r>
      <w:r>
        <w:rPr>
          <w:color w:val="auto"/>
          <w:sz w:val="30"/>
          <w:szCs w:val="30"/>
          <w:highlight w:val="none"/>
        </w:rPr>
        <w:t>流域</w:t>
      </w:r>
      <w:r>
        <w:rPr>
          <w:rFonts w:hint="eastAsia"/>
          <w:color w:val="auto"/>
          <w:sz w:val="30"/>
          <w:szCs w:val="30"/>
          <w:highlight w:val="none"/>
          <w:lang w:eastAsia="zh-CN"/>
        </w:rPr>
        <w:t>“</w:t>
      </w:r>
      <w:r>
        <w:rPr>
          <w:color w:val="auto"/>
          <w:sz w:val="30"/>
          <w:szCs w:val="30"/>
          <w:highlight w:val="none"/>
        </w:rPr>
        <w:t>四预</w:t>
      </w:r>
      <w:r>
        <w:rPr>
          <w:rFonts w:hint="eastAsia"/>
          <w:color w:val="auto"/>
          <w:sz w:val="30"/>
          <w:szCs w:val="30"/>
          <w:highlight w:val="none"/>
          <w:lang w:eastAsia="zh-CN"/>
        </w:rPr>
        <w:t>”</w:t>
      </w:r>
      <w:r>
        <w:rPr>
          <w:color w:val="auto"/>
          <w:sz w:val="30"/>
          <w:szCs w:val="30"/>
          <w:highlight w:val="none"/>
        </w:rPr>
        <w:t>能力，加强流域洪水风险管</w:t>
      </w:r>
      <w:r>
        <w:rPr>
          <w:rFonts w:hint="eastAsia"/>
          <w:color w:val="auto"/>
          <w:sz w:val="30"/>
          <w:szCs w:val="30"/>
          <w:highlight w:val="none"/>
          <w:lang w:val="en-US" w:eastAsia="zh-CN"/>
        </w:rPr>
        <w:t>控</w:t>
      </w:r>
      <w:r>
        <w:rPr>
          <w:color w:val="auto"/>
          <w:sz w:val="30"/>
          <w:szCs w:val="30"/>
          <w:highlight w:val="none"/>
        </w:rPr>
        <w:t>，亟需系统规划提出解决方案。</w:t>
      </w:r>
    </w:p>
    <w:p>
      <w:pPr>
        <w:pStyle w:val="3"/>
        <w:keepNext/>
        <w:keepLines/>
        <w:pageBreakBefore w:val="0"/>
        <w:widowControl w:val="0"/>
        <w:kinsoku/>
        <w:wordWrap/>
        <w:overflowPunct/>
        <w:topLinePunct w:val="0"/>
        <w:autoSpaceDE/>
        <w:autoSpaceDN/>
        <w:bidi w:val="0"/>
        <w:adjustRightInd/>
        <w:snapToGrid/>
        <w:spacing w:line="540" w:lineRule="exact"/>
        <w:textAlignment w:val="auto"/>
        <w:rPr>
          <w:b w:val="0"/>
          <w:bCs w:val="0"/>
          <w:color w:val="auto"/>
          <w:szCs w:val="44"/>
          <w:highlight w:val="none"/>
        </w:rPr>
      </w:pPr>
      <w:r>
        <w:rPr>
          <w:color w:val="auto"/>
          <w:szCs w:val="44"/>
          <w:highlight w:val="none"/>
        </w:rPr>
        <w:br w:type="page"/>
      </w:r>
      <w:bookmarkStart w:id="40" w:name="_Toc124757332"/>
    </w:p>
    <w:p>
      <w:pPr>
        <w:pStyle w:val="3"/>
        <w:keepNext/>
        <w:keepLines/>
        <w:pageBreakBefore w:val="0"/>
        <w:widowControl w:val="0"/>
        <w:kinsoku/>
        <w:wordWrap/>
        <w:overflowPunct/>
        <w:topLinePunct w:val="0"/>
        <w:autoSpaceDE/>
        <w:autoSpaceDN/>
        <w:bidi w:val="0"/>
        <w:adjustRightInd/>
        <w:snapToGrid/>
        <w:spacing w:before="0" w:after="0" w:line="560" w:lineRule="exact"/>
        <w:textAlignment w:val="auto"/>
        <w:rPr>
          <w:b w:val="0"/>
          <w:bCs w:val="0"/>
          <w:color w:val="auto"/>
          <w:highlight w:val="none"/>
          <w:lang w:val="en-US"/>
        </w:rPr>
      </w:pPr>
      <w:r>
        <w:rPr>
          <w:b w:val="0"/>
          <w:bCs w:val="0"/>
          <w:color w:val="auto"/>
          <w:highlight w:val="none"/>
        </w:rPr>
        <w:t>第二章  水文</w:t>
      </w:r>
      <w:bookmarkEnd w:id="39"/>
      <w:r>
        <w:rPr>
          <w:b w:val="0"/>
          <w:bCs w:val="0"/>
          <w:color w:val="auto"/>
          <w:highlight w:val="none"/>
        </w:rPr>
        <w:t>气象</w:t>
      </w:r>
      <w:r>
        <w:rPr>
          <w:b w:val="0"/>
          <w:bCs w:val="0"/>
          <w:color w:val="auto"/>
          <w:highlight w:val="none"/>
          <w:lang w:val="en-US"/>
        </w:rPr>
        <w:t>及地质概况</w:t>
      </w:r>
      <w:bookmarkEnd w:id="40"/>
    </w:p>
    <w:p>
      <w:pPr>
        <w:pageBreakBefore w:val="0"/>
        <w:widowControl w:val="0"/>
        <w:kinsoku/>
        <w:wordWrap/>
        <w:overflowPunct/>
        <w:topLinePunct w:val="0"/>
        <w:autoSpaceDE/>
        <w:autoSpaceDN/>
        <w:bidi w:val="0"/>
        <w:adjustRightInd/>
        <w:snapToGrid/>
        <w:spacing w:line="560" w:lineRule="exact"/>
        <w:textAlignment w:val="auto"/>
        <w:rPr>
          <w:lang w:val="en-US"/>
        </w:rPr>
      </w:pPr>
    </w:p>
    <w:p>
      <w:pPr>
        <w:pStyle w:val="4"/>
        <w:keepNext/>
        <w:keepLines/>
        <w:pageBreakBefore w:val="0"/>
        <w:widowControl w:val="0"/>
        <w:kinsoku/>
        <w:wordWrap/>
        <w:overflowPunct/>
        <w:topLinePunct w:val="0"/>
        <w:autoSpaceDE/>
        <w:autoSpaceDN/>
        <w:bidi w:val="0"/>
        <w:adjustRightInd/>
        <w:snapToGrid/>
        <w:spacing w:before="0" w:after="0" w:line="560" w:lineRule="exact"/>
        <w:textAlignment w:val="auto"/>
        <w:rPr>
          <w:b w:val="0"/>
          <w:bCs w:val="0"/>
          <w:color w:val="auto"/>
          <w:highlight w:val="none"/>
        </w:rPr>
      </w:pPr>
      <w:bookmarkStart w:id="41" w:name="_Toc124757333"/>
      <w:bookmarkStart w:id="42" w:name="_Toc289152037"/>
      <w:r>
        <w:rPr>
          <w:b w:val="0"/>
          <w:bCs w:val="0"/>
          <w:color w:val="auto"/>
          <w:highlight w:val="none"/>
        </w:rPr>
        <w:t>第一节  水文气象</w:t>
      </w:r>
      <w:bookmarkEnd w:id="41"/>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一、暴雨特征</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沱江流域暴雨因地形条件的差异分布很不均匀，上游</w:t>
      </w:r>
      <w:r>
        <w:rPr>
          <w:rFonts w:hint="eastAsia"/>
          <w:color w:val="auto"/>
          <w:sz w:val="30"/>
          <w:szCs w:val="30"/>
          <w:highlight w:val="none"/>
          <w:lang w:val="en-US" w:eastAsia="zh-CN"/>
        </w:rPr>
        <w:t>山区</w:t>
      </w:r>
      <w:r>
        <w:rPr>
          <w:color w:val="auto"/>
          <w:sz w:val="30"/>
          <w:szCs w:val="30"/>
          <w:highlight w:val="none"/>
        </w:rPr>
        <w:t>地势较高，常出现大暴雨，多年平均暴雨日数达3日</w:t>
      </w:r>
      <w:r>
        <w:rPr>
          <w:rFonts w:hint="eastAsia"/>
          <w:color w:val="auto"/>
          <w:sz w:val="30"/>
          <w:szCs w:val="30"/>
          <w:highlight w:val="none"/>
          <w:lang w:eastAsia="zh-CN"/>
        </w:rPr>
        <w:t>；</w:t>
      </w:r>
      <w:r>
        <w:rPr>
          <w:color w:val="auto"/>
          <w:sz w:val="30"/>
          <w:szCs w:val="30"/>
          <w:highlight w:val="none"/>
        </w:rPr>
        <w:t>中下游盆地腹部地区暴雨日数较上游山区少，多年平均暴雨日数达2</w:t>
      </w:r>
      <w:r>
        <w:rPr>
          <w:rFonts w:hint="eastAsia"/>
          <w:color w:val="auto"/>
          <w:sz w:val="30"/>
          <w:szCs w:val="30"/>
          <w:highlight w:val="none"/>
          <w:lang w:eastAsia="zh-CN"/>
        </w:rPr>
        <w:t>～</w:t>
      </w:r>
      <w:r>
        <w:rPr>
          <w:color w:val="auto"/>
          <w:sz w:val="30"/>
          <w:szCs w:val="30"/>
          <w:highlight w:val="none"/>
        </w:rPr>
        <w:t>3日。</w:t>
      </w:r>
    </w:p>
    <w:p>
      <w:pPr>
        <w:pStyle w:val="154"/>
        <w:ind w:firstLine="586"/>
        <w:rPr>
          <w:color w:val="auto"/>
          <w:spacing w:val="6"/>
          <w:kern w:val="0"/>
          <w:sz w:val="30"/>
          <w:szCs w:val="30"/>
          <w:highlight w:val="none"/>
        </w:rPr>
      </w:pPr>
      <w:r>
        <w:rPr>
          <w:color w:val="auto"/>
          <w:spacing w:val="6"/>
          <w:kern w:val="0"/>
          <w:sz w:val="30"/>
          <w:szCs w:val="30"/>
          <w:highlight w:val="none"/>
        </w:rPr>
        <w:t>沱江流域上游山区为鹿头山暴雨区，暴雨具有量大、范围广、频次高等特点</w:t>
      </w:r>
      <w:r>
        <w:rPr>
          <w:rFonts w:hint="eastAsia"/>
          <w:color w:val="auto"/>
          <w:spacing w:val="6"/>
          <w:kern w:val="0"/>
          <w:sz w:val="30"/>
          <w:szCs w:val="30"/>
          <w:highlight w:val="none"/>
          <w:lang w:eastAsia="zh-CN"/>
        </w:rPr>
        <w:t>。</w:t>
      </w:r>
      <w:r>
        <w:rPr>
          <w:color w:val="auto"/>
          <w:spacing w:val="6"/>
          <w:kern w:val="0"/>
          <w:sz w:val="30"/>
          <w:szCs w:val="30"/>
          <w:highlight w:val="none"/>
        </w:rPr>
        <w:t>关口、高景关、</w:t>
      </w:r>
      <w:r>
        <w:rPr>
          <w:rFonts w:hint="eastAsia"/>
          <w:color w:val="auto"/>
          <w:spacing w:val="6"/>
          <w:kern w:val="0"/>
          <w:sz w:val="30"/>
          <w:szCs w:val="30"/>
          <w:highlight w:val="none"/>
          <w:lang w:eastAsia="zh-CN"/>
        </w:rPr>
        <w:t>汉旺</w:t>
      </w:r>
      <w:r>
        <w:rPr>
          <w:color w:val="auto"/>
          <w:spacing w:val="6"/>
          <w:kern w:val="0"/>
          <w:sz w:val="30"/>
          <w:szCs w:val="30"/>
          <w:highlight w:val="none"/>
        </w:rPr>
        <w:t>场等控制性水文站以上的山区为鹿头山暴雨区的腹部地带，大暴雨和特大暴雨频繁，日雨量达200mm的记录时有发生。</w:t>
      </w:r>
    </w:p>
    <w:p>
      <w:pPr>
        <w:pStyle w:val="154"/>
        <w:ind w:firstLine="586"/>
        <w:rPr>
          <w:color w:val="auto"/>
          <w:spacing w:val="6"/>
          <w:kern w:val="0"/>
          <w:sz w:val="30"/>
          <w:szCs w:val="30"/>
          <w:highlight w:val="none"/>
        </w:rPr>
      </w:pPr>
      <w:r>
        <w:rPr>
          <w:color w:val="auto"/>
          <w:spacing w:val="6"/>
          <w:kern w:val="0"/>
          <w:sz w:val="30"/>
          <w:szCs w:val="30"/>
          <w:highlight w:val="none"/>
        </w:rPr>
        <w:t>沱江</w:t>
      </w:r>
      <w:r>
        <w:rPr>
          <w:rFonts w:hint="eastAsia"/>
          <w:color w:val="auto"/>
          <w:spacing w:val="6"/>
          <w:kern w:val="0"/>
          <w:sz w:val="30"/>
          <w:szCs w:val="30"/>
          <w:highlight w:val="none"/>
          <w:lang w:val="en-US" w:eastAsia="zh-CN"/>
        </w:rPr>
        <w:t>流域</w:t>
      </w:r>
      <w:r>
        <w:rPr>
          <w:color w:val="auto"/>
          <w:spacing w:val="6"/>
          <w:kern w:val="0"/>
          <w:sz w:val="30"/>
          <w:szCs w:val="30"/>
          <w:highlight w:val="none"/>
        </w:rPr>
        <w:t>中下游</w:t>
      </w:r>
      <w:r>
        <w:rPr>
          <w:rFonts w:hint="eastAsia"/>
          <w:color w:val="auto"/>
          <w:spacing w:val="6"/>
          <w:kern w:val="0"/>
          <w:sz w:val="30"/>
          <w:szCs w:val="30"/>
          <w:highlight w:val="none"/>
          <w:lang w:val="en-US" w:eastAsia="zh-CN"/>
        </w:rPr>
        <w:t>地处</w:t>
      </w:r>
      <w:r>
        <w:rPr>
          <w:color w:val="auto"/>
          <w:spacing w:val="6"/>
          <w:kern w:val="0"/>
          <w:sz w:val="30"/>
          <w:szCs w:val="30"/>
          <w:highlight w:val="none"/>
        </w:rPr>
        <w:t>盆地腹部地区，暴雨中心无固定位置，影响干流洪水量级多以支流来水为主，尤以绛溪河、濛溪河、球溪河、濑溪河、釜溪河产生的暴雨洪水对干流影响较大。威远河、</w:t>
      </w:r>
      <w:r>
        <w:rPr>
          <w:rFonts w:hint="eastAsia"/>
          <w:color w:val="auto"/>
          <w:spacing w:val="6"/>
          <w:kern w:val="0"/>
          <w:sz w:val="30"/>
          <w:szCs w:val="30"/>
          <w:highlight w:val="none"/>
        </w:rPr>
        <w:t>旭水</w:t>
      </w:r>
      <w:r>
        <w:rPr>
          <w:color w:val="auto"/>
          <w:spacing w:val="6"/>
          <w:kern w:val="0"/>
          <w:sz w:val="30"/>
          <w:szCs w:val="30"/>
          <w:highlight w:val="none"/>
        </w:rPr>
        <w:t>河流域内常有大暴雨发生，洪水频繁而且量大，对釜溪河及其汇口以下沱江干流洪水量级影响甚大。</w:t>
      </w:r>
    </w:p>
    <w:p>
      <w:pPr>
        <w:pStyle w:val="154"/>
        <w:pageBreakBefore w:val="0"/>
        <w:widowControl w:val="0"/>
        <w:kinsoku/>
        <w:wordWrap/>
        <w:overflowPunct/>
        <w:topLinePunct w:val="0"/>
        <w:autoSpaceDE/>
        <w:autoSpaceDN/>
        <w:bidi w:val="0"/>
        <w:adjustRightInd/>
        <w:snapToGrid/>
        <w:ind w:firstLine="586"/>
        <w:textAlignment w:val="auto"/>
        <w:rPr>
          <w:color w:val="auto"/>
          <w:sz w:val="30"/>
          <w:szCs w:val="30"/>
          <w:highlight w:val="none"/>
        </w:rPr>
      </w:pPr>
      <w:r>
        <w:rPr>
          <w:color w:val="auto"/>
          <w:spacing w:val="6"/>
          <w:kern w:val="0"/>
          <w:sz w:val="30"/>
          <w:szCs w:val="30"/>
          <w:highlight w:val="none"/>
        </w:rPr>
        <w:t>沱江流域暴雨主要发生在6</w:t>
      </w:r>
      <w:r>
        <w:rPr>
          <w:rFonts w:hint="eastAsia"/>
          <w:color w:val="auto"/>
          <w:spacing w:val="6"/>
          <w:kern w:val="0"/>
          <w:sz w:val="30"/>
          <w:szCs w:val="30"/>
          <w:highlight w:val="none"/>
          <w:lang w:eastAsia="zh-CN"/>
        </w:rPr>
        <w:t>～</w:t>
      </w:r>
      <w:r>
        <w:rPr>
          <w:color w:val="auto"/>
          <w:spacing w:val="6"/>
          <w:kern w:val="0"/>
          <w:sz w:val="30"/>
          <w:szCs w:val="30"/>
          <w:highlight w:val="none"/>
        </w:rPr>
        <w:t>9月。其中</w:t>
      </w:r>
      <w:r>
        <w:rPr>
          <w:rFonts w:hint="eastAsia"/>
          <w:color w:val="auto"/>
          <w:spacing w:val="6"/>
          <w:kern w:val="0"/>
          <w:sz w:val="30"/>
          <w:szCs w:val="30"/>
          <w:highlight w:val="none"/>
          <w:lang w:val="en-US" w:eastAsia="zh-CN"/>
        </w:rPr>
        <w:t>流域</w:t>
      </w:r>
      <w:r>
        <w:rPr>
          <w:color w:val="auto"/>
          <w:spacing w:val="6"/>
          <w:kern w:val="0"/>
          <w:sz w:val="30"/>
          <w:szCs w:val="30"/>
          <w:highlight w:val="none"/>
        </w:rPr>
        <w:t>上游山区7</w:t>
      </w:r>
      <w:r>
        <w:rPr>
          <w:rFonts w:hint="eastAsia"/>
          <w:color w:val="auto"/>
          <w:spacing w:val="6"/>
          <w:kern w:val="0"/>
          <w:sz w:val="30"/>
          <w:szCs w:val="30"/>
          <w:highlight w:val="none"/>
          <w:lang w:eastAsia="zh-CN"/>
        </w:rPr>
        <w:t>～</w:t>
      </w:r>
      <w:r>
        <w:rPr>
          <w:color w:val="auto"/>
          <w:spacing w:val="6"/>
          <w:kern w:val="0"/>
          <w:sz w:val="30"/>
          <w:szCs w:val="30"/>
          <w:highlight w:val="none"/>
        </w:rPr>
        <w:t>8月出现的频率在50%以上，9月出现的频率30%左右</w:t>
      </w:r>
      <w:r>
        <w:rPr>
          <w:rFonts w:hint="eastAsia"/>
          <w:color w:val="auto"/>
          <w:spacing w:val="6"/>
          <w:kern w:val="0"/>
          <w:sz w:val="30"/>
          <w:szCs w:val="30"/>
          <w:highlight w:val="none"/>
          <w:lang w:eastAsia="zh-CN"/>
        </w:rPr>
        <w:t>；</w:t>
      </w:r>
      <w:r>
        <w:rPr>
          <w:color w:val="auto"/>
          <w:spacing w:val="6"/>
          <w:kern w:val="0"/>
          <w:sz w:val="30"/>
          <w:szCs w:val="30"/>
          <w:highlight w:val="none"/>
        </w:rPr>
        <w:t>中下游暴雨频率与量级均较上游少，6月出现的频率最高</w:t>
      </w:r>
      <w:r>
        <w:rPr>
          <w:rFonts w:hint="eastAsia"/>
          <w:color w:val="auto"/>
          <w:spacing w:val="6"/>
          <w:kern w:val="0"/>
          <w:sz w:val="30"/>
          <w:szCs w:val="30"/>
          <w:highlight w:val="none"/>
          <w:lang w:eastAsia="zh-CN"/>
        </w:rPr>
        <w:t>，</w:t>
      </w:r>
      <w:r>
        <w:rPr>
          <w:color w:val="auto"/>
          <w:spacing w:val="6"/>
          <w:kern w:val="0"/>
          <w:sz w:val="30"/>
          <w:szCs w:val="30"/>
          <w:highlight w:val="none"/>
        </w:rPr>
        <w:t>金堂</w:t>
      </w:r>
      <w:r>
        <w:rPr>
          <w:rFonts w:hint="eastAsia"/>
          <w:color w:val="auto"/>
          <w:spacing w:val="6"/>
          <w:kern w:val="0"/>
          <w:sz w:val="30"/>
          <w:szCs w:val="30"/>
          <w:highlight w:val="none"/>
          <w:lang w:val="en-US" w:eastAsia="zh-CN"/>
        </w:rPr>
        <w:t>县</w:t>
      </w:r>
      <w:r>
        <w:rPr>
          <w:color w:val="auto"/>
          <w:spacing w:val="6"/>
          <w:kern w:val="0"/>
          <w:sz w:val="30"/>
          <w:szCs w:val="30"/>
          <w:highlight w:val="none"/>
        </w:rPr>
        <w:t>至泸州</w:t>
      </w:r>
      <w:r>
        <w:rPr>
          <w:rFonts w:hint="eastAsia"/>
          <w:color w:val="auto"/>
          <w:spacing w:val="6"/>
          <w:kern w:val="0"/>
          <w:sz w:val="30"/>
          <w:szCs w:val="30"/>
          <w:highlight w:val="none"/>
          <w:lang w:val="en-US" w:eastAsia="zh-CN"/>
        </w:rPr>
        <w:t>市</w:t>
      </w:r>
      <w:r>
        <w:rPr>
          <w:color w:val="auto"/>
          <w:spacing w:val="6"/>
          <w:kern w:val="0"/>
          <w:sz w:val="30"/>
          <w:szCs w:val="30"/>
          <w:highlight w:val="none"/>
        </w:rPr>
        <w:t>区域日雨量均在100mm内。7</w:t>
      </w:r>
      <w:r>
        <w:rPr>
          <w:rFonts w:hint="eastAsia"/>
          <w:color w:val="auto"/>
          <w:spacing w:val="6"/>
          <w:kern w:val="0"/>
          <w:sz w:val="30"/>
          <w:szCs w:val="30"/>
          <w:highlight w:val="none"/>
          <w:lang w:eastAsia="zh-CN"/>
        </w:rPr>
        <w:t>～</w:t>
      </w:r>
      <w:r>
        <w:rPr>
          <w:color w:val="auto"/>
          <w:spacing w:val="6"/>
          <w:kern w:val="0"/>
          <w:sz w:val="30"/>
          <w:szCs w:val="30"/>
          <w:highlight w:val="none"/>
        </w:rPr>
        <w:t>8月最大24小时暴雨强度在100mm以上，大暴雨和特大暴雨多出现在沱江流域上游。</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二、洪水特性及地区组成</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沱江</w:t>
      </w:r>
      <w:r>
        <w:rPr>
          <w:rFonts w:hint="eastAsia"/>
          <w:color w:val="auto"/>
          <w:sz w:val="30"/>
          <w:szCs w:val="30"/>
          <w:highlight w:val="none"/>
          <w:lang w:val="en-US" w:eastAsia="zh-CN"/>
        </w:rPr>
        <w:t>流域</w:t>
      </w:r>
      <w:r>
        <w:rPr>
          <w:color w:val="auto"/>
          <w:sz w:val="30"/>
          <w:szCs w:val="30"/>
          <w:highlight w:val="none"/>
        </w:rPr>
        <w:t>洪水由暴雨或连日大雨形成，洪水特性</w:t>
      </w:r>
      <w:r>
        <w:rPr>
          <w:rFonts w:hint="eastAsia"/>
          <w:color w:val="auto"/>
          <w:sz w:val="30"/>
          <w:szCs w:val="30"/>
          <w:highlight w:val="none"/>
          <w:lang w:val="en-US" w:eastAsia="zh-CN"/>
        </w:rPr>
        <w:t>主要</w:t>
      </w:r>
      <w:r>
        <w:rPr>
          <w:color w:val="auto"/>
          <w:sz w:val="30"/>
          <w:szCs w:val="30"/>
          <w:highlight w:val="none"/>
        </w:rPr>
        <w:t>受流域下垫面和支流洪水影响。</w:t>
      </w:r>
    </w:p>
    <w:p>
      <w:pPr>
        <w:pStyle w:val="154"/>
        <w:ind w:firstLine="578"/>
        <w:rPr>
          <w:color w:val="auto"/>
          <w:sz w:val="30"/>
          <w:szCs w:val="30"/>
          <w:highlight w:val="none"/>
        </w:rPr>
      </w:pPr>
      <w:r>
        <w:rPr>
          <w:rFonts w:hint="eastAsia"/>
          <w:color w:val="auto"/>
          <w:sz w:val="30"/>
          <w:szCs w:val="30"/>
          <w:highlight w:val="none"/>
          <w:lang w:val="en-US" w:eastAsia="zh-CN"/>
        </w:rPr>
        <w:t>沱江</w:t>
      </w:r>
      <w:r>
        <w:rPr>
          <w:color w:val="auto"/>
          <w:sz w:val="30"/>
          <w:szCs w:val="30"/>
          <w:highlight w:val="none"/>
        </w:rPr>
        <w:t>上游山区洪水具有峰高量大、陡涨陡落、</w:t>
      </w:r>
      <w:r>
        <w:rPr>
          <w:rFonts w:hint="eastAsia"/>
          <w:color w:val="auto"/>
          <w:sz w:val="30"/>
          <w:szCs w:val="30"/>
          <w:highlight w:val="none"/>
          <w:lang w:val="en-US" w:eastAsia="zh-CN"/>
        </w:rPr>
        <w:t>洪水</w:t>
      </w:r>
      <w:r>
        <w:rPr>
          <w:color w:val="auto"/>
          <w:sz w:val="30"/>
          <w:szCs w:val="30"/>
          <w:highlight w:val="none"/>
        </w:rPr>
        <w:t>过程线多</w:t>
      </w:r>
      <w:r>
        <w:rPr>
          <w:rFonts w:hint="eastAsia"/>
          <w:color w:val="auto"/>
          <w:sz w:val="30"/>
          <w:szCs w:val="30"/>
          <w:highlight w:val="none"/>
          <w:lang w:val="en-US" w:eastAsia="zh-CN"/>
        </w:rPr>
        <w:t>呈</w:t>
      </w:r>
      <w:r>
        <w:rPr>
          <w:color w:val="auto"/>
          <w:sz w:val="30"/>
          <w:szCs w:val="30"/>
          <w:highlight w:val="none"/>
        </w:rPr>
        <w:t>尖锐锯齿状</w:t>
      </w:r>
      <w:r>
        <w:rPr>
          <w:rFonts w:hint="eastAsia"/>
          <w:color w:val="auto"/>
          <w:sz w:val="30"/>
          <w:szCs w:val="30"/>
          <w:highlight w:val="none"/>
          <w:lang w:val="en-US" w:eastAsia="zh-CN"/>
        </w:rPr>
        <w:t>特征</w:t>
      </w:r>
      <w:r>
        <w:rPr>
          <w:color w:val="auto"/>
          <w:sz w:val="30"/>
          <w:szCs w:val="30"/>
          <w:highlight w:val="none"/>
        </w:rPr>
        <w:t>，一次洪水历时2</w:t>
      </w:r>
      <w:r>
        <w:rPr>
          <w:rFonts w:hint="eastAsia"/>
          <w:color w:val="auto"/>
          <w:sz w:val="30"/>
          <w:szCs w:val="30"/>
          <w:highlight w:val="none"/>
          <w:lang w:eastAsia="zh-CN"/>
        </w:rPr>
        <w:t>～</w:t>
      </w:r>
      <w:r>
        <w:rPr>
          <w:color w:val="auto"/>
          <w:sz w:val="30"/>
          <w:szCs w:val="30"/>
          <w:highlight w:val="none"/>
        </w:rPr>
        <w:t>3日。但经平原河网调蓄后，峰形逐渐坦化，</w:t>
      </w:r>
      <w:r>
        <w:rPr>
          <w:rFonts w:hint="eastAsia"/>
          <w:color w:val="auto"/>
          <w:sz w:val="30"/>
          <w:szCs w:val="30"/>
          <w:highlight w:val="none"/>
          <w:lang w:val="en-US" w:eastAsia="zh-CN"/>
        </w:rPr>
        <w:t>若未</w:t>
      </w:r>
      <w:r>
        <w:rPr>
          <w:color w:val="auto"/>
          <w:sz w:val="30"/>
          <w:szCs w:val="30"/>
          <w:highlight w:val="none"/>
        </w:rPr>
        <w:t>遇平原区暴雨，则量级可显著下降。金堂县城区洪水有</w:t>
      </w:r>
      <w:r>
        <w:rPr>
          <w:rFonts w:hint="eastAsia"/>
          <w:color w:val="auto"/>
          <w:sz w:val="30"/>
          <w:szCs w:val="30"/>
          <w:highlight w:val="none"/>
          <w:lang w:val="en-US" w:eastAsia="zh-CN"/>
        </w:rPr>
        <w:t>3</w:t>
      </w:r>
      <w:r>
        <w:rPr>
          <w:color w:val="auto"/>
          <w:sz w:val="30"/>
          <w:szCs w:val="30"/>
          <w:highlight w:val="none"/>
        </w:rPr>
        <w:t>种类型：</w:t>
      </w:r>
    </w:p>
    <w:p>
      <w:pPr>
        <w:pStyle w:val="154"/>
        <w:keepNext w:val="0"/>
        <w:keepLines w:val="0"/>
        <w:pageBreakBefore w:val="0"/>
        <w:widowControl w:val="0"/>
        <w:numPr>
          <w:ilvl w:val="0"/>
          <w:numId w:val="6"/>
        </w:numPr>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平原型洪水</w:t>
      </w:r>
      <w:r>
        <w:rPr>
          <w:rFonts w:hint="eastAsia"/>
          <w:color w:val="auto"/>
          <w:sz w:val="30"/>
          <w:szCs w:val="30"/>
          <w:highlight w:val="none"/>
          <w:lang w:eastAsia="zh-CN"/>
        </w:rPr>
        <w:t>。</w:t>
      </w:r>
      <w:r>
        <w:rPr>
          <w:color w:val="auto"/>
          <w:sz w:val="30"/>
          <w:szCs w:val="30"/>
          <w:highlight w:val="none"/>
        </w:rPr>
        <w:t>代表的典型洪水</w:t>
      </w:r>
      <w:r>
        <w:rPr>
          <w:rFonts w:hint="eastAsia"/>
          <w:color w:val="auto"/>
          <w:sz w:val="30"/>
          <w:szCs w:val="30"/>
          <w:highlight w:val="none"/>
          <w:lang w:val="en-US" w:eastAsia="zh-CN"/>
        </w:rPr>
        <w:t>年份</w:t>
      </w:r>
      <w:r>
        <w:rPr>
          <w:color w:val="auto"/>
          <w:sz w:val="30"/>
          <w:szCs w:val="30"/>
          <w:highlight w:val="none"/>
        </w:rPr>
        <w:t>有1959年、1960年、2018年，平原区洪量占65%以上，各支流上游山区洪量较小</w:t>
      </w:r>
      <w:bookmarkStart w:id="43" w:name="_Hlk120978863"/>
      <w:r>
        <w:rPr>
          <w:rFonts w:hint="eastAsia"/>
          <w:color w:val="auto"/>
          <w:sz w:val="30"/>
          <w:szCs w:val="30"/>
          <w:highlight w:val="none"/>
          <w:lang w:eastAsia="zh-CN"/>
        </w:rPr>
        <w:t>，</w:t>
      </w:r>
      <w:r>
        <w:rPr>
          <w:color w:val="auto"/>
          <w:sz w:val="30"/>
          <w:szCs w:val="30"/>
          <w:highlight w:val="none"/>
        </w:rPr>
        <w:t>三皇庙</w:t>
      </w:r>
      <w:bookmarkEnd w:id="43"/>
      <w:r>
        <w:rPr>
          <w:rFonts w:hint="eastAsia"/>
          <w:color w:val="auto"/>
          <w:sz w:val="30"/>
          <w:szCs w:val="30"/>
          <w:highlight w:val="none"/>
          <w:lang w:val="en-US" w:eastAsia="zh-CN"/>
        </w:rPr>
        <w:t>断面</w:t>
      </w:r>
      <w:r>
        <w:rPr>
          <w:color w:val="auto"/>
          <w:sz w:val="30"/>
          <w:szCs w:val="30"/>
          <w:highlight w:val="none"/>
        </w:rPr>
        <w:t>洪水量级在10～30年</w:t>
      </w:r>
      <w:r>
        <w:rPr>
          <w:rFonts w:hint="eastAsia"/>
          <w:color w:val="auto"/>
          <w:sz w:val="30"/>
          <w:szCs w:val="30"/>
          <w:highlight w:val="none"/>
          <w:lang w:val="en-US" w:eastAsia="zh-CN"/>
        </w:rPr>
        <w:t>一遇</w:t>
      </w:r>
      <w:r>
        <w:rPr>
          <w:color w:val="auto"/>
          <w:sz w:val="30"/>
          <w:szCs w:val="30"/>
          <w:highlight w:val="none"/>
        </w:rPr>
        <w:t>，属于中洪水、大洪水，在金堂县造成洪水灾害。</w:t>
      </w:r>
    </w:p>
    <w:p>
      <w:pPr>
        <w:pStyle w:val="154"/>
        <w:keepNext w:val="0"/>
        <w:keepLines w:val="0"/>
        <w:pageBreakBefore w:val="0"/>
        <w:widowControl w:val="0"/>
        <w:numPr>
          <w:ilvl w:val="0"/>
          <w:numId w:val="0"/>
        </w:numPr>
        <w:kinsoku/>
        <w:wordWrap/>
        <w:overflowPunct/>
        <w:topLinePunct w:val="0"/>
        <w:autoSpaceDE/>
        <w:autoSpaceDN/>
        <w:bidi w:val="0"/>
        <w:adjustRightInd/>
        <w:snapToGrid/>
        <w:ind w:firstLine="580" w:firstLineChars="200"/>
        <w:textAlignment w:val="auto"/>
        <w:rPr>
          <w:color w:val="auto"/>
          <w:sz w:val="30"/>
          <w:szCs w:val="30"/>
          <w:highlight w:val="none"/>
        </w:rPr>
      </w:pPr>
      <w:r>
        <w:rPr>
          <w:rFonts w:eastAsia="宋体"/>
          <w:color w:val="auto"/>
          <w:sz w:val="30"/>
          <w:szCs w:val="30"/>
          <w:highlight w:val="none"/>
        </w:rPr>
        <w:t>2.</w:t>
      </w:r>
      <w:r>
        <w:rPr>
          <w:color w:val="auto"/>
          <w:sz w:val="30"/>
          <w:szCs w:val="30"/>
          <w:highlight w:val="none"/>
        </w:rPr>
        <w:t>平原+山区</w:t>
      </w:r>
      <w:r>
        <w:rPr>
          <w:rFonts w:hint="eastAsia"/>
          <w:color w:val="auto"/>
          <w:sz w:val="30"/>
          <w:szCs w:val="30"/>
          <w:highlight w:val="none"/>
          <w:lang w:val="en-US" w:eastAsia="zh-CN"/>
        </w:rPr>
        <w:t>型</w:t>
      </w:r>
      <w:r>
        <w:rPr>
          <w:color w:val="auto"/>
          <w:sz w:val="30"/>
          <w:szCs w:val="30"/>
          <w:highlight w:val="none"/>
        </w:rPr>
        <w:t>洪水</w:t>
      </w:r>
      <w:r>
        <w:rPr>
          <w:rFonts w:hint="eastAsia"/>
          <w:color w:val="auto"/>
          <w:sz w:val="30"/>
          <w:szCs w:val="30"/>
          <w:highlight w:val="none"/>
          <w:lang w:eastAsia="zh-CN"/>
        </w:rPr>
        <w:t>，</w:t>
      </w:r>
      <w:r>
        <w:rPr>
          <w:color w:val="auto"/>
          <w:sz w:val="30"/>
          <w:szCs w:val="30"/>
          <w:highlight w:val="none"/>
        </w:rPr>
        <w:t>以平原区洪水为主。代表的典型洪水</w:t>
      </w:r>
      <w:r>
        <w:rPr>
          <w:rFonts w:hint="eastAsia"/>
          <w:color w:val="auto"/>
          <w:sz w:val="30"/>
          <w:szCs w:val="30"/>
          <w:highlight w:val="none"/>
          <w:lang w:val="en-US" w:eastAsia="zh-CN"/>
        </w:rPr>
        <w:t>年份</w:t>
      </w:r>
      <w:r>
        <w:rPr>
          <w:color w:val="auto"/>
          <w:sz w:val="30"/>
          <w:szCs w:val="30"/>
          <w:highlight w:val="none"/>
        </w:rPr>
        <w:t>有1981年、1987年、2020年，平原区洪量占55%～70%，平原</w:t>
      </w:r>
      <w:r>
        <w:rPr>
          <w:rFonts w:hint="eastAsia"/>
          <w:color w:val="auto"/>
          <w:sz w:val="30"/>
          <w:szCs w:val="30"/>
          <w:highlight w:val="none"/>
          <w:lang w:val="en-US" w:eastAsia="zh-CN"/>
        </w:rPr>
        <w:t>区</w:t>
      </w:r>
      <w:r>
        <w:rPr>
          <w:color w:val="auto"/>
          <w:sz w:val="30"/>
          <w:szCs w:val="30"/>
          <w:highlight w:val="none"/>
        </w:rPr>
        <w:t>洪水与山区洪水叠加，三皇庙</w:t>
      </w:r>
      <w:bookmarkStart w:id="44" w:name="_Hlk120978842"/>
      <w:r>
        <w:rPr>
          <w:rFonts w:hint="eastAsia"/>
          <w:color w:val="auto"/>
          <w:sz w:val="30"/>
          <w:szCs w:val="30"/>
          <w:highlight w:val="none"/>
          <w:lang w:val="en-US" w:eastAsia="zh-CN"/>
        </w:rPr>
        <w:t>断面</w:t>
      </w:r>
      <w:r>
        <w:rPr>
          <w:color w:val="auto"/>
          <w:sz w:val="30"/>
          <w:szCs w:val="30"/>
          <w:highlight w:val="none"/>
        </w:rPr>
        <w:t>洪水量级</w:t>
      </w:r>
      <w:bookmarkEnd w:id="44"/>
      <w:r>
        <w:rPr>
          <w:color w:val="auto"/>
          <w:sz w:val="30"/>
          <w:szCs w:val="30"/>
          <w:highlight w:val="none"/>
        </w:rPr>
        <w:t>在20～50年</w:t>
      </w:r>
      <w:r>
        <w:rPr>
          <w:rFonts w:hint="eastAsia"/>
          <w:color w:val="auto"/>
          <w:sz w:val="30"/>
          <w:szCs w:val="30"/>
          <w:highlight w:val="none"/>
          <w:lang w:val="en-US" w:eastAsia="zh-CN"/>
        </w:rPr>
        <w:t>一遇</w:t>
      </w:r>
      <w:r>
        <w:rPr>
          <w:color w:val="auto"/>
          <w:sz w:val="30"/>
          <w:szCs w:val="30"/>
          <w:highlight w:val="none"/>
        </w:rPr>
        <w:t>，属于中洪水、大洪水，在金堂县造成严重洪灾，实测最大的2场洪水（1981年和2020年）均属此类型。</w:t>
      </w:r>
    </w:p>
    <w:p>
      <w:pPr>
        <w:pStyle w:val="154"/>
        <w:keepNext w:val="0"/>
        <w:keepLines w:val="0"/>
        <w:pageBreakBefore w:val="0"/>
        <w:widowControl w:val="0"/>
        <w:numPr>
          <w:ilvl w:val="0"/>
          <w:numId w:val="0"/>
        </w:numPr>
        <w:kinsoku/>
        <w:wordWrap/>
        <w:overflowPunct/>
        <w:topLinePunct w:val="0"/>
        <w:autoSpaceDE/>
        <w:autoSpaceDN/>
        <w:bidi w:val="0"/>
        <w:adjustRightInd/>
        <w:snapToGrid/>
        <w:ind w:firstLine="580" w:firstLineChars="200"/>
        <w:textAlignment w:val="auto"/>
        <w:rPr>
          <w:color w:val="auto"/>
          <w:sz w:val="30"/>
          <w:szCs w:val="30"/>
          <w:highlight w:val="none"/>
        </w:rPr>
      </w:pPr>
      <w:r>
        <w:rPr>
          <w:rFonts w:eastAsia="宋体"/>
          <w:color w:val="auto"/>
          <w:sz w:val="30"/>
          <w:szCs w:val="30"/>
          <w:highlight w:val="none"/>
        </w:rPr>
        <w:t>3.</w:t>
      </w:r>
      <w:r>
        <w:rPr>
          <w:color w:val="auto"/>
          <w:sz w:val="30"/>
          <w:szCs w:val="30"/>
          <w:highlight w:val="none"/>
        </w:rPr>
        <w:t>山区+平原</w:t>
      </w:r>
      <w:r>
        <w:rPr>
          <w:rFonts w:hint="eastAsia"/>
          <w:color w:val="auto"/>
          <w:sz w:val="30"/>
          <w:szCs w:val="30"/>
          <w:highlight w:val="none"/>
          <w:lang w:val="en-US" w:eastAsia="zh-CN"/>
        </w:rPr>
        <w:t>型</w:t>
      </w:r>
      <w:r>
        <w:rPr>
          <w:color w:val="auto"/>
          <w:sz w:val="30"/>
          <w:szCs w:val="30"/>
          <w:highlight w:val="none"/>
        </w:rPr>
        <w:t>洪水</w:t>
      </w:r>
      <w:r>
        <w:rPr>
          <w:rFonts w:hint="eastAsia"/>
          <w:color w:val="auto"/>
          <w:sz w:val="30"/>
          <w:szCs w:val="30"/>
          <w:highlight w:val="none"/>
          <w:lang w:eastAsia="zh-CN"/>
        </w:rPr>
        <w:t>，</w:t>
      </w:r>
      <w:r>
        <w:rPr>
          <w:color w:val="auto"/>
          <w:sz w:val="30"/>
          <w:szCs w:val="30"/>
          <w:highlight w:val="none"/>
        </w:rPr>
        <w:t>以山区洪水为主。代表的典型洪水</w:t>
      </w:r>
      <w:r>
        <w:rPr>
          <w:rFonts w:hint="eastAsia"/>
          <w:color w:val="auto"/>
          <w:sz w:val="30"/>
          <w:szCs w:val="30"/>
          <w:highlight w:val="none"/>
          <w:lang w:val="en-US" w:eastAsia="zh-CN"/>
        </w:rPr>
        <w:t>年份</w:t>
      </w:r>
      <w:r>
        <w:rPr>
          <w:color w:val="auto"/>
          <w:sz w:val="30"/>
          <w:szCs w:val="30"/>
          <w:highlight w:val="none"/>
        </w:rPr>
        <w:t>有1995年、2001年，山区洪峰较大，</w:t>
      </w:r>
      <w:r>
        <w:rPr>
          <w:rFonts w:hint="eastAsia"/>
          <w:color w:val="auto"/>
          <w:sz w:val="30"/>
          <w:szCs w:val="30"/>
          <w:highlight w:val="none"/>
          <w:lang w:val="en-US" w:eastAsia="zh-CN"/>
        </w:rPr>
        <w:t>洪量占50%以上，</w:t>
      </w:r>
      <w:r>
        <w:rPr>
          <w:color w:val="auto"/>
          <w:sz w:val="30"/>
          <w:szCs w:val="30"/>
          <w:highlight w:val="none"/>
        </w:rPr>
        <w:t>经过平原区河网调蓄坦化，峰值减小，洪水量级下降，三皇庙</w:t>
      </w:r>
      <w:r>
        <w:rPr>
          <w:rFonts w:hint="eastAsia"/>
          <w:color w:val="auto"/>
          <w:sz w:val="30"/>
          <w:szCs w:val="30"/>
          <w:highlight w:val="none"/>
          <w:lang w:val="en-US" w:eastAsia="zh-CN"/>
        </w:rPr>
        <w:t>断面</w:t>
      </w:r>
      <w:r>
        <w:rPr>
          <w:color w:val="auto"/>
          <w:sz w:val="30"/>
          <w:szCs w:val="30"/>
          <w:highlight w:val="none"/>
        </w:rPr>
        <w:t>洪水量级为20年</w:t>
      </w:r>
      <w:r>
        <w:rPr>
          <w:rFonts w:hint="eastAsia"/>
          <w:color w:val="auto"/>
          <w:sz w:val="30"/>
          <w:szCs w:val="30"/>
          <w:highlight w:val="none"/>
          <w:lang w:val="en-US" w:eastAsia="zh-CN"/>
        </w:rPr>
        <w:t>一遇</w:t>
      </w:r>
      <w:r>
        <w:rPr>
          <w:color w:val="auto"/>
          <w:sz w:val="30"/>
          <w:szCs w:val="30"/>
          <w:highlight w:val="none"/>
        </w:rPr>
        <w:t>左右，演进至</w:t>
      </w:r>
      <w:bookmarkStart w:id="45" w:name="_Hlk120979618"/>
      <w:r>
        <w:rPr>
          <w:color w:val="auto"/>
          <w:sz w:val="30"/>
          <w:szCs w:val="30"/>
          <w:highlight w:val="none"/>
        </w:rPr>
        <w:t>金堂</w:t>
      </w:r>
      <w:r>
        <w:rPr>
          <w:rFonts w:hint="eastAsia"/>
          <w:color w:val="auto"/>
          <w:sz w:val="30"/>
          <w:szCs w:val="30"/>
          <w:highlight w:val="none"/>
          <w:lang w:val="en-US" w:eastAsia="zh-CN"/>
        </w:rPr>
        <w:t>县</w:t>
      </w:r>
      <w:r>
        <w:rPr>
          <w:color w:val="auto"/>
          <w:sz w:val="30"/>
          <w:szCs w:val="30"/>
          <w:highlight w:val="none"/>
        </w:rPr>
        <w:t>城区</w:t>
      </w:r>
      <w:bookmarkEnd w:id="45"/>
      <w:r>
        <w:rPr>
          <w:color w:val="auto"/>
          <w:sz w:val="30"/>
          <w:szCs w:val="30"/>
          <w:highlight w:val="none"/>
        </w:rPr>
        <w:t>为中洪水。</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青白江、毗河两支流连通沱江与岷江水系，</w:t>
      </w:r>
      <w:r>
        <w:rPr>
          <w:rFonts w:hint="eastAsia"/>
          <w:color w:val="auto"/>
          <w:sz w:val="30"/>
          <w:szCs w:val="30"/>
          <w:highlight w:val="none"/>
          <w:lang w:val="en-US" w:eastAsia="zh-CN"/>
        </w:rPr>
        <w:t>属</w:t>
      </w:r>
      <w:r>
        <w:rPr>
          <w:color w:val="auto"/>
          <w:sz w:val="30"/>
          <w:szCs w:val="30"/>
          <w:highlight w:val="none"/>
        </w:rPr>
        <w:t>成都平原河道，其洪水主要由自身流域范围内的平原区暴雨形成，岷江分入水量较小。青白江上游蒲阳河最大进水流量240m</w:t>
      </w:r>
      <w:r>
        <w:rPr>
          <w:color w:val="auto"/>
          <w:sz w:val="30"/>
          <w:szCs w:val="30"/>
          <w:highlight w:val="none"/>
          <w:vertAlign w:val="superscript"/>
        </w:rPr>
        <w:t>3</w:t>
      </w:r>
      <w:r>
        <w:rPr>
          <w:color w:val="auto"/>
          <w:sz w:val="30"/>
          <w:szCs w:val="30"/>
          <w:highlight w:val="none"/>
        </w:rPr>
        <w:t>/s，约占青白江2020年</w:t>
      </w:r>
      <w:r>
        <w:rPr>
          <w:rFonts w:hint="eastAsia"/>
          <w:color w:val="auto"/>
          <w:sz w:val="30"/>
          <w:szCs w:val="30"/>
          <w:highlight w:val="none"/>
          <w:lang w:eastAsia="zh-CN"/>
        </w:rPr>
        <w:t>“</w:t>
      </w:r>
      <w:r>
        <w:rPr>
          <w:color w:val="auto"/>
          <w:sz w:val="30"/>
          <w:szCs w:val="30"/>
          <w:highlight w:val="none"/>
        </w:rPr>
        <w:t>8</w:t>
      </w:r>
      <w:r>
        <w:rPr>
          <w:rFonts w:hint="eastAsia"/>
          <w:color w:val="auto"/>
          <w:sz w:val="30"/>
          <w:szCs w:val="30"/>
          <w:highlight w:val="none"/>
          <w:lang w:val="en-US" w:eastAsia="zh-CN"/>
        </w:rPr>
        <w:t>·</w:t>
      </w:r>
      <w:r>
        <w:rPr>
          <w:color w:val="auto"/>
          <w:sz w:val="30"/>
          <w:szCs w:val="30"/>
          <w:highlight w:val="none"/>
        </w:rPr>
        <w:t>11</w:t>
      </w:r>
      <w:r>
        <w:rPr>
          <w:rFonts w:hint="eastAsia"/>
          <w:color w:val="auto"/>
          <w:sz w:val="30"/>
          <w:szCs w:val="30"/>
          <w:highlight w:val="none"/>
          <w:lang w:eastAsia="zh-CN"/>
        </w:rPr>
        <w:t>”</w:t>
      </w:r>
      <w:r>
        <w:rPr>
          <w:color w:val="auto"/>
          <w:sz w:val="30"/>
          <w:szCs w:val="30"/>
          <w:highlight w:val="none"/>
        </w:rPr>
        <w:t>洪峰流量2140m</w:t>
      </w:r>
      <w:r>
        <w:rPr>
          <w:color w:val="auto"/>
          <w:sz w:val="30"/>
          <w:szCs w:val="30"/>
          <w:highlight w:val="none"/>
          <w:vertAlign w:val="superscript"/>
        </w:rPr>
        <w:t>3</w:t>
      </w:r>
      <w:r>
        <w:rPr>
          <w:color w:val="auto"/>
          <w:sz w:val="30"/>
          <w:szCs w:val="30"/>
          <w:highlight w:val="none"/>
        </w:rPr>
        <w:t>/s的11%。毗河上游为柏条河、徐堰河，在锦江（岷江内江水系）通过石堤堰闸向毗河分水，控制进入成都城区流量。如2020年</w:t>
      </w:r>
      <w:r>
        <w:rPr>
          <w:rFonts w:hint="eastAsia"/>
          <w:color w:val="auto"/>
          <w:sz w:val="30"/>
          <w:szCs w:val="30"/>
          <w:highlight w:val="none"/>
          <w:lang w:eastAsia="zh-CN"/>
        </w:rPr>
        <w:t>“</w:t>
      </w:r>
      <w:r>
        <w:rPr>
          <w:color w:val="auto"/>
          <w:sz w:val="30"/>
          <w:szCs w:val="30"/>
          <w:highlight w:val="none"/>
        </w:rPr>
        <w:t>8</w:t>
      </w:r>
      <w:r>
        <w:rPr>
          <w:rFonts w:hint="eastAsia"/>
          <w:color w:val="auto"/>
          <w:sz w:val="30"/>
          <w:szCs w:val="30"/>
          <w:highlight w:val="none"/>
          <w:lang w:val="en-US" w:eastAsia="zh-CN"/>
        </w:rPr>
        <w:t>·</w:t>
      </w:r>
      <w:r>
        <w:rPr>
          <w:color w:val="auto"/>
          <w:sz w:val="30"/>
          <w:szCs w:val="30"/>
          <w:highlight w:val="none"/>
        </w:rPr>
        <w:t>17</w:t>
      </w:r>
      <w:r>
        <w:rPr>
          <w:rFonts w:hint="eastAsia"/>
          <w:color w:val="auto"/>
          <w:sz w:val="30"/>
          <w:szCs w:val="30"/>
          <w:highlight w:val="none"/>
          <w:lang w:eastAsia="zh-CN"/>
        </w:rPr>
        <w:t>”</w:t>
      </w:r>
      <w:r>
        <w:rPr>
          <w:color w:val="auto"/>
          <w:sz w:val="30"/>
          <w:szCs w:val="30"/>
          <w:highlight w:val="none"/>
        </w:rPr>
        <w:t>毗河洪峰流量1950m</w:t>
      </w:r>
      <w:r>
        <w:rPr>
          <w:color w:val="auto"/>
          <w:sz w:val="30"/>
          <w:szCs w:val="30"/>
          <w:highlight w:val="none"/>
          <w:vertAlign w:val="superscript"/>
        </w:rPr>
        <w:t>3</w:t>
      </w:r>
      <w:r>
        <w:rPr>
          <w:color w:val="auto"/>
          <w:sz w:val="30"/>
          <w:szCs w:val="30"/>
          <w:highlight w:val="none"/>
        </w:rPr>
        <w:t>/s时，石堤堰过闸流量约400m</w:t>
      </w:r>
      <w:r>
        <w:rPr>
          <w:color w:val="auto"/>
          <w:sz w:val="30"/>
          <w:szCs w:val="30"/>
          <w:highlight w:val="none"/>
          <w:vertAlign w:val="superscript"/>
        </w:rPr>
        <w:t>3</w:t>
      </w:r>
      <w:r>
        <w:rPr>
          <w:color w:val="auto"/>
          <w:sz w:val="30"/>
          <w:szCs w:val="30"/>
          <w:highlight w:val="none"/>
        </w:rPr>
        <w:t>/s，占毗河流量的20%。</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沱江干流</w:t>
      </w:r>
      <w:r>
        <w:rPr>
          <w:rFonts w:hint="eastAsia"/>
          <w:color w:val="auto"/>
          <w:sz w:val="30"/>
          <w:szCs w:val="30"/>
          <w:highlight w:val="none"/>
          <w:lang w:val="en-US" w:eastAsia="zh-CN"/>
        </w:rPr>
        <w:t>中下游</w:t>
      </w:r>
      <w:r>
        <w:rPr>
          <w:color w:val="auto"/>
          <w:sz w:val="30"/>
          <w:szCs w:val="30"/>
          <w:highlight w:val="none"/>
        </w:rPr>
        <w:t>洪水过程线峰形相对肥胖，多复峰，一次洪水历时15</w:t>
      </w:r>
      <w:r>
        <w:rPr>
          <w:rFonts w:hint="eastAsia"/>
          <w:color w:val="auto"/>
          <w:sz w:val="30"/>
          <w:szCs w:val="30"/>
          <w:highlight w:val="none"/>
          <w:lang w:val="en-US" w:eastAsia="zh-CN"/>
        </w:rPr>
        <w:t>～20</w:t>
      </w:r>
      <w:r>
        <w:rPr>
          <w:color w:val="auto"/>
          <w:sz w:val="30"/>
          <w:szCs w:val="30"/>
          <w:highlight w:val="none"/>
        </w:rPr>
        <w:t>日；支流洪水过程陡涨陡落，多单峰，一次洪水历时3</w:t>
      </w:r>
      <w:r>
        <w:rPr>
          <w:rFonts w:hint="eastAsia"/>
          <w:color w:val="auto"/>
          <w:sz w:val="30"/>
          <w:szCs w:val="30"/>
          <w:highlight w:val="none"/>
          <w:lang w:eastAsia="zh-CN"/>
        </w:rPr>
        <w:t>～</w:t>
      </w:r>
      <w:r>
        <w:rPr>
          <w:color w:val="auto"/>
          <w:sz w:val="30"/>
          <w:szCs w:val="30"/>
          <w:highlight w:val="none"/>
        </w:rPr>
        <w:t>5日，峰顶历时约0.5小时。中下游洪水有</w:t>
      </w:r>
      <w:r>
        <w:rPr>
          <w:rFonts w:hint="eastAsia"/>
          <w:color w:val="auto"/>
          <w:sz w:val="30"/>
          <w:szCs w:val="30"/>
          <w:highlight w:val="none"/>
          <w:lang w:val="en-US" w:eastAsia="zh-CN"/>
        </w:rPr>
        <w:t>2</w:t>
      </w:r>
      <w:r>
        <w:rPr>
          <w:color w:val="auto"/>
          <w:sz w:val="30"/>
          <w:szCs w:val="30"/>
          <w:highlight w:val="none"/>
        </w:rPr>
        <w:t>种类型：</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eastAsia="宋体"/>
          <w:color w:val="auto"/>
          <w:sz w:val="30"/>
          <w:szCs w:val="30"/>
          <w:highlight w:val="none"/>
        </w:rPr>
        <w:t>1.</w:t>
      </w:r>
      <w:r>
        <w:rPr>
          <w:color w:val="auto"/>
          <w:sz w:val="30"/>
          <w:szCs w:val="30"/>
          <w:highlight w:val="none"/>
        </w:rPr>
        <w:t>大暴雨造成的区间洪水与支流洪水及上游特大洪水遭遇，可形成干流特大洪水，</w:t>
      </w:r>
      <w:r>
        <w:rPr>
          <w:rFonts w:hint="eastAsia"/>
          <w:color w:val="auto"/>
          <w:sz w:val="30"/>
          <w:szCs w:val="30"/>
          <w:highlight w:val="none"/>
          <w:lang w:val="en-US" w:eastAsia="zh-CN"/>
        </w:rPr>
        <w:t>代表的典型洪水年份有</w:t>
      </w:r>
      <w:r>
        <w:rPr>
          <w:color w:val="auto"/>
          <w:sz w:val="30"/>
          <w:szCs w:val="30"/>
          <w:highlight w:val="none"/>
        </w:rPr>
        <w:t>1840年、1959年、1981年。</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eastAsia="宋体"/>
          <w:color w:val="auto"/>
          <w:sz w:val="30"/>
          <w:szCs w:val="30"/>
          <w:highlight w:val="none"/>
        </w:rPr>
        <w:t>2.</w:t>
      </w:r>
      <w:r>
        <w:rPr>
          <w:color w:val="auto"/>
          <w:sz w:val="30"/>
          <w:szCs w:val="30"/>
          <w:highlight w:val="none"/>
        </w:rPr>
        <w:t>暴雨形成的区间洪水与上游洪水遭遇，可形成</w:t>
      </w:r>
      <w:r>
        <w:rPr>
          <w:rFonts w:hint="eastAsia"/>
          <w:color w:val="auto"/>
          <w:sz w:val="30"/>
          <w:szCs w:val="30"/>
          <w:highlight w:val="none"/>
          <w:lang w:val="en-US" w:eastAsia="zh-CN"/>
        </w:rPr>
        <w:t>干流</w:t>
      </w:r>
      <w:r>
        <w:rPr>
          <w:color w:val="auto"/>
          <w:sz w:val="30"/>
          <w:szCs w:val="30"/>
          <w:highlight w:val="none"/>
        </w:rPr>
        <w:t>大洪水，</w:t>
      </w:r>
      <w:r>
        <w:rPr>
          <w:rFonts w:hint="eastAsia"/>
          <w:color w:val="auto"/>
          <w:sz w:val="30"/>
          <w:szCs w:val="30"/>
          <w:highlight w:val="none"/>
          <w:lang w:val="en-US" w:eastAsia="zh-CN"/>
        </w:rPr>
        <w:t>代表的典型洪水年份有</w:t>
      </w:r>
      <w:r>
        <w:rPr>
          <w:color w:val="auto"/>
          <w:sz w:val="30"/>
          <w:szCs w:val="30"/>
          <w:highlight w:val="none"/>
        </w:rPr>
        <w:t>1931年、1948年、1974年。</w:t>
      </w:r>
    </w:p>
    <w:p>
      <w:pPr>
        <w:pStyle w:val="154"/>
        <w:keepNext w:val="0"/>
        <w:keepLines w:val="0"/>
        <w:pageBreakBefore w:val="0"/>
        <w:widowControl w:val="0"/>
        <w:kinsoku/>
        <w:wordWrap/>
        <w:overflowPunct/>
        <w:topLinePunct w:val="0"/>
        <w:autoSpaceDE/>
        <w:autoSpaceDN/>
        <w:bidi w:val="0"/>
        <w:adjustRightInd/>
        <w:snapToGrid/>
        <w:ind w:firstLine="578"/>
        <w:textAlignment w:val="auto"/>
        <w:rPr>
          <w:rStyle w:val="550"/>
          <w:rFonts w:eastAsia="宋体"/>
          <w:color w:val="auto"/>
        </w:rPr>
      </w:pPr>
      <w:r>
        <w:rPr>
          <w:color w:val="auto"/>
          <w:sz w:val="30"/>
          <w:szCs w:val="30"/>
          <w:highlight w:val="none"/>
        </w:rPr>
        <w:t>根据三皇庙</w:t>
      </w:r>
      <w:r>
        <w:rPr>
          <w:rFonts w:hint="eastAsia"/>
          <w:color w:val="auto"/>
          <w:sz w:val="30"/>
          <w:szCs w:val="30"/>
          <w:highlight w:val="none"/>
          <w:lang w:val="en-US" w:eastAsia="zh-CN"/>
        </w:rPr>
        <w:t>水文</w:t>
      </w:r>
      <w:r>
        <w:rPr>
          <w:color w:val="auto"/>
          <w:sz w:val="30"/>
          <w:szCs w:val="30"/>
          <w:highlight w:val="none"/>
        </w:rPr>
        <w:t>站实测资料，</w:t>
      </w:r>
      <w:r>
        <w:rPr>
          <w:rFonts w:hint="eastAsia"/>
          <w:color w:val="auto"/>
          <w:sz w:val="30"/>
          <w:szCs w:val="30"/>
          <w:highlight w:val="none"/>
          <w:lang w:val="en-US" w:eastAsia="zh-CN"/>
        </w:rPr>
        <w:t>通过分析</w:t>
      </w:r>
      <w:r>
        <w:rPr>
          <w:color w:val="auto"/>
          <w:spacing w:val="20"/>
          <w:sz w:val="30"/>
          <w:szCs w:val="30"/>
          <w:highlight w:val="none"/>
        </w:rPr>
        <w:t>2013</w:t>
      </w:r>
      <w:r>
        <w:rPr>
          <w:rFonts w:hint="eastAsia"/>
          <w:color w:val="auto"/>
          <w:spacing w:val="11"/>
          <w:sz w:val="30"/>
          <w:szCs w:val="30"/>
          <w:highlight w:val="none"/>
          <w:lang w:val="en-US" w:eastAsia="zh-CN"/>
        </w:rPr>
        <w:t>年“7·9”</w:t>
      </w:r>
      <w:r>
        <w:rPr>
          <w:color w:val="auto"/>
          <w:spacing w:val="11"/>
          <w:sz w:val="30"/>
          <w:szCs w:val="30"/>
          <w:highlight w:val="none"/>
        </w:rPr>
        <w:t>、2018</w:t>
      </w:r>
      <w:r>
        <w:rPr>
          <w:rFonts w:hint="eastAsia"/>
          <w:color w:val="auto"/>
          <w:spacing w:val="11"/>
          <w:sz w:val="30"/>
          <w:szCs w:val="30"/>
          <w:highlight w:val="none"/>
          <w:lang w:val="en-US" w:eastAsia="zh-CN"/>
        </w:rPr>
        <w:t>年</w:t>
      </w:r>
      <w:r>
        <w:rPr>
          <w:rFonts w:hint="eastAsia"/>
          <w:color w:val="auto"/>
          <w:spacing w:val="11"/>
          <w:sz w:val="30"/>
          <w:szCs w:val="30"/>
          <w:highlight w:val="none"/>
          <w:lang w:eastAsia="zh-CN"/>
        </w:rPr>
        <w:t>“</w:t>
      </w:r>
      <w:r>
        <w:rPr>
          <w:rFonts w:hint="eastAsia"/>
          <w:color w:val="auto"/>
          <w:spacing w:val="11"/>
          <w:sz w:val="30"/>
          <w:szCs w:val="30"/>
          <w:highlight w:val="none"/>
          <w:lang w:val="en-US" w:eastAsia="zh-CN"/>
        </w:rPr>
        <w:t>7·11</w:t>
      </w:r>
      <w:r>
        <w:rPr>
          <w:rFonts w:hint="eastAsia"/>
          <w:color w:val="auto"/>
          <w:spacing w:val="11"/>
          <w:sz w:val="30"/>
          <w:szCs w:val="30"/>
          <w:highlight w:val="none"/>
          <w:lang w:eastAsia="zh-CN"/>
        </w:rPr>
        <w:t>”</w:t>
      </w:r>
      <w:r>
        <w:rPr>
          <w:rFonts w:hint="eastAsia"/>
          <w:color w:val="auto"/>
          <w:sz w:val="30"/>
          <w:szCs w:val="30"/>
          <w:highlight w:val="none"/>
          <w:lang w:val="en-US" w:eastAsia="zh-CN"/>
        </w:rPr>
        <w:t>、2020年“8·12”和“8·17”</w:t>
      </w:r>
      <w:r>
        <w:rPr>
          <w:color w:val="auto"/>
          <w:sz w:val="30"/>
          <w:szCs w:val="30"/>
          <w:highlight w:val="none"/>
        </w:rPr>
        <w:t>4场典型暴雨，暴雨中心时段最大降雨量出现了明显增大的趋势，与2013年</w:t>
      </w:r>
      <w:r>
        <w:rPr>
          <w:rFonts w:hint="eastAsia"/>
          <w:color w:val="auto"/>
          <w:sz w:val="30"/>
          <w:szCs w:val="30"/>
          <w:highlight w:val="none"/>
          <w:lang w:eastAsia="zh-CN"/>
        </w:rPr>
        <w:t>“</w:t>
      </w:r>
      <w:r>
        <w:rPr>
          <w:color w:val="auto"/>
          <w:sz w:val="30"/>
          <w:szCs w:val="30"/>
          <w:highlight w:val="none"/>
        </w:rPr>
        <w:t>7</w:t>
      </w:r>
      <w:r>
        <w:rPr>
          <w:rFonts w:hint="eastAsia"/>
          <w:color w:val="auto"/>
          <w:sz w:val="30"/>
          <w:szCs w:val="30"/>
          <w:highlight w:val="none"/>
          <w:lang w:val="en-US" w:eastAsia="zh-CN"/>
        </w:rPr>
        <w:t>·</w:t>
      </w:r>
      <w:r>
        <w:rPr>
          <w:color w:val="auto"/>
          <w:sz w:val="30"/>
          <w:szCs w:val="30"/>
          <w:highlight w:val="none"/>
        </w:rPr>
        <w:t>9</w:t>
      </w:r>
      <w:r>
        <w:rPr>
          <w:rFonts w:hint="eastAsia"/>
          <w:color w:val="auto"/>
          <w:sz w:val="30"/>
          <w:szCs w:val="30"/>
          <w:highlight w:val="none"/>
          <w:lang w:eastAsia="zh-CN"/>
        </w:rPr>
        <w:t>”</w:t>
      </w:r>
      <w:r>
        <w:rPr>
          <w:color w:val="auto"/>
          <w:sz w:val="30"/>
          <w:szCs w:val="30"/>
          <w:highlight w:val="none"/>
        </w:rPr>
        <w:t>暴雨中心最大1小时降雨量21mm相比，2020年</w:t>
      </w:r>
      <w:r>
        <w:rPr>
          <w:rFonts w:hint="eastAsia"/>
          <w:color w:val="auto"/>
          <w:sz w:val="30"/>
          <w:szCs w:val="30"/>
          <w:highlight w:val="none"/>
          <w:lang w:eastAsia="zh-CN"/>
        </w:rPr>
        <w:t>“</w:t>
      </w:r>
      <w:r>
        <w:rPr>
          <w:color w:val="auto"/>
          <w:sz w:val="30"/>
          <w:szCs w:val="30"/>
          <w:highlight w:val="none"/>
        </w:rPr>
        <w:t>8</w:t>
      </w:r>
      <w:r>
        <w:rPr>
          <w:rFonts w:hint="eastAsia"/>
          <w:color w:val="auto"/>
          <w:sz w:val="30"/>
          <w:szCs w:val="30"/>
          <w:highlight w:val="none"/>
          <w:lang w:val="en-US" w:eastAsia="zh-CN"/>
        </w:rPr>
        <w:t>·</w:t>
      </w:r>
      <w:r>
        <w:rPr>
          <w:color w:val="auto"/>
          <w:sz w:val="30"/>
          <w:szCs w:val="30"/>
          <w:highlight w:val="none"/>
        </w:rPr>
        <w:t>12</w:t>
      </w:r>
      <w:r>
        <w:rPr>
          <w:rFonts w:hint="eastAsia"/>
          <w:color w:val="auto"/>
          <w:sz w:val="30"/>
          <w:szCs w:val="30"/>
          <w:highlight w:val="none"/>
          <w:lang w:eastAsia="zh-CN"/>
        </w:rPr>
        <w:t>”</w:t>
      </w:r>
      <w:r>
        <w:rPr>
          <w:color w:val="auto"/>
          <w:sz w:val="30"/>
          <w:szCs w:val="30"/>
          <w:highlight w:val="none"/>
        </w:rPr>
        <w:t>暴雨中心最大1小时降雨量8</w:t>
      </w:r>
      <w:r>
        <w:rPr>
          <w:rFonts w:hint="eastAsia"/>
          <w:color w:val="auto"/>
          <w:sz w:val="30"/>
          <w:szCs w:val="30"/>
          <w:highlight w:val="none"/>
          <w:lang w:val="en-US" w:eastAsia="zh-CN"/>
        </w:rPr>
        <w:t>6</w:t>
      </w:r>
      <w:r>
        <w:rPr>
          <w:color w:val="auto"/>
          <w:sz w:val="30"/>
          <w:szCs w:val="30"/>
          <w:highlight w:val="none"/>
        </w:rPr>
        <w:t>mm，增大了4倍。最大24小时降雨量从2013年的16</w:t>
      </w:r>
      <w:r>
        <w:rPr>
          <w:rFonts w:hint="eastAsia"/>
          <w:color w:val="auto"/>
          <w:sz w:val="30"/>
          <w:szCs w:val="30"/>
          <w:highlight w:val="none"/>
          <w:lang w:val="en-US" w:eastAsia="zh-CN"/>
        </w:rPr>
        <w:t>5</w:t>
      </w:r>
      <w:r>
        <w:rPr>
          <w:color w:val="auto"/>
          <w:sz w:val="30"/>
          <w:szCs w:val="30"/>
          <w:highlight w:val="none"/>
        </w:rPr>
        <w:t>mm增加到2020年的433mm，涨幅明显。</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三、水文分析计算成果</w:t>
      </w:r>
    </w:p>
    <w:bookmarkEnd w:id="42"/>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rFonts w:hint="eastAsia"/>
          <w:color w:val="auto"/>
          <w:kern w:val="0"/>
          <w:sz w:val="30"/>
          <w:szCs w:val="30"/>
          <w:highlight w:val="none"/>
          <w:lang w:val="en-US" w:eastAsia="zh-CN"/>
        </w:rPr>
        <w:t>根据</w:t>
      </w:r>
      <w:r>
        <w:rPr>
          <w:color w:val="auto"/>
          <w:kern w:val="0"/>
          <w:sz w:val="30"/>
          <w:szCs w:val="30"/>
          <w:highlight w:val="none"/>
          <w:lang w:val="zh-CN"/>
        </w:rPr>
        <w:t>沱江流域干支流25个国家基本控制水文站实测资料</w:t>
      </w:r>
      <w:r>
        <w:rPr>
          <w:rFonts w:hint="eastAsia"/>
          <w:color w:val="auto"/>
          <w:kern w:val="0"/>
          <w:sz w:val="30"/>
          <w:szCs w:val="30"/>
          <w:highlight w:val="none"/>
          <w:lang w:val="en-US" w:eastAsia="zh-CN"/>
        </w:rPr>
        <w:t>和</w:t>
      </w:r>
      <w:r>
        <w:rPr>
          <w:color w:val="auto"/>
          <w:kern w:val="0"/>
          <w:sz w:val="30"/>
          <w:szCs w:val="30"/>
          <w:highlight w:val="none"/>
          <w:lang w:val="zh-CN"/>
        </w:rPr>
        <w:t>全省统一汇编刊印</w:t>
      </w:r>
      <w:r>
        <w:rPr>
          <w:rFonts w:hint="eastAsia"/>
          <w:color w:val="auto"/>
          <w:kern w:val="0"/>
          <w:sz w:val="30"/>
          <w:szCs w:val="30"/>
          <w:highlight w:val="none"/>
          <w:lang w:val="en-US" w:eastAsia="zh-CN"/>
        </w:rPr>
        <w:t>的</w:t>
      </w:r>
      <w:r>
        <w:rPr>
          <w:color w:val="auto"/>
          <w:kern w:val="0"/>
          <w:sz w:val="30"/>
          <w:szCs w:val="30"/>
          <w:highlight w:val="none"/>
          <w:lang w:val="zh-CN"/>
        </w:rPr>
        <w:t>主要河段历史洪水调查资料</w:t>
      </w:r>
      <w:r>
        <w:rPr>
          <w:rFonts w:hint="eastAsia"/>
          <w:color w:val="auto"/>
          <w:kern w:val="0"/>
          <w:sz w:val="30"/>
          <w:szCs w:val="30"/>
          <w:highlight w:val="none"/>
          <w:lang w:val="zh-CN"/>
        </w:rPr>
        <w:t>，</w:t>
      </w:r>
      <w:r>
        <w:rPr>
          <w:rFonts w:hint="eastAsia"/>
          <w:color w:val="auto"/>
          <w:kern w:val="0"/>
          <w:sz w:val="30"/>
          <w:szCs w:val="30"/>
          <w:highlight w:val="none"/>
          <w:lang w:val="en-US" w:eastAsia="zh-CN"/>
        </w:rPr>
        <w:t>采用</w:t>
      </w:r>
      <w:r>
        <w:rPr>
          <w:color w:val="auto"/>
          <w:spacing w:val="6"/>
          <w:kern w:val="0"/>
          <w:sz w:val="30"/>
          <w:szCs w:val="30"/>
          <w:highlight w:val="none"/>
        </w:rPr>
        <w:t>P-Ⅲ型目估适线，求得</w:t>
      </w:r>
      <w:r>
        <w:rPr>
          <w:rFonts w:hint="eastAsia"/>
          <w:color w:val="auto"/>
          <w:spacing w:val="6"/>
          <w:kern w:val="0"/>
          <w:sz w:val="30"/>
          <w:szCs w:val="30"/>
          <w:highlight w:val="none"/>
          <w:lang w:val="en-US" w:eastAsia="zh-CN"/>
        </w:rPr>
        <w:t>各水文站</w:t>
      </w:r>
      <w:r>
        <w:rPr>
          <w:color w:val="auto"/>
          <w:spacing w:val="6"/>
          <w:kern w:val="0"/>
          <w:sz w:val="30"/>
          <w:szCs w:val="30"/>
          <w:highlight w:val="none"/>
        </w:rPr>
        <w:t>设计洪水成果。</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color w:val="auto"/>
          <w:spacing w:val="6"/>
          <w:kern w:val="0"/>
          <w:sz w:val="30"/>
          <w:szCs w:val="30"/>
          <w:highlight w:val="none"/>
        </w:rPr>
        <w:t>考虑到三皇庙</w:t>
      </w:r>
      <w:r>
        <w:rPr>
          <w:rFonts w:hint="eastAsia"/>
          <w:color w:val="auto"/>
          <w:spacing w:val="6"/>
          <w:kern w:val="0"/>
          <w:sz w:val="30"/>
          <w:szCs w:val="30"/>
          <w:highlight w:val="none"/>
          <w:lang w:val="en-US" w:eastAsia="zh-CN"/>
        </w:rPr>
        <w:t>水文站</w:t>
      </w:r>
      <w:r>
        <w:rPr>
          <w:color w:val="auto"/>
          <w:spacing w:val="6"/>
          <w:kern w:val="0"/>
          <w:sz w:val="30"/>
          <w:szCs w:val="30"/>
          <w:highlight w:val="none"/>
        </w:rPr>
        <w:t>实测大洪水及历史调查洪水均为金堂县城区蓄滞后的洪水，实测大洪水流量小于归槽洪水，为合理确定金堂县城区防洪总体方案和防洪措施规模，本规划进行</w:t>
      </w:r>
      <w:r>
        <w:rPr>
          <w:rFonts w:hint="eastAsia"/>
          <w:color w:val="auto"/>
          <w:spacing w:val="6"/>
          <w:kern w:val="0"/>
          <w:sz w:val="30"/>
          <w:szCs w:val="30"/>
          <w:highlight w:val="none"/>
          <w:lang w:eastAsia="zh-CN"/>
        </w:rPr>
        <w:t>了</w:t>
      </w:r>
      <w:r>
        <w:rPr>
          <w:color w:val="auto"/>
          <w:spacing w:val="6"/>
          <w:kern w:val="0"/>
          <w:sz w:val="30"/>
          <w:szCs w:val="30"/>
          <w:highlight w:val="none"/>
        </w:rPr>
        <w:t>三皇庙</w:t>
      </w:r>
      <w:r>
        <w:rPr>
          <w:rFonts w:hint="eastAsia"/>
          <w:color w:val="auto"/>
          <w:spacing w:val="6"/>
          <w:kern w:val="0"/>
          <w:sz w:val="30"/>
          <w:szCs w:val="30"/>
          <w:highlight w:val="none"/>
          <w:lang w:val="en-US" w:eastAsia="zh-CN"/>
        </w:rPr>
        <w:t>水文</w:t>
      </w:r>
      <w:r>
        <w:rPr>
          <w:color w:val="auto"/>
          <w:spacing w:val="6"/>
          <w:kern w:val="0"/>
          <w:sz w:val="30"/>
          <w:szCs w:val="30"/>
          <w:highlight w:val="none"/>
        </w:rPr>
        <w:t>站归槽洪水分析。</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kern w:val="0"/>
          <w:sz w:val="30"/>
          <w:szCs w:val="30"/>
          <w:highlight w:val="none"/>
          <w:lang w:val="zh-CN"/>
        </w:rPr>
      </w:pPr>
      <w:r>
        <w:rPr>
          <w:color w:val="auto"/>
          <w:kern w:val="0"/>
          <w:sz w:val="30"/>
          <w:szCs w:val="30"/>
          <w:highlight w:val="none"/>
          <w:lang w:val="zh-CN"/>
        </w:rPr>
        <w:t>各水库</w:t>
      </w:r>
      <w:r>
        <w:rPr>
          <w:color w:val="auto"/>
          <w:kern w:val="0"/>
          <w:sz w:val="30"/>
          <w:szCs w:val="30"/>
          <w:highlight w:val="none"/>
        </w:rPr>
        <w:t>及</w:t>
      </w:r>
      <w:r>
        <w:rPr>
          <w:color w:val="auto"/>
          <w:kern w:val="0"/>
          <w:sz w:val="30"/>
          <w:szCs w:val="30"/>
          <w:highlight w:val="none"/>
          <w:lang w:val="zh-CN"/>
        </w:rPr>
        <w:t>干支流主要城镇河段设计洪水成果以</w:t>
      </w:r>
      <w:r>
        <w:rPr>
          <w:color w:val="auto"/>
          <w:kern w:val="0"/>
          <w:sz w:val="30"/>
          <w:szCs w:val="30"/>
          <w:highlight w:val="none"/>
        </w:rPr>
        <w:t>其</w:t>
      </w:r>
      <w:r>
        <w:rPr>
          <w:color w:val="auto"/>
          <w:kern w:val="0"/>
          <w:sz w:val="30"/>
          <w:szCs w:val="30"/>
          <w:highlight w:val="none"/>
          <w:lang w:val="zh-CN"/>
        </w:rPr>
        <w:t>所在河流的水文站为依据站，所在河流无水文站的则以下垫面和降雨条件相似的相邻流域水文站为</w:t>
      </w:r>
      <w:r>
        <w:rPr>
          <w:rFonts w:hint="eastAsia"/>
          <w:color w:val="auto"/>
          <w:kern w:val="0"/>
          <w:sz w:val="30"/>
          <w:szCs w:val="30"/>
          <w:highlight w:val="none"/>
          <w:lang w:val="en-US" w:eastAsia="zh-CN"/>
        </w:rPr>
        <w:t>参证站</w:t>
      </w:r>
      <w:r>
        <w:rPr>
          <w:color w:val="auto"/>
          <w:kern w:val="0"/>
          <w:sz w:val="30"/>
          <w:szCs w:val="30"/>
          <w:highlight w:val="none"/>
          <w:lang w:val="zh-CN"/>
        </w:rPr>
        <w:t>，按水文比拟法推求</w:t>
      </w:r>
      <w:r>
        <w:rPr>
          <w:rFonts w:hint="eastAsia"/>
          <w:color w:val="auto"/>
          <w:kern w:val="0"/>
          <w:sz w:val="30"/>
          <w:szCs w:val="30"/>
          <w:highlight w:val="none"/>
          <w:lang w:val="zh-CN"/>
        </w:rPr>
        <w:t>。</w:t>
      </w:r>
      <w:r>
        <w:rPr>
          <w:color w:val="auto"/>
          <w:kern w:val="0"/>
          <w:sz w:val="30"/>
          <w:szCs w:val="30"/>
          <w:highlight w:val="none"/>
          <w:lang w:val="zh-CN"/>
        </w:rPr>
        <w:t>控制集</w:t>
      </w:r>
      <w:r>
        <w:rPr>
          <w:rFonts w:hint="eastAsia"/>
          <w:color w:val="auto"/>
          <w:kern w:val="0"/>
          <w:sz w:val="30"/>
          <w:szCs w:val="30"/>
          <w:highlight w:val="none"/>
          <w:lang w:val="en-US" w:eastAsia="zh-CN"/>
        </w:rPr>
        <w:t>雨</w:t>
      </w:r>
      <w:r>
        <w:rPr>
          <w:color w:val="auto"/>
          <w:kern w:val="0"/>
          <w:sz w:val="30"/>
          <w:szCs w:val="30"/>
          <w:highlight w:val="none"/>
          <w:lang w:val="zh-CN"/>
        </w:rPr>
        <w:t>面积较小的水库采用间接法由设计暴雨推求，设计洪峰流量按面积比的2/3次方移用依据站设计洪峰流量成果。</w:t>
      </w:r>
      <w:r>
        <w:rPr>
          <w:rFonts w:hint="eastAsia"/>
          <w:color w:val="auto"/>
          <w:kern w:val="0"/>
          <w:sz w:val="30"/>
          <w:szCs w:val="30"/>
          <w:highlight w:val="none"/>
          <w:lang w:val="en-US" w:eastAsia="zh-CN"/>
        </w:rPr>
        <w:t>流域规划水库和重要城镇河段</w:t>
      </w:r>
      <w:r>
        <w:rPr>
          <w:color w:val="auto"/>
          <w:kern w:val="0"/>
          <w:sz w:val="30"/>
          <w:szCs w:val="30"/>
          <w:highlight w:val="none"/>
          <w:lang w:val="zh-CN"/>
        </w:rPr>
        <w:t>设计洪水成果</w:t>
      </w:r>
      <w:r>
        <w:rPr>
          <w:rFonts w:hint="eastAsia"/>
          <w:color w:val="auto"/>
          <w:kern w:val="0"/>
          <w:sz w:val="30"/>
          <w:szCs w:val="30"/>
          <w:highlight w:val="none"/>
          <w:lang w:val="en-US" w:eastAsia="zh-CN"/>
        </w:rPr>
        <w:t>详</w:t>
      </w:r>
      <w:r>
        <w:rPr>
          <w:color w:val="auto"/>
          <w:kern w:val="0"/>
          <w:sz w:val="30"/>
          <w:szCs w:val="30"/>
          <w:highlight w:val="none"/>
          <w:lang w:val="zh-CN"/>
        </w:rPr>
        <w:t>见表2.1.</w:t>
      </w:r>
      <w:r>
        <w:rPr>
          <w:rFonts w:hint="eastAsia"/>
          <w:color w:val="auto"/>
          <w:kern w:val="0"/>
          <w:sz w:val="30"/>
          <w:szCs w:val="30"/>
          <w:highlight w:val="none"/>
          <w:lang w:val="en-US" w:eastAsia="zh-CN"/>
        </w:rPr>
        <w:t>1</w:t>
      </w:r>
      <w:r>
        <w:rPr>
          <w:color w:val="auto"/>
          <w:kern w:val="0"/>
          <w:sz w:val="30"/>
          <w:szCs w:val="30"/>
          <w:highlight w:val="none"/>
          <w:lang w:val="zh-CN"/>
        </w:rPr>
        <w:t>和表</w:t>
      </w:r>
      <w:r>
        <w:rPr>
          <w:color w:val="auto"/>
          <w:kern w:val="0"/>
          <w:sz w:val="30"/>
          <w:szCs w:val="30"/>
          <w:highlight w:val="none"/>
        </w:rPr>
        <w:t>2.1.</w:t>
      </w:r>
      <w:r>
        <w:rPr>
          <w:rFonts w:hint="eastAsia"/>
          <w:color w:val="auto"/>
          <w:kern w:val="0"/>
          <w:sz w:val="30"/>
          <w:szCs w:val="30"/>
          <w:highlight w:val="none"/>
          <w:lang w:val="en-US" w:eastAsia="zh-CN"/>
        </w:rPr>
        <w:t>2</w:t>
      </w:r>
      <w:r>
        <w:rPr>
          <w:color w:val="auto"/>
          <w:kern w:val="0"/>
          <w:sz w:val="30"/>
          <w:szCs w:val="30"/>
          <w:highlight w:val="none"/>
          <w:lang w:val="zh-CN"/>
        </w:rPr>
        <w:t>。</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kern w:val="0"/>
          <w:sz w:val="30"/>
          <w:szCs w:val="30"/>
          <w:highlight w:val="none"/>
          <w:lang w:val="zh-CN"/>
        </w:rPr>
      </w:pP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表2.1.</w:t>
      </w:r>
      <w:r>
        <w:rPr>
          <w:rFonts w:hint="eastAsia" w:ascii="Times New Roman"/>
          <w:b w:val="0"/>
          <w:bCs w:val="0"/>
          <w:color w:val="auto"/>
          <w:sz w:val="28"/>
          <w:highlight w:val="none"/>
          <w:lang w:val="en-US" w:eastAsia="zh-CN"/>
        </w:rPr>
        <w:t>1</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沱江流域</w:t>
      </w:r>
      <w:r>
        <w:rPr>
          <w:rFonts w:ascii="Times New Roman"/>
          <w:b w:val="0"/>
          <w:bCs w:val="0"/>
          <w:color w:val="auto"/>
          <w:sz w:val="28"/>
          <w:highlight w:val="none"/>
        </w:rPr>
        <w:t>规划水库设计洪水成果表</w:t>
      </w:r>
    </w:p>
    <w:tbl>
      <w:tblPr>
        <w:tblStyle w:val="88"/>
        <w:tblW w:w="5000" w:type="pct"/>
        <w:tblInd w:w="0" w:type="dxa"/>
        <w:tblLayout w:type="autofit"/>
        <w:tblCellMar>
          <w:top w:w="57" w:type="dxa"/>
          <w:left w:w="57" w:type="dxa"/>
          <w:bottom w:w="57" w:type="dxa"/>
          <w:right w:w="57" w:type="dxa"/>
        </w:tblCellMar>
      </w:tblPr>
      <w:tblGrid>
        <w:gridCol w:w="744"/>
        <w:gridCol w:w="1414"/>
        <w:gridCol w:w="1262"/>
        <w:gridCol w:w="1596"/>
        <w:gridCol w:w="648"/>
        <w:gridCol w:w="648"/>
        <w:gridCol w:w="648"/>
        <w:gridCol w:w="740"/>
        <w:gridCol w:w="743"/>
        <w:gridCol w:w="741"/>
      </w:tblGrid>
      <w:tr>
        <w:tblPrEx>
          <w:tblCellMar>
            <w:top w:w="57" w:type="dxa"/>
            <w:left w:w="57" w:type="dxa"/>
            <w:bottom w:w="57" w:type="dxa"/>
            <w:right w:w="57" w:type="dxa"/>
          </w:tblCellMar>
        </w:tblPrEx>
        <w:trPr>
          <w:trHeight w:val="20" w:hRule="atLeast"/>
          <w:tblHeader/>
        </w:trPr>
        <w:tc>
          <w:tcPr>
            <w:tcW w:w="405" w:type="pct"/>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河流</w:t>
            </w:r>
          </w:p>
        </w:tc>
        <w:tc>
          <w:tcPr>
            <w:tcW w:w="770" w:type="pct"/>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水库</w:t>
            </w:r>
          </w:p>
        </w:tc>
        <w:tc>
          <w:tcPr>
            <w:tcW w:w="687" w:type="pct"/>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断面</w:t>
            </w:r>
          </w:p>
        </w:tc>
        <w:tc>
          <w:tcPr>
            <w:tcW w:w="869" w:type="pct"/>
            <w:vMerge w:val="restart"/>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控制集雨</w:t>
            </w:r>
            <w:r>
              <w:rPr>
                <w:rFonts w:eastAsia="楷体"/>
                <w:color w:val="auto"/>
                <w:kern w:val="0"/>
                <w:sz w:val="21"/>
                <w:szCs w:val="21"/>
                <w:highlight w:val="none"/>
              </w:rPr>
              <w:t>面积</w:t>
            </w:r>
          </w:p>
          <w:p>
            <w:pPr>
              <w:widowControl/>
              <w:jc w:val="center"/>
              <w:rPr>
                <w:rFonts w:eastAsia="楷体"/>
                <w:color w:val="auto"/>
                <w:kern w:val="0"/>
                <w:sz w:val="21"/>
                <w:szCs w:val="21"/>
                <w:highlight w:val="none"/>
              </w:rPr>
            </w:pPr>
            <w:r>
              <w:rPr>
                <w:rFonts w:eastAsia="楷体"/>
                <w:color w:val="auto"/>
                <w:kern w:val="0"/>
                <w:sz w:val="21"/>
                <w:szCs w:val="21"/>
                <w:highlight w:val="none"/>
              </w:rPr>
              <w:t>（km</w:t>
            </w:r>
            <w:r>
              <w:rPr>
                <w:rFonts w:eastAsia="楷体"/>
                <w:color w:val="auto"/>
                <w:kern w:val="0"/>
                <w:sz w:val="21"/>
                <w:szCs w:val="21"/>
                <w:highlight w:val="none"/>
                <w:vertAlign w:val="superscript"/>
              </w:rPr>
              <w:t>2</w:t>
            </w:r>
            <w:r>
              <w:rPr>
                <w:rFonts w:eastAsia="楷体"/>
                <w:color w:val="auto"/>
                <w:kern w:val="0"/>
                <w:sz w:val="21"/>
                <w:szCs w:val="21"/>
                <w:highlight w:val="none"/>
              </w:rPr>
              <w:t>）</w:t>
            </w:r>
          </w:p>
        </w:tc>
        <w:tc>
          <w:tcPr>
            <w:tcW w:w="2269" w:type="pct"/>
            <w:gridSpan w:val="6"/>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各频率设计值（m</w:t>
            </w:r>
            <w:r>
              <w:rPr>
                <w:rFonts w:eastAsia="楷体"/>
                <w:color w:val="auto"/>
                <w:kern w:val="0"/>
                <w:sz w:val="21"/>
                <w:szCs w:val="21"/>
                <w:highlight w:val="none"/>
                <w:vertAlign w:val="superscript"/>
              </w:rPr>
              <w:t>3</w:t>
            </w:r>
            <w:r>
              <w:rPr>
                <w:rFonts w:eastAsia="楷体"/>
                <w:color w:val="auto"/>
                <w:kern w:val="0"/>
                <w:sz w:val="21"/>
                <w:szCs w:val="21"/>
                <w:highlight w:val="none"/>
              </w:rPr>
              <w:t>/s）</w:t>
            </w:r>
          </w:p>
        </w:tc>
      </w:tr>
      <w:tr>
        <w:tblPrEx>
          <w:tblCellMar>
            <w:top w:w="57" w:type="dxa"/>
            <w:left w:w="57" w:type="dxa"/>
            <w:bottom w:w="57" w:type="dxa"/>
            <w:right w:w="57" w:type="dxa"/>
          </w:tblCellMar>
        </w:tblPrEx>
        <w:trPr>
          <w:trHeight w:val="20" w:hRule="atLeast"/>
          <w:tblHeader/>
        </w:trPr>
        <w:tc>
          <w:tcPr>
            <w:tcW w:w="405" w:type="pct"/>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eastAsia="楷体"/>
                <w:color w:val="auto"/>
                <w:kern w:val="0"/>
                <w:sz w:val="21"/>
                <w:szCs w:val="21"/>
                <w:highlight w:val="none"/>
              </w:rPr>
            </w:pPr>
          </w:p>
        </w:tc>
        <w:tc>
          <w:tcPr>
            <w:tcW w:w="770" w:type="pct"/>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eastAsia="楷体"/>
                <w:color w:val="auto"/>
                <w:kern w:val="0"/>
                <w:sz w:val="21"/>
                <w:szCs w:val="21"/>
                <w:highlight w:val="none"/>
              </w:rPr>
            </w:pPr>
          </w:p>
        </w:tc>
        <w:tc>
          <w:tcPr>
            <w:tcW w:w="687" w:type="pct"/>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eastAsia="楷体"/>
                <w:color w:val="auto"/>
                <w:kern w:val="0"/>
                <w:sz w:val="21"/>
                <w:szCs w:val="21"/>
                <w:highlight w:val="none"/>
              </w:rPr>
            </w:pPr>
          </w:p>
        </w:tc>
        <w:tc>
          <w:tcPr>
            <w:tcW w:w="869" w:type="pct"/>
            <w:vMerge w:val="continue"/>
            <w:tcBorders>
              <w:top w:val="single" w:color="auto" w:sz="4" w:space="0"/>
              <w:left w:val="single" w:color="auto" w:sz="4" w:space="0"/>
              <w:bottom w:val="single" w:color="auto" w:sz="4" w:space="0"/>
              <w:right w:val="single" w:color="auto" w:sz="4" w:space="0"/>
            </w:tcBorders>
            <w:noWrap/>
            <w:vAlign w:val="center"/>
          </w:tcPr>
          <w:p>
            <w:pPr>
              <w:widowControl/>
              <w:jc w:val="left"/>
              <w:rPr>
                <w:rFonts w:eastAsia="楷体"/>
                <w:color w:val="auto"/>
                <w:kern w:val="0"/>
                <w:sz w:val="21"/>
                <w:szCs w:val="21"/>
                <w:highlight w:val="none"/>
              </w:rPr>
            </w:pP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P=1%</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P=2%</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P=5%</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P=10%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P=20%</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P=50%</w:t>
            </w:r>
          </w:p>
        </w:tc>
      </w:tr>
      <w:tr>
        <w:tblPrEx>
          <w:tblCellMar>
            <w:top w:w="57" w:type="dxa"/>
            <w:left w:w="57" w:type="dxa"/>
            <w:bottom w:w="57" w:type="dxa"/>
            <w:right w:w="57" w:type="dxa"/>
          </w:tblCellMar>
        </w:tblPrEx>
        <w:trPr>
          <w:trHeight w:val="20" w:hRule="atLeast"/>
          <w:tblHeader/>
        </w:trPr>
        <w:tc>
          <w:tcPr>
            <w:tcW w:w="405" w:type="pct"/>
            <w:tcBorders>
              <w:top w:val="nil"/>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绵远河</w:t>
            </w:r>
          </w:p>
        </w:tc>
        <w:tc>
          <w:tcPr>
            <w:tcW w:w="770"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清平水库</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26</w:t>
            </w:r>
            <w:r>
              <w:rPr>
                <w:rFonts w:hint="eastAsia" w:eastAsia="楷体"/>
                <w:color w:val="auto"/>
                <w:kern w:val="0"/>
                <w:sz w:val="21"/>
                <w:szCs w:val="21"/>
                <w:highlight w:val="none"/>
                <w:lang w:val="en-US" w:eastAsia="zh-CN"/>
              </w:rPr>
              <w:t>5</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2030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1750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1380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1100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814</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434</w:t>
            </w:r>
          </w:p>
        </w:tc>
      </w:tr>
      <w:tr>
        <w:trPr>
          <w:trHeight w:val="20" w:hRule="atLeast"/>
          <w:tblHeader/>
        </w:trPr>
        <w:tc>
          <w:tcPr>
            <w:tcW w:w="405" w:type="pct"/>
            <w:vMerge w:val="restart"/>
            <w:tcBorders>
              <w:top w:val="nil"/>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石亭江</w:t>
            </w:r>
          </w:p>
        </w:tc>
        <w:tc>
          <w:tcPr>
            <w:tcW w:w="770"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金花寺水库</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470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2540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2200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1750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1410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1070</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613</w:t>
            </w:r>
          </w:p>
        </w:tc>
      </w:tr>
      <w:tr>
        <w:tblPrEx>
          <w:tblCellMar>
            <w:top w:w="57" w:type="dxa"/>
            <w:left w:w="57" w:type="dxa"/>
            <w:bottom w:w="57" w:type="dxa"/>
            <w:right w:w="57" w:type="dxa"/>
          </w:tblCellMar>
        </w:tblPrEx>
        <w:trPr>
          <w:trHeight w:val="20" w:hRule="atLeast"/>
          <w:tblHeader/>
        </w:trPr>
        <w:tc>
          <w:tcPr>
            <w:tcW w:w="405" w:type="pct"/>
            <w:vMerge w:val="continue"/>
            <w:tcBorders>
              <w:top w:val="nil"/>
              <w:left w:val="single" w:color="auto" w:sz="4" w:space="0"/>
              <w:bottom w:val="single" w:color="auto" w:sz="4" w:space="0"/>
              <w:right w:val="single" w:color="auto" w:sz="4" w:space="0"/>
            </w:tcBorders>
            <w:noWrap/>
            <w:vAlign w:val="center"/>
          </w:tcPr>
          <w:p>
            <w:pPr>
              <w:widowControl/>
              <w:jc w:val="left"/>
              <w:rPr>
                <w:rFonts w:eastAsia="楷体"/>
                <w:color w:val="auto"/>
                <w:kern w:val="0"/>
                <w:sz w:val="21"/>
                <w:szCs w:val="21"/>
                <w:highlight w:val="none"/>
              </w:rPr>
            </w:pPr>
          </w:p>
        </w:tc>
        <w:tc>
          <w:tcPr>
            <w:tcW w:w="770"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高景关水库</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625</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3080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2670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2130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1710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1300</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745</w:t>
            </w:r>
          </w:p>
        </w:tc>
      </w:tr>
      <w:tr>
        <w:tblPrEx>
          <w:tblCellMar>
            <w:top w:w="57" w:type="dxa"/>
            <w:left w:w="57" w:type="dxa"/>
            <w:bottom w:w="57" w:type="dxa"/>
            <w:right w:w="57" w:type="dxa"/>
          </w:tblCellMar>
        </w:tblPrEx>
        <w:trPr>
          <w:trHeight w:val="20" w:hRule="atLeast"/>
          <w:tblHeader/>
        </w:trPr>
        <w:tc>
          <w:tcPr>
            <w:tcW w:w="405" w:type="pct"/>
            <w:tcBorders>
              <w:top w:val="nil"/>
              <w:left w:val="single" w:color="auto" w:sz="4" w:space="0"/>
              <w:bottom w:val="single" w:color="000000"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毗河</w:t>
            </w:r>
          </w:p>
        </w:tc>
        <w:tc>
          <w:tcPr>
            <w:tcW w:w="770" w:type="pct"/>
            <w:tcBorders>
              <w:top w:val="nil"/>
              <w:left w:val="single" w:color="auto" w:sz="4" w:space="0"/>
              <w:bottom w:val="single" w:color="000000"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蓄滞洪工程</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毗河分洪断面</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870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2260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1930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1550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1230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940</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620</w:t>
            </w:r>
          </w:p>
        </w:tc>
      </w:tr>
      <w:tr>
        <w:tblPrEx>
          <w:tblCellMar>
            <w:top w:w="57" w:type="dxa"/>
            <w:left w:w="57" w:type="dxa"/>
            <w:bottom w:w="57" w:type="dxa"/>
            <w:right w:w="57" w:type="dxa"/>
          </w:tblCellMar>
        </w:tblPrEx>
        <w:trPr>
          <w:trHeight w:val="20" w:hRule="atLeast"/>
          <w:tblHeader/>
        </w:trPr>
        <w:tc>
          <w:tcPr>
            <w:tcW w:w="405" w:type="pct"/>
            <w:tcBorders>
              <w:top w:val="nil"/>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湔江</w:t>
            </w:r>
          </w:p>
        </w:tc>
        <w:tc>
          <w:tcPr>
            <w:tcW w:w="770"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东林寺水库</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201</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2480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2060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1540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1170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826</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429</w:t>
            </w:r>
          </w:p>
        </w:tc>
      </w:tr>
      <w:tr>
        <w:trPr>
          <w:trHeight w:val="20" w:hRule="atLeast"/>
          <w:tblHeader/>
        </w:trPr>
        <w:tc>
          <w:tcPr>
            <w:tcW w:w="405" w:type="pct"/>
            <w:tcBorders>
              <w:top w:val="nil"/>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釜溪河</w:t>
            </w:r>
          </w:p>
        </w:tc>
        <w:tc>
          <w:tcPr>
            <w:tcW w:w="770"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麻柳湾水库</w:t>
            </w:r>
          </w:p>
        </w:tc>
        <w:tc>
          <w:tcPr>
            <w:tcW w:w="687"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941</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1960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1700</w:t>
            </w:r>
          </w:p>
        </w:tc>
        <w:tc>
          <w:tcPr>
            <w:tcW w:w="35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1350</w:t>
            </w:r>
          </w:p>
        </w:tc>
        <w:tc>
          <w:tcPr>
            <w:tcW w:w="403"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1080</w:t>
            </w:r>
          </w:p>
        </w:tc>
        <w:tc>
          <w:tcPr>
            <w:tcW w:w="404"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806</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436</w:t>
            </w:r>
          </w:p>
        </w:tc>
      </w:tr>
      <w:tr>
        <w:tblPrEx>
          <w:tblCellMar>
            <w:top w:w="57" w:type="dxa"/>
            <w:left w:w="57" w:type="dxa"/>
            <w:bottom w:w="57" w:type="dxa"/>
            <w:right w:w="57" w:type="dxa"/>
          </w:tblCellMar>
        </w:tblPrEx>
        <w:trPr>
          <w:trHeight w:val="20" w:hRule="atLeast"/>
          <w:tblHeader/>
        </w:trPr>
        <w:tc>
          <w:tcPr>
            <w:tcW w:w="405" w:type="pct"/>
            <w:tcBorders>
              <w:top w:val="single" w:color="auto" w:sz="4" w:space="0"/>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阳化河</w:t>
            </w:r>
          </w:p>
        </w:tc>
        <w:tc>
          <w:tcPr>
            <w:tcW w:w="770"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钟家湾水库</w:t>
            </w:r>
          </w:p>
        </w:tc>
        <w:tc>
          <w:tcPr>
            <w:tcW w:w="687"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869" w:type="pct"/>
            <w:tcBorders>
              <w:top w:val="single" w:color="auto" w:sz="4" w:space="0"/>
              <w:left w:val="nil"/>
              <w:bottom w:val="single" w:color="auto" w:sz="4" w:space="0"/>
              <w:right w:val="single" w:color="auto" w:sz="4" w:space="0"/>
            </w:tcBorders>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44</w:t>
            </w:r>
            <w:r>
              <w:rPr>
                <w:rFonts w:hint="eastAsia" w:eastAsia="楷体"/>
                <w:color w:val="auto"/>
                <w:kern w:val="0"/>
                <w:sz w:val="21"/>
                <w:szCs w:val="21"/>
                <w:highlight w:val="none"/>
                <w:lang w:val="en-US" w:eastAsia="zh-CN"/>
              </w:rPr>
              <w:t>4</w:t>
            </w:r>
          </w:p>
        </w:tc>
        <w:tc>
          <w:tcPr>
            <w:tcW w:w="353"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1000</w:t>
            </w:r>
          </w:p>
        </w:tc>
        <w:tc>
          <w:tcPr>
            <w:tcW w:w="353"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852</w:t>
            </w:r>
          </w:p>
        </w:tc>
        <w:tc>
          <w:tcPr>
            <w:tcW w:w="353"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655</w:t>
            </w:r>
          </w:p>
        </w:tc>
        <w:tc>
          <w:tcPr>
            <w:tcW w:w="403" w:type="pct"/>
            <w:tcBorders>
              <w:top w:val="single" w:color="auto" w:sz="4" w:space="0"/>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507</w:t>
            </w:r>
          </w:p>
        </w:tc>
        <w:tc>
          <w:tcPr>
            <w:tcW w:w="404" w:type="pct"/>
            <w:tcBorders>
              <w:top w:val="nil"/>
              <w:left w:val="single" w:color="auto" w:sz="4" w:space="0"/>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372</w:t>
            </w:r>
          </w:p>
        </w:tc>
        <w:tc>
          <w:tcPr>
            <w:tcW w:w="402" w:type="pct"/>
            <w:tcBorders>
              <w:top w:val="nil"/>
              <w:left w:val="nil"/>
              <w:bottom w:val="single" w:color="auto" w:sz="4" w:space="0"/>
              <w:right w:val="single" w:color="auto" w:sz="4" w:space="0"/>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199</w:t>
            </w:r>
          </w:p>
        </w:tc>
      </w:tr>
    </w:tbl>
    <w:p>
      <w:pPr>
        <w:pStyle w:val="6"/>
        <w:spacing w:beforeLines="0"/>
        <w:ind w:firstLine="0"/>
        <w:jc w:val="both"/>
        <w:rPr>
          <w:rFonts w:ascii="Times New Roman"/>
          <w:b w:val="0"/>
          <w:bCs w:val="0"/>
          <w:color w:val="auto"/>
          <w:sz w:val="28"/>
          <w:highlight w:val="none"/>
        </w:rPr>
      </w:pP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表2.1.</w:t>
      </w:r>
      <w:r>
        <w:rPr>
          <w:rFonts w:hint="eastAsia" w:ascii="Times New Roman"/>
          <w:b w:val="0"/>
          <w:bCs w:val="0"/>
          <w:color w:val="auto"/>
          <w:sz w:val="28"/>
          <w:highlight w:val="none"/>
          <w:lang w:val="en-US" w:eastAsia="zh-CN"/>
        </w:rPr>
        <w:t>2</w:t>
      </w:r>
      <w:r>
        <w:rPr>
          <w:rFonts w:ascii="Times New Roman"/>
          <w:b w:val="0"/>
          <w:bCs w:val="0"/>
          <w:color w:val="auto"/>
          <w:sz w:val="28"/>
          <w:highlight w:val="none"/>
        </w:rPr>
        <w:t xml:space="preserve">               沱江</w:t>
      </w:r>
      <w:r>
        <w:rPr>
          <w:rFonts w:hint="eastAsia" w:ascii="Times New Roman"/>
          <w:b w:val="0"/>
          <w:bCs w:val="0"/>
          <w:color w:val="auto"/>
          <w:sz w:val="28"/>
          <w:highlight w:val="none"/>
        </w:rPr>
        <w:t>流域重要</w:t>
      </w:r>
      <w:r>
        <w:rPr>
          <w:rFonts w:ascii="Times New Roman"/>
          <w:b w:val="0"/>
          <w:bCs w:val="0"/>
          <w:color w:val="auto"/>
          <w:sz w:val="28"/>
          <w:highlight w:val="none"/>
        </w:rPr>
        <w:t>城镇</w:t>
      </w:r>
      <w:r>
        <w:rPr>
          <w:rFonts w:hint="eastAsia" w:ascii="Times New Roman"/>
          <w:b w:val="0"/>
          <w:bCs w:val="0"/>
          <w:color w:val="auto"/>
          <w:sz w:val="28"/>
          <w:highlight w:val="none"/>
          <w:lang w:val="en-US" w:eastAsia="zh-CN"/>
        </w:rPr>
        <w:t>河段</w:t>
      </w:r>
      <w:r>
        <w:rPr>
          <w:rFonts w:ascii="Times New Roman"/>
          <w:b w:val="0"/>
          <w:bCs w:val="0"/>
          <w:color w:val="auto"/>
          <w:sz w:val="28"/>
          <w:highlight w:val="none"/>
        </w:rPr>
        <w:t>设计洪水成果表</w:t>
      </w:r>
    </w:p>
    <w:tbl>
      <w:tblPr>
        <w:tblStyle w:val="88"/>
        <w:tblW w:w="5176" w:type="pct"/>
        <w:jc w:val="center"/>
        <w:tblLayout w:type="autofit"/>
        <w:tblCellMar>
          <w:top w:w="0" w:type="dxa"/>
          <w:left w:w="108" w:type="dxa"/>
          <w:bottom w:w="0" w:type="dxa"/>
          <w:right w:w="108" w:type="dxa"/>
        </w:tblCellMar>
      </w:tblPr>
      <w:tblGrid>
        <w:gridCol w:w="2511"/>
        <w:gridCol w:w="981"/>
        <w:gridCol w:w="1666"/>
        <w:gridCol w:w="695"/>
        <w:gridCol w:w="695"/>
        <w:gridCol w:w="695"/>
        <w:gridCol w:w="790"/>
        <w:gridCol w:w="790"/>
        <w:gridCol w:w="790"/>
      </w:tblGrid>
      <w:tr>
        <w:tblPrEx>
          <w:tblCellMar>
            <w:top w:w="0" w:type="dxa"/>
            <w:left w:w="108" w:type="dxa"/>
            <w:bottom w:w="0" w:type="dxa"/>
            <w:right w:w="108" w:type="dxa"/>
          </w:tblCellMar>
        </w:tblPrEx>
        <w:trPr>
          <w:trHeight w:val="400" w:hRule="atLeast"/>
          <w:tblHeader/>
          <w:jc w:val="center"/>
        </w:trPr>
        <w:tc>
          <w:tcPr>
            <w:tcW w:w="1306"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城镇</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河流</w:t>
            </w:r>
          </w:p>
        </w:tc>
        <w:tc>
          <w:tcPr>
            <w:tcW w:w="870"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控制</w:t>
            </w:r>
            <w:r>
              <w:rPr>
                <w:rFonts w:ascii="Times New Roman" w:hAnsi="Times New Roman"/>
                <w:color w:val="auto"/>
                <w:kern w:val="2"/>
                <w:sz w:val="21"/>
                <w:highlight w:val="none"/>
                <w:lang w:val="en-US" w:eastAsia="zh-CN"/>
              </w:rPr>
              <w:t>流域面积</w:t>
            </w:r>
          </w:p>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（km</w:t>
            </w:r>
            <w:r>
              <w:rPr>
                <w:rFonts w:ascii="Times New Roman" w:hAnsi="Times New Roman"/>
                <w:color w:val="auto"/>
                <w:kern w:val="2"/>
                <w:sz w:val="21"/>
                <w:highlight w:val="none"/>
                <w:vertAlign w:val="superscript"/>
                <w:lang w:val="en-US" w:eastAsia="zh-CN"/>
              </w:rPr>
              <w:t>2</w:t>
            </w:r>
            <w:r>
              <w:rPr>
                <w:rFonts w:ascii="Times New Roman" w:hAnsi="Times New Roman"/>
                <w:color w:val="auto"/>
                <w:kern w:val="2"/>
                <w:sz w:val="21"/>
                <w:highlight w:val="none"/>
                <w:lang w:val="en-US" w:eastAsia="zh-CN"/>
              </w:rPr>
              <w:t>）</w:t>
            </w:r>
          </w:p>
        </w:tc>
        <w:tc>
          <w:tcPr>
            <w:tcW w:w="2314" w:type="pct"/>
            <w:gridSpan w:val="6"/>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各频率设计值（m</w:t>
            </w:r>
            <w:r>
              <w:rPr>
                <w:rFonts w:ascii="Times New Roman" w:hAnsi="Times New Roman"/>
                <w:color w:val="auto"/>
                <w:kern w:val="2"/>
                <w:sz w:val="21"/>
                <w:highlight w:val="none"/>
                <w:vertAlign w:val="superscript"/>
                <w:lang w:val="en-US" w:eastAsia="zh-CN"/>
              </w:rPr>
              <w:t>3</w:t>
            </w:r>
            <w:r>
              <w:rPr>
                <w:rFonts w:ascii="Times New Roman" w:hAnsi="Times New Roman"/>
                <w:color w:val="auto"/>
                <w:kern w:val="2"/>
                <w:sz w:val="21"/>
                <w:highlight w:val="none"/>
                <w:lang w:val="en-US" w:eastAsia="zh-CN"/>
              </w:rPr>
              <w:t>/s）</w:t>
            </w:r>
          </w:p>
        </w:tc>
      </w:tr>
      <w:tr>
        <w:trPr>
          <w:trHeight w:val="400" w:hRule="atLeast"/>
          <w:jc w:val="center"/>
        </w:trPr>
        <w:tc>
          <w:tcPr>
            <w:tcW w:w="1306"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P=1%</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P=2%</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P=5%</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P=10%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P=20%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P=50%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清平镇</w:t>
            </w:r>
          </w:p>
        </w:tc>
        <w:tc>
          <w:tcPr>
            <w:tcW w:w="5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绵远河</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2306</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1984</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1568</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1246</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924</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493</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金堂县（三皇庙漫滩洪水）</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沱江干流</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6590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8630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7920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6940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6140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5250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3790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金堂县（三皇庙归槽洪水）</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6590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9420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8380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7080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6140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5250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3790</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淮口</w:t>
            </w:r>
            <w:r>
              <w:rPr>
                <w:rFonts w:hint="eastAsia" w:ascii="Times New Roman" w:hAnsi="Times New Roman"/>
                <w:color w:val="auto"/>
                <w:kern w:val="2"/>
                <w:sz w:val="21"/>
                <w:highlight w:val="none"/>
                <w:lang w:val="en-US" w:eastAsia="zh-CN"/>
              </w:rPr>
              <w:t>街道</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6980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8970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8230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7210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6380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5460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3940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五凤镇</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7200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9150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8400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7360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6510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5570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4020</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养马</w:t>
            </w:r>
            <w:r>
              <w:rPr>
                <w:rFonts w:hint="eastAsia" w:ascii="Times New Roman" w:hAnsi="Times New Roman"/>
                <w:color w:val="auto"/>
                <w:kern w:val="2"/>
                <w:sz w:val="21"/>
                <w:highlight w:val="none"/>
                <w:lang w:val="en-US" w:eastAsia="zh-CN"/>
              </w:rPr>
              <w:t>街道</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7600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9490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8710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7630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6750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5770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4170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简阳城区（绛溪河汇入前）</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7820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9670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8880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7780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6880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5880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4250</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简阳城区（绛溪河汇入后）</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8720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w w:val="80"/>
                <w:kern w:val="2"/>
                <w:sz w:val="21"/>
                <w:highlight w:val="none"/>
                <w:lang w:val="en-US" w:eastAsia="zh-CN"/>
              </w:rPr>
            </w:pPr>
            <w:r>
              <w:rPr>
                <w:rFonts w:ascii="Times New Roman" w:hAnsi="Times New Roman"/>
                <w:color w:val="auto"/>
                <w:w w:val="100"/>
                <w:kern w:val="2"/>
                <w:sz w:val="21"/>
                <w:highlight w:val="none"/>
                <w:lang w:val="en-US" w:eastAsia="zh-CN"/>
              </w:rPr>
              <w:t>10400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9550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8360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7400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6330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4570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归德</w:t>
            </w:r>
            <w:r>
              <w:rPr>
                <w:rFonts w:ascii="Times New Roman" w:hAnsi="Times New Roman"/>
                <w:color w:val="auto"/>
                <w:kern w:val="2"/>
                <w:sz w:val="21"/>
                <w:highlight w:val="none"/>
                <w:lang w:val="en-US" w:eastAsia="zh-CN"/>
              </w:rPr>
              <w:t>镇</w:t>
            </w:r>
            <w:r>
              <w:rPr>
                <w:rFonts w:hint="eastAsia" w:ascii="Times New Roman" w:hAnsi="Times New Roman"/>
                <w:color w:val="auto"/>
                <w:kern w:val="2"/>
                <w:sz w:val="21"/>
                <w:highlight w:val="none"/>
                <w:lang w:val="en-US" w:eastAsia="zh-CN"/>
              </w:rPr>
              <w:t>（原甘露镇）</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14400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13500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11900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9860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8260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6620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4350</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青义</w:t>
            </w:r>
            <w:r>
              <w:rPr>
                <w:rFonts w:ascii="Times New Roman" w:hAnsi="Times New Roman"/>
                <w:color w:val="auto"/>
                <w:kern w:val="2"/>
                <w:sz w:val="21"/>
                <w:highlight w:val="none"/>
                <w:lang w:val="en-US" w:eastAsia="zh-CN"/>
              </w:rPr>
              <w:t>镇</w:t>
            </w:r>
            <w:r>
              <w:rPr>
                <w:rFonts w:hint="eastAsia" w:ascii="Times New Roman" w:hAnsi="Times New Roman"/>
                <w:color w:val="auto"/>
                <w:kern w:val="2"/>
                <w:sz w:val="21"/>
                <w:highlight w:val="none"/>
                <w:lang w:val="en-US" w:eastAsia="zh-CN"/>
              </w:rPr>
              <w:t>（原龙门镇）</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19313</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17100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14700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11800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9510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7270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4360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桥头镇</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旭水河</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650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1530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1330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1060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843</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630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341</w:t>
            </w:r>
          </w:p>
        </w:tc>
      </w:tr>
      <w:tr>
        <w:trPr>
          <w:trHeight w:val="9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建设镇、长土镇、艾叶镇</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740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1670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1450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1150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919</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687</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372</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谢家坝</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795</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1755</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1522</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1208</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964</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720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390</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自贡市城区</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釜溪河</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1995</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3240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2810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2230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1780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1330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720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自贡市沿滩区</w:t>
            </w:r>
          </w:p>
        </w:tc>
        <w:tc>
          <w:tcPr>
            <w:tcW w:w="510" w:type="pct"/>
            <w:vMerge w:val="continue"/>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2720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3980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3460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2740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2190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1640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885</w:t>
            </w:r>
          </w:p>
        </w:tc>
      </w:tr>
      <w:tr>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泸州市城区</w:t>
            </w:r>
          </w:p>
        </w:tc>
        <w:tc>
          <w:tcPr>
            <w:tcW w:w="5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沱江干流</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27860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20900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17800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2"/>
                <w:sz w:val="21"/>
                <w:szCs w:val="21"/>
                <w:highlight w:val="none"/>
              </w:rPr>
              <w:t>14200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2"/>
                <w:sz w:val="21"/>
                <w:szCs w:val="21"/>
                <w:highlight w:val="none"/>
              </w:rPr>
              <w:t>11400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0"/>
                <w:sz w:val="20"/>
                <w:szCs w:val="21"/>
                <w:highlight w:val="none"/>
              </w:rPr>
              <w:t>8700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0"/>
                <w:sz w:val="20"/>
                <w:szCs w:val="21"/>
                <w:highlight w:val="none"/>
              </w:rPr>
              <w:t>5240</w:t>
            </w:r>
          </w:p>
        </w:tc>
      </w:tr>
      <w:tr>
        <w:tblPrEx>
          <w:tblCellMar>
            <w:top w:w="0" w:type="dxa"/>
            <w:left w:w="108" w:type="dxa"/>
            <w:bottom w:w="0" w:type="dxa"/>
            <w:right w:w="108" w:type="dxa"/>
          </w:tblCellMar>
        </w:tblPrEx>
        <w:trPr>
          <w:trHeight w:val="400" w:hRule="atLeast"/>
          <w:jc w:val="center"/>
        </w:trPr>
        <w:tc>
          <w:tcPr>
            <w:tcW w:w="1306"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福集镇</w:t>
            </w:r>
          </w:p>
        </w:tc>
        <w:tc>
          <w:tcPr>
            <w:tcW w:w="5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hint="eastAsia" w:ascii="Times New Roman" w:hAnsi="Times New Roman"/>
                <w:color w:val="auto"/>
                <w:kern w:val="2"/>
                <w:sz w:val="21"/>
                <w:highlight w:val="none"/>
                <w:lang w:val="en-US" w:eastAsia="zh-CN"/>
              </w:rPr>
              <w:t>濑溪河</w:t>
            </w:r>
          </w:p>
        </w:tc>
        <w:tc>
          <w:tcPr>
            <w:tcW w:w="87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2738</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2890</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2593</w:t>
            </w:r>
          </w:p>
        </w:tc>
        <w:tc>
          <w:tcPr>
            <w:tcW w:w="361"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2188</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color w:val="auto"/>
                <w:kern w:val="2"/>
                <w:sz w:val="21"/>
                <w:highlight w:val="none"/>
                <w:lang w:val="en-US" w:eastAsia="zh-CN"/>
              </w:rPr>
              <w:t>1869</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0"/>
                <w:sz w:val="20"/>
                <w:szCs w:val="21"/>
                <w:highlight w:val="none"/>
              </w:rPr>
              <w:t>1550</w:t>
            </w:r>
          </w:p>
        </w:tc>
        <w:tc>
          <w:tcPr>
            <w:tcW w:w="410" w:type="pct"/>
            <w:tcBorders>
              <w:top w:val="single" w:color="000000" w:sz="4" w:space="0"/>
              <w:left w:val="single" w:color="000000" w:sz="4" w:space="0"/>
              <w:bottom w:val="single" w:color="000000" w:sz="4" w:space="0"/>
              <w:right w:val="single" w:color="000000" w:sz="4" w:space="0"/>
            </w:tcBorders>
            <w:noWrap/>
            <w:vAlign w:val="center"/>
          </w:tcPr>
          <w:p>
            <w:pPr>
              <w:pStyle w:val="711"/>
              <w:rPr>
                <w:rFonts w:ascii="Times New Roman" w:hAnsi="Times New Roman"/>
                <w:color w:val="auto"/>
                <w:kern w:val="2"/>
                <w:sz w:val="21"/>
                <w:highlight w:val="none"/>
                <w:lang w:val="en-US" w:eastAsia="zh-CN"/>
              </w:rPr>
            </w:pPr>
            <w:r>
              <w:rPr>
                <w:rFonts w:ascii="Times New Roman" w:hAnsi="Times New Roman" w:eastAsia="楷体"/>
                <w:color w:val="auto"/>
                <w:kern w:val="0"/>
                <w:sz w:val="20"/>
                <w:szCs w:val="21"/>
                <w:highlight w:val="none"/>
              </w:rPr>
              <w:t>1110</w:t>
            </w:r>
          </w:p>
        </w:tc>
      </w:tr>
    </w:tbl>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lang w:val="en-US"/>
        </w:rPr>
      </w:pPr>
      <w:bookmarkStart w:id="46" w:name="_Toc124757334"/>
      <w:r>
        <w:rPr>
          <w:b w:val="0"/>
          <w:bCs w:val="0"/>
          <w:color w:val="auto"/>
          <w:highlight w:val="none"/>
        </w:rPr>
        <w:t>第</w:t>
      </w:r>
      <w:r>
        <w:rPr>
          <w:b w:val="0"/>
          <w:bCs w:val="0"/>
          <w:color w:val="auto"/>
          <w:highlight w:val="none"/>
          <w:lang w:val="en-US"/>
        </w:rPr>
        <w:t>二</w:t>
      </w:r>
      <w:r>
        <w:rPr>
          <w:b w:val="0"/>
          <w:bCs w:val="0"/>
          <w:color w:val="auto"/>
          <w:highlight w:val="none"/>
        </w:rPr>
        <w:t xml:space="preserve">节  </w:t>
      </w:r>
      <w:r>
        <w:rPr>
          <w:b w:val="0"/>
          <w:bCs w:val="0"/>
          <w:color w:val="auto"/>
          <w:highlight w:val="none"/>
          <w:lang w:val="en-US"/>
        </w:rPr>
        <w:t>地质概况</w:t>
      </w:r>
      <w:bookmarkEnd w:id="46"/>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一、区域地质</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color w:val="auto"/>
          <w:spacing w:val="6"/>
          <w:kern w:val="0"/>
          <w:sz w:val="30"/>
          <w:szCs w:val="30"/>
          <w:highlight w:val="none"/>
        </w:rPr>
        <w:t>沱江流域位于四川盆地北部和川中地带，上游地处龙门山脉向四川盆地过渡地带，地势由西北向东南倾斜，高差悬殊</w:t>
      </w:r>
      <w:r>
        <w:rPr>
          <w:rFonts w:hint="eastAsia"/>
          <w:color w:val="auto"/>
          <w:spacing w:val="6"/>
          <w:kern w:val="0"/>
          <w:sz w:val="30"/>
          <w:szCs w:val="30"/>
          <w:highlight w:val="none"/>
          <w:lang w:eastAsia="zh-CN"/>
        </w:rPr>
        <w:t>，</w:t>
      </w:r>
      <w:r>
        <w:rPr>
          <w:color w:val="auto"/>
          <w:spacing w:val="6"/>
          <w:kern w:val="0"/>
          <w:sz w:val="30"/>
          <w:szCs w:val="30"/>
          <w:highlight w:val="none"/>
        </w:rPr>
        <w:t>首段为龙门山区，然后进入成都平原，在金堂峡谷穿过龙泉山脉后，为四川盆地川中、川南丘陵区宽谷区。</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rFonts w:hint="eastAsia"/>
          <w:color w:val="auto"/>
          <w:spacing w:val="6"/>
          <w:kern w:val="0"/>
          <w:sz w:val="30"/>
          <w:szCs w:val="30"/>
          <w:highlight w:val="none"/>
          <w:lang w:val="en-US" w:eastAsia="zh-CN"/>
        </w:rPr>
        <w:t>流域内</w:t>
      </w:r>
      <w:r>
        <w:rPr>
          <w:color w:val="auto"/>
          <w:spacing w:val="6"/>
          <w:kern w:val="0"/>
          <w:sz w:val="30"/>
          <w:szCs w:val="30"/>
          <w:highlight w:val="none"/>
        </w:rPr>
        <w:t>大地构造属扬子准地台，横跨龙门山陷褶断束（Ⅲ</w:t>
      </w:r>
      <w:r>
        <w:rPr>
          <w:color w:val="auto"/>
          <w:spacing w:val="6"/>
          <w:kern w:val="0"/>
          <w:sz w:val="30"/>
          <w:szCs w:val="30"/>
          <w:highlight w:val="none"/>
          <w:vertAlign w:val="subscript"/>
        </w:rPr>
        <w:t>7</w:t>
      </w:r>
      <w:r>
        <w:rPr>
          <w:color w:val="auto"/>
          <w:spacing w:val="6"/>
          <w:kern w:val="0"/>
          <w:sz w:val="30"/>
          <w:szCs w:val="30"/>
          <w:highlight w:val="none"/>
        </w:rPr>
        <w:t>）、川西台坳（Ⅲ</w:t>
      </w:r>
      <w:r>
        <w:rPr>
          <w:color w:val="auto"/>
          <w:spacing w:val="6"/>
          <w:kern w:val="0"/>
          <w:sz w:val="30"/>
          <w:szCs w:val="30"/>
          <w:highlight w:val="none"/>
          <w:vertAlign w:val="subscript"/>
        </w:rPr>
        <w:t>14</w:t>
      </w:r>
      <w:r>
        <w:rPr>
          <w:color w:val="auto"/>
          <w:spacing w:val="6"/>
          <w:kern w:val="0"/>
          <w:sz w:val="30"/>
          <w:szCs w:val="30"/>
          <w:highlight w:val="none"/>
        </w:rPr>
        <w:t>）、川中台拱（Ⅲ</w:t>
      </w:r>
      <w:r>
        <w:rPr>
          <w:color w:val="auto"/>
          <w:spacing w:val="6"/>
          <w:kern w:val="0"/>
          <w:sz w:val="30"/>
          <w:szCs w:val="30"/>
          <w:highlight w:val="none"/>
          <w:vertAlign w:val="subscript"/>
        </w:rPr>
        <w:t>13</w:t>
      </w:r>
      <w:r>
        <w:rPr>
          <w:color w:val="auto"/>
          <w:spacing w:val="6"/>
          <w:kern w:val="0"/>
          <w:sz w:val="30"/>
          <w:szCs w:val="30"/>
          <w:highlight w:val="none"/>
        </w:rPr>
        <w:t>）、川东陷褶束（Ⅲ</w:t>
      </w:r>
      <w:r>
        <w:rPr>
          <w:color w:val="auto"/>
          <w:spacing w:val="6"/>
          <w:kern w:val="0"/>
          <w:sz w:val="30"/>
          <w:szCs w:val="30"/>
          <w:highlight w:val="none"/>
          <w:vertAlign w:val="subscript"/>
        </w:rPr>
        <w:t>16</w:t>
      </w:r>
      <w:r>
        <w:rPr>
          <w:color w:val="auto"/>
          <w:spacing w:val="6"/>
          <w:kern w:val="0"/>
          <w:sz w:val="30"/>
          <w:szCs w:val="30"/>
          <w:highlight w:val="none"/>
        </w:rPr>
        <w:t>）四个三级构造单元，区域构造稳定性相差较大。</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color w:val="auto"/>
          <w:spacing w:val="6"/>
          <w:kern w:val="0"/>
          <w:sz w:val="30"/>
          <w:szCs w:val="30"/>
          <w:highlight w:val="none"/>
        </w:rPr>
        <w:t>根据《中国地震动参数区划图》（GB18306-2015），德阳段以龙门山前山断裂为边界，什邡金花至绵竹汉旺一线以北，工程区地震动峰值加速度为0.20g，相应地震基本烈度为Ⅷ度，区域构造稳定性差。什邡金花至绵竹汉旺一线以南，中江</w:t>
      </w:r>
      <w:r>
        <w:rPr>
          <w:rFonts w:hint="eastAsia"/>
          <w:color w:val="auto"/>
          <w:spacing w:val="6"/>
          <w:kern w:val="0"/>
          <w:sz w:val="30"/>
          <w:szCs w:val="30"/>
          <w:highlight w:val="none"/>
          <w:lang w:val="en-US" w:eastAsia="zh-CN"/>
        </w:rPr>
        <w:t>至</w:t>
      </w:r>
      <w:r>
        <w:rPr>
          <w:color w:val="auto"/>
          <w:spacing w:val="6"/>
          <w:kern w:val="0"/>
          <w:sz w:val="30"/>
          <w:szCs w:val="30"/>
          <w:highlight w:val="none"/>
        </w:rPr>
        <w:t>简阳一线以北，工程区地震动峰值加速度为0.15g～0.10g，对应地震基本烈度为Ⅶ度，区域构造稳定性较差。</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color w:val="auto"/>
          <w:spacing w:val="6"/>
          <w:kern w:val="0"/>
          <w:sz w:val="30"/>
          <w:szCs w:val="30"/>
          <w:highlight w:val="none"/>
        </w:rPr>
        <w:t>川中盆地在大地构造上位于扬子准地台四川台坳西部，次一级构造则位于龙泉山大断裂南东侧，四川盆地弱活动断裂区。中江</w:t>
      </w:r>
      <w:r>
        <w:rPr>
          <w:rFonts w:hint="eastAsia"/>
          <w:color w:val="auto"/>
          <w:spacing w:val="6"/>
          <w:kern w:val="0"/>
          <w:sz w:val="30"/>
          <w:szCs w:val="30"/>
          <w:highlight w:val="none"/>
          <w:lang w:val="en-US" w:eastAsia="zh-CN"/>
        </w:rPr>
        <w:t>至</w:t>
      </w:r>
      <w:r>
        <w:rPr>
          <w:color w:val="auto"/>
          <w:spacing w:val="6"/>
          <w:kern w:val="0"/>
          <w:sz w:val="30"/>
          <w:szCs w:val="30"/>
          <w:highlight w:val="none"/>
        </w:rPr>
        <w:t>简阳一线以南的川中台拱（Ⅲ</w:t>
      </w:r>
      <w:r>
        <w:rPr>
          <w:color w:val="auto"/>
          <w:spacing w:val="6"/>
          <w:kern w:val="0"/>
          <w:sz w:val="30"/>
          <w:szCs w:val="30"/>
          <w:highlight w:val="none"/>
          <w:vertAlign w:val="subscript"/>
        </w:rPr>
        <w:t>13</w:t>
      </w:r>
      <w:r>
        <w:rPr>
          <w:color w:val="auto"/>
          <w:spacing w:val="6"/>
          <w:kern w:val="0"/>
          <w:sz w:val="30"/>
          <w:szCs w:val="30"/>
          <w:highlight w:val="none"/>
        </w:rPr>
        <w:t>）内无大的区域性断裂分布，工程区地震动峰值加速度为0.05g，对应地震基本烈度小于Ⅵ度，区域构造稳定性好。</w:t>
      </w:r>
    </w:p>
    <w:p>
      <w:pPr>
        <w:pStyle w:val="154"/>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6"/>
          <w:kern w:val="0"/>
          <w:sz w:val="30"/>
          <w:szCs w:val="30"/>
          <w:highlight w:val="none"/>
        </w:rPr>
      </w:pPr>
      <w:r>
        <w:rPr>
          <w:color w:val="auto"/>
          <w:spacing w:val="6"/>
          <w:kern w:val="0"/>
          <w:sz w:val="30"/>
          <w:szCs w:val="30"/>
          <w:highlight w:val="none"/>
        </w:rPr>
        <w:t>川东陷褶束（Ⅲ</w:t>
      </w:r>
      <w:r>
        <w:rPr>
          <w:color w:val="auto"/>
          <w:spacing w:val="6"/>
          <w:kern w:val="0"/>
          <w:sz w:val="30"/>
          <w:szCs w:val="30"/>
          <w:highlight w:val="none"/>
          <w:vertAlign w:val="subscript"/>
        </w:rPr>
        <w:t>16</w:t>
      </w:r>
      <w:r>
        <w:rPr>
          <w:color w:val="auto"/>
          <w:spacing w:val="6"/>
          <w:kern w:val="0"/>
          <w:sz w:val="30"/>
          <w:szCs w:val="30"/>
          <w:highlight w:val="none"/>
        </w:rPr>
        <w:t>）在自贡台凹一带相对复杂</w:t>
      </w:r>
      <w:r>
        <w:rPr>
          <w:rFonts w:hint="eastAsia"/>
          <w:color w:val="auto"/>
          <w:spacing w:val="6"/>
          <w:kern w:val="0"/>
          <w:sz w:val="30"/>
          <w:szCs w:val="30"/>
          <w:highlight w:val="none"/>
          <w:lang w:eastAsia="zh-CN"/>
        </w:rPr>
        <w:t>，</w:t>
      </w:r>
      <w:r>
        <w:rPr>
          <w:color w:val="auto"/>
          <w:spacing w:val="6"/>
          <w:kern w:val="0"/>
          <w:sz w:val="30"/>
          <w:szCs w:val="30"/>
          <w:highlight w:val="none"/>
        </w:rPr>
        <w:t>发育有威远断裂</w:t>
      </w:r>
      <w:r>
        <w:rPr>
          <w:rFonts w:hint="eastAsia"/>
          <w:color w:val="auto"/>
          <w:spacing w:val="6"/>
          <w:kern w:val="0"/>
          <w:sz w:val="30"/>
          <w:szCs w:val="30"/>
          <w:highlight w:val="none"/>
          <w:lang w:eastAsia="zh-CN"/>
        </w:rPr>
        <w:t>、</w:t>
      </w:r>
      <w:r>
        <w:rPr>
          <w:color w:val="auto"/>
          <w:spacing w:val="6"/>
          <w:kern w:val="0"/>
          <w:sz w:val="30"/>
          <w:szCs w:val="30"/>
          <w:highlight w:val="none"/>
        </w:rPr>
        <w:t>岷江断裂</w:t>
      </w:r>
      <w:r>
        <w:rPr>
          <w:rFonts w:hint="eastAsia"/>
          <w:color w:val="auto"/>
          <w:spacing w:val="6"/>
          <w:kern w:val="0"/>
          <w:sz w:val="30"/>
          <w:szCs w:val="30"/>
          <w:highlight w:val="none"/>
          <w:lang w:eastAsia="zh-CN"/>
        </w:rPr>
        <w:t>、</w:t>
      </w:r>
      <w:r>
        <w:rPr>
          <w:color w:val="auto"/>
          <w:spacing w:val="6"/>
          <w:kern w:val="0"/>
          <w:sz w:val="30"/>
          <w:szCs w:val="30"/>
          <w:highlight w:val="none"/>
        </w:rPr>
        <w:t>华蓥山断裂带的南西段。自贡段受威远断裂</w:t>
      </w:r>
      <w:r>
        <w:rPr>
          <w:rFonts w:hint="eastAsia"/>
          <w:color w:val="auto"/>
          <w:spacing w:val="6"/>
          <w:kern w:val="0"/>
          <w:sz w:val="30"/>
          <w:szCs w:val="30"/>
          <w:highlight w:val="none"/>
          <w:lang w:eastAsia="zh-CN"/>
        </w:rPr>
        <w:t>、</w:t>
      </w:r>
      <w:r>
        <w:rPr>
          <w:color w:val="auto"/>
          <w:spacing w:val="6"/>
          <w:kern w:val="0"/>
          <w:sz w:val="30"/>
          <w:szCs w:val="30"/>
          <w:highlight w:val="none"/>
        </w:rPr>
        <w:t>岷江断裂、华蓥山断裂带的影响，地震动峰值加速度为0.10g，</w:t>
      </w:r>
      <w:r>
        <w:rPr>
          <w:rFonts w:hint="eastAsia"/>
          <w:color w:val="auto"/>
          <w:spacing w:val="6"/>
          <w:kern w:val="0"/>
          <w:sz w:val="30"/>
          <w:szCs w:val="30"/>
          <w:highlight w:val="none"/>
          <w:lang w:eastAsia="zh-CN"/>
        </w:rPr>
        <w:t>对</w:t>
      </w:r>
      <w:r>
        <w:rPr>
          <w:color w:val="auto"/>
          <w:spacing w:val="6"/>
          <w:kern w:val="0"/>
          <w:sz w:val="30"/>
          <w:szCs w:val="30"/>
          <w:highlight w:val="none"/>
        </w:rPr>
        <w:t>应地震基本烈度为Ⅶ度，区域构造稳定性较差。泸州</w:t>
      </w:r>
      <w:r>
        <w:rPr>
          <w:rFonts w:hint="eastAsia"/>
          <w:color w:val="auto"/>
          <w:spacing w:val="6"/>
          <w:kern w:val="0"/>
          <w:sz w:val="30"/>
          <w:szCs w:val="30"/>
          <w:highlight w:val="none"/>
          <w:lang w:val="en-US" w:eastAsia="zh-CN"/>
        </w:rPr>
        <w:t>段</w:t>
      </w:r>
      <w:r>
        <w:rPr>
          <w:color w:val="auto"/>
          <w:spacing w:val="6"/>
          <w:kern w:val="0"/>
          <w:sz w:val="30"/>
          <w:szCs w:val="30"/>
          <w:highlight w:val="none"/>
        </w:rPr>
        <w:t>地震动峰值加速度为0.05g，对应的地震基本烈度为Ⅵ度，区域构造稳定性好。</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二、工程地质</w:t>
      </w:r>
    </w:p>
    <w:p>
      <w:pPr>
        <w:pStyle w:val="154"/>
        <w:pageBreakBefore w:val="0"/>
        <w:widowControl w:val="0"/>
        <w:kinsoku/>
        <w:wordWrap/>
        <w:overflowPunct/>
        <w:topLinePunct w:val="0"/>
        <w:autoSpaceDE/>
        <w:autoSpaceDN/>
        <w:bidi w:val="0"/>
        <w:adjustRightInd/>
        <w:snapToGrid/>
        <w:ind w:firstLine="586"/>
        <w:textAlignment w:val="auto"/>
        <w:rPr>
          <w:color w:val="auto"/>
          <w:spacing w:val="6"/>
          <w:kern w:val="0"/>
          <w:sz w:val="30"/>
          <w:szCs w:val="30"/>
          <w:highlight w:val="none"/>
        </w:rPr>
      </w:pPr>
      <w:r>
        <w:rPr>
          <w:color w:val="auto"/>
          <w:spacing w:val="6"/>
          <w:kern w:val="0"/>
          <w:sz w:val="30"/>
          <w:szCs w:val="30"/>
          <w:highlight w:val="none"/>
        </w:rPr>
        <w:t>本次规划水库均具备建坝地质条件。大坝主要工程地质问题</w:t>
      </w:r>
      <w:r>
        <w:rPr>
          <w:rFonts w:hint="eastAsia"/>
          <w:color w:val="auto"/>
          <w:spacing w:val="6"/>
          <w:kern w:val="0"/>
          <w:sz w:val="30"/>
          <w:szCs w:val="30"/>
          <w:highlight w:val="none"/>
          <w:lang w:val="en-US" w:eastAsia="zh-CN"/>
        </w:rPr>
        <w:t>为</w:t>
      </w:r>
      <w:r>
        <w:rPr>
          <w:color w:val="auto"/>
          <w:spacing w:val="6"/>
          <w:kern w:val="0"/>
          <w:sz w:val="30"/>
          <w:szCs w:val="30"/>
          <w:highlight w:val="none"/>
        </w:rPr>
        <w:t>坝基、坝肩渗漏问题，可采取帷幕防渗措施处理。</w:t>
      </w:r>
    </w:p>
    <w:p>
      <w:pPr>
        <w:pStyle w:val="154"/>
        <w:ind w:firstLine="586"/>
        <w:rPr>
          <w:color w:val="auto"/>
          <w:spacing w:val="6"/>
          <w:kern w:val="0"/>
          <w:sz w:val="30"/>
          <w:szCs w:val="30"/>
          <w:highlight w:val="none"/>
        </w:rPr>
      </w:pPr>
      <w:r>
        <w:rPr>
          <w:color w:val="auto"/>
          <w:spacing w:val="6"/>
          <w:kern w:val="0"/>
          <w:sz w:val="30"/>
          <w:szCs w:val="30"/>
          <w:highlight w:val="none"/>
        </w:rPr>
        <w:t>规划堤防</w:t>
      </w:r>
      <w:r>
        <w:rPr>
          <w:rFonts w:hint="eastAsia"/>
          <w:color w:val="auto"/>
          <w:spacing w:val="6"/>
          <w:kern w:val="0"/>
          <w:sz w:val="30"/>
          <w:szCs w:val="30"/>
          <w:highlight w:val="none"/>
          <w:lang w:val="en-US" w:eastAsia="zh-CN"/>
        </w:rPr>
        <w:t>主要</w:t>
      </w:r>
      <w:r>
        <w:rPr>
          <w:color w:val="auto"/>
          <w:spacing w:val="6"/>
          <w:kern w:val="0"/>
          <w:sz w:val="30"/>
          <w:szCs w:val="30"/>
          <w:highlight w:val="none"/>
        </w:rPr>
        <w:t>沿漫滩、</w:t>
      </w:r>
      <w:r>
        <w:rPr>
          <w:rFonts w:hint="eastAsia"/>
          <w:color w:val="auto"/>
          <w:spacing w:val="6"/>
          <w:kern w:val="0"/>
          <w:sz w:val="30"/>
          <w:szCs w:val="30"/>
          <w:highlight w:val="none"/>
          <w:lang w:val="en-US" w:eastAsia="zh-CN"/>
        </w:rPr>
        <w:t>一</w:t>
      </w:r>
      <w:r>
        <w:rPr>
          <w:color w:val="auto"/>
          <w:spacing w:val="6"/>
          <w:kern w:val="0"/>
          <w:sz w:val="30"/>
          <w:szCs w:val="30"/>
          <w:highlight w:val="none"/>
        </w:rPr>
        <w:t>级阶地前缘或河床岸边基岩陡坎</w:t>
      </w:r>
      <w:r>
        <w:rPr>
          <w:rFonts w:hint="eastAsia"/>
          <w:color w:val="auto"/>
          <w:spacing w:val="6"/>
          <w:kern w:val="0"/>
          <w:sz w:val="30"/>
          <w:szCs w:val="30"/>
          <w:highlight w:val="none"/>
          <w:lang w:val="en-US" w:eastAsia="zh-CN"/>
        </w:rPr>
        <w:t>布置</w:t>
      </w:r>
      <w:r>
        <w:rPr>
          <w:color w:val="auto"/>
          <w:spacing w:val="6"/>
          <w:kern w:val="0"/>
          <w:sz w:val="30"/>
          <w:szCs w:val="30"/>
          <w:highlight w:val="none"/>
        </w:rPr>
        <w:t>。堤防工程地质条件分类</w:t>
      </w:r>
      <w:r>
        <w:rPr>
          <w:rFonts w:hint="eastAsia"/>
          <w:color w:val="auto"/>
          <w:spacing w:val="6"/>
          <w:kern w:val="0"/>
          <w:sz w:val="30"/>
          <w:szCs w:val="30"/>
          <w:highlight w:val="none"/>
          <w:lang w:val="en-US" w:eastAsia="zh-CN"/>
        </w:rPr>
        <w:t>包括</w:t>
      </w:r>
      <w:r>
        <w:rPr>
          <w:color w:val="auto"/>
          <w:spacing w:val="6"/>
          <w:kern w:val="0"/>
          <w:sz w:val="30"/>
          <w:szCs w:val="30"/>
          <w:highlight w:val="none"/>
        </w:rPr>
        <w:t>基岩单一结构（Ⅰ-1）、砂卵石单一结构（Ⅰ-2）、双层结构（Ⅱ）和多层结构（Ⅲ）四大类。堤防护岸地基稳定性较好，其中粉砂质泥岩堤段易风化剥落，抗冲刷能力相对较差，应采取衬护措施。各堤防所需建材类型</w:t>
      </w:r>
      <w:r>
        <w:rPr>
          <w:rFonts w:hint="eastAsia"/>
          <w:color w:val="auto"/>
          <w:spacing w:val="6"/>
          <w:kern w:val="0"/>
          <w:sz w:val="30"/>
          <w:szCs w:val="30"/>
          <w:highlight w:val="none"/>
          <w:lang w:val="en-US" w:eastAsia="zh-CN"/>
        </w:rPr>
        <w:t>包括</w:t>
      </w:r>
      <w:r>
        <w:rPr>
          <w:color w:val="auto"/>
          <w:spacing w:val="6"/>
          <w:kern w:val="0"/>
          <w:sz w:val="30"/>
          <w:szCs w:val="30"/>
          <w:highlight w:val="none"/>
        </w:rPr>
        <w:t>土料、石渣料、砂砾石料和条（块）石料，料源均较丰富，采运条件较好。</w:t>
      </w:r>
    </w:p>
    <w:p>
      <w:pPr>
        <w:pStyle w:val="3"/>
        <w:keepNext/>
        <w:keepLines/>
        <w:pageBreakBefore w:val="0"/>
        <w:widowControl w:val="0"/>
        <w:kinsoku/>
        <w:wordWrap/>
        <w:overflowPunct/>
        <w:topLinePunct w:val="0"/>
        <w:autoSpaceDE/>
        <w:autoSpaceDN/>
        <w:bidi w:val="0"/>
        <w:adjustRightInd/>
        <w:snapToGrid/>
        <w:spacing w:line="540" w:lineRule="exact"/>
        <w:textAlignment w:val="auto"/>
        <w:rPr>
          <w:color w:val="auto"/>
          <w:highlight w:val="none"/>
        </w:rPr>
      </w:pPr>
      <w:r>
        <w:rPr>
          <w:color w:val="auto"/>
          <w:highlight w:val="none"/>
        </w:rPr>
        <w:br w:type="page"/>
      </w:r>
      <w:bookmarkStart w:id="47" w:name="_Toc124757335"/>
    </w:p>
    <w:p>
      <w:pPr>
        <w:pStyle w:val="3"/>
        <w:keepNext/>
        <w:keepLines/>
        <w:pageBreakBefore w:val="0"/>
        <w:widowControl w:val="0"/>
        <w:numPr>
          <w:ilvl w:val="0"/>
          <w:numId w:val="7"/>
        </w:numPr>
        <w:kinsoku/>
        <w:wordWrap/>
        <w:overflowPunct/>
        <w:topLinePunct w:val="0"/>
        <w:autoSpaceDE/>
        <w:autoSpaceDN/>
        <w:bidi w:val="0"/>
        <w:adjustRightInd/>
        <w:snapToGrid/>
        <w:spacing w:line="540" w:lineRule="exact"/>
        <w:textAlignment w:val="auto"/>
        <w:rPr>
          <w:b w:val="0"/>
          <w:bCs w:val="0"/>
          <w:color w:val="auto"/>
          <w:highlight w:val="none"/>
        </w:rPr>
      </w:pPr>
      <w:r>
        <w:rPr>
          <w:b w:val="0"/>
          <w:bCs w:val="0"/>
          <w:color w:val="auto"/>
          <w:highlight w:val="none"/>
        </w:rPr>
        <w:t xml:space="preserve"> 总体规划</w:t>
      </w:r>
      <w:bookmarkEnd w:id="47"/>
    </w:p>
    <w:p>
      <w:pPr>
        <w:pageBreakBefore w:val="0"/>
        <w:widowControl w:val="0"/>
        <w:numPr>
          <w:ilvl w:val="0"/>
          <w:numId w:val="0"/>
        </w:numPr>
        <w:kinsoku/>
        <w:wordWrap/>
        <w:overflowPunct/>
        <w:topLinePunct w:val="0"/>
        <w:autoSpaceDE/>
        <w:autoSpaceDN/>
        <w:bidi w:val="0"/>
        <w:adjustRightInd/>
        <w:snapToGrid/>
        <w:spacing w:line="560" w:lineRule="exact"/>
        <w:textAlignment w:val="auto"/>
      </w:pPr>
    </w:p>
    <w:p>
      <w:pPr>
        <w:pStyle w:val="4"/>
        <w:keepNext/>
        <w:keepLines/>
        <w:pageBreakBefore w:val="0"/>
        <w:widowControl w:val="0"/>
        <w:kinsoku/>
        <w:wordWrap/>
        <w:overflowPunct/>
        <w:topLinePunct w:val="0"/>
        <w:autoSpaceDE/>
        <w:autoSpaceDN/>
        <w:bidi w:val="0"/>
        <w:adjustRightInd/>
        <w:snapToGrid/>
        <w:spacing w:before="0" w:after="0" w:line="560" w:lineRule="exact"/>
        <w:textAlignment w:val="auto"/>
        <w:rPr>
          <w:b w:val="0"/>
          <w:bCs w:val="0"/>
          <w:color w:val="auto"/>
          <w:highlight w:val="none"/>
        </w:rPr>
      </w:pPr>
      <w:bookmarkStart w:id="48" w:name="_Toc124757336"/>
      <w:r>
        <w:rPr>
          <w:b w:val="0"/>
          <w:bCs w:val="0"/>
          <w:color w:val="auto"/>
          <w:highlight w:val="none"/>
        </w:rPr>
        <w:t>第一节  指导思想和</w:t>
      </w:r>
      <w:r>
        <w:rPr>
          <w:rFonts w:hint="eastAsia"/>
          <w:b w:val="0"/>
          <w:bCs w:val="0"/>
          <w:color w:val="auto"/>
          <w:highlight w:val="none"/>
          <w:lang w:val="en-US" w:eastAsia="zh-CN"/>
        </w:rPr>
        <w:t>基本</w:t>
      </w:r>
      <w:r>
        <w:rPr>
          <w:b w:val="0"/>
          <w:bCs w:val="0"/>
          <w:color w:val="auto"/>
          <w:highlight w:val="none"/>
        </w:rPr>
        <w:t>原则</w:t>
      </w:r>
      <w:bookmarkEnd w:id="48"/>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一、指导思想</w:t>
      </w:r>
    </w:p>
    <w:p>
      <w:pPr>
        <w:pStyle w:val="154"/>
        <w:keepNext w:val="0"/>
        <w:keepLines w:val="0"/>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highlight w:val="none"/>
        </w:rPr>
      </w:pPr>
      <w:r>
        <w:rPr>
          <w:color w:val="auto"/>
          <w:sz w:val="30"/>
          <w:szCs w:val="30"/>
          <w:highlight w:val="none"/>
        </w:rPr>
        <w:t>以习近平新时代中国特色社会主义思想和党的二十大精神为指导，立足新发展阶段、贯彻新发展理念、构建新发展格局，推进高质量发展，落实习近平总书记</w:t>
      </w:r>
      <w:r>
        <w:rPr>
          <w:rFonts w:hint="eastAsia"/>
          <w:color w:val="auto"/>
          <w:sz w:val="30"/>
          <w:szCs w:val="30"/>
          <w:highlight w:val="none"/>
          <w:lang w:eastAsia="zh-CN"/>
        </w:rPr>
        <w:t>“</w:t>
      </w:r>
      <w:r>
        <w:rPr>
          <w:color w:val="auto"/>
          <w:sz w:val="30"/>
          <w:szCs w:val="30"/>
          <w:highlight w:val="none"/>
        </w:rPr>
        <w:t>十六字</w:t>
      </w:r>
      <w:r>
        <w:rPr>
          <w:rFonts w:hint="eastAsia"/>
          <w:color w:val="auto"/>
          <w:sz w:val="30"/>
          <w:szCs w:val="30"/>
          <w:highlight w:val="none"/>
          <w:lang w:eastAsia="zh-CN"/>
        </w:rPr>
        <w:t>”</w:t>
      </w:r>
      <w:r>
        <w:rPr>
          <w:color w:val="auto"/>
          <w:sz w:val="30"/>
          <w:szCs w:val="30"/>
          <w:highlight w:val="none"/>
        </w:rPr>
        <w:t>治水思路和关于治水防灾</w:t>
      </w:r>
      <w:r>
        <w:rPr>
          <w:rFonts w:hint="eastAsia"/>
          <w:color w:val="auto"/>
          <w:sz w:val="30"/>
          <w:szCs w:val="30"/>
          <w:highlight w:val="none"/>
          <w:lang w:val="en-US" w:eastAsia="zh-CN"/>
        </w:rPr>
        <w:t>减灾救灾</w:t>
      </w:r>
      <w:r>
        <w:rPr>
          <w:color w:val="auto"/>
          <w:sz w:val="30"/>
          <w:szCs w:val="30"/>
          <w:highlight w:val="none"/>
        </w:rPr>
        <w:t>重要讲话指示批示精神，以促进人水和谐为主线，准确把握四川省委</w:t>
      </w:r>
      <w:r>
        <w:rPr>
          <w:rFonts w:hint="eastAsia"/>
          <w:color w:val="auto"/>
          <w:sz w:val="30"/>
          <w:szCs w:val="30"/>
          <w:highlight w:val="none"/>
          <w:lang w:eastAsia="zh-CN"/>
        </w:rPr>
        <w:t>“</w:t>
      </w:r>
      <w:r>
        <w:rPr>
          <w:color w:val="auto"/>
          <w:sz w:val="30"/>
          <w:szCs w:val="30"/>
          <w:highlight w:val="none"/>
        </w:rPr>
        <w:t>讲政治、抓发展、惠民生、保安全</w:t>
      </w:r>
      <w:r>
        <w:rPr>
          <w:rFonts w:hint="eastAsia"/>
          <w:color w:val="auto"/>
          <w:sz w:val="30"/>
          <w:szCs w:val="30"/>
          <w:highlight w:val="none"/>
          <w:lang w:eastAsia="zh-CN"/>
        </w:rPr>
        <w:t>”</w:t>
      </w:r>
      <w:r>
        <w:rPr>
          <w:color w:val="auto"/>
          <w:sz w:val="30"/>
          <w:szCs w:val="30"/>
          <w:highlight w:val="none"/>
        </w:rPr>
        <w:t>总体工作思路，贯彻落实</w:t>
      </w:r>
      <w:r>
        <w:rPr>
          <w:rFonts w:hint="eastAsia"/>
          <w:color w:val="auto"/>
          <w:sz w:val="30"/>
          <w:szCs w:val="30"/>
          <w:highlight w:val="none"/>
          <w:lang w:eastAsia="zh-CN"/>
        </w:rPr>
        <w:t>“</w:t>
      </w:r>
      <w:r>
        <w:rPr>
          <w:color w:val="auto"/>
          <w:sz w:val="30"/>
          <w:szCs w:val="30"/>
          <w:highlight w:val="none"/>
        </w:rPr>
        <w:t>四化同步、城乡融合、五区共兴</w:t>
      </w:r>
      <w:r>
        <w:rPr>
          <w:rFonts w:hint="eastAsia"/>
          <w:color w:val="auto"/>
          <w:sz w:val="30"/>
          <w:szCs w:val="30"/>
          <w:highlight w:val="none"/>
          <w:lang w:eastAsia="zh-CN"/>
        </w:rPr>
        <w:t>”</w:t>
      </w:r>
      <w:r>
        <w:rPr>
          <w:color w:val="auto"/>
          <w:sz w:val="30"/>
          <w:szCs w:val="30"/>
          <w:highlight w:val="none"/>
        </w:rPr>
        <w:t>发展战略，始终把保障人民群众生命财产安全放在第一位，坚持系统观念，统筹发展和安全，协调防洪减灾与资源开发、防洪建设与洪水管理、生态环境保护的关系，强化底线思维，加强流域系统治理，优化流域防洪工程布局，通过固底板、补短板、锻长板，加快完善由河道治理、水库、堤防、分蓄洪工程等工程措施及非工程措施组成的现代化防洪体系，大幅提</w:t>
      </w:r>
      <w:r>
        <w:rPr>
          <w:rFonts w:hint="eastAsia"/>
          <w:color w:val="auto"/>
          <w:sz w:val="30"/>
          <w:szCs w:val="30"/>
          <w:highlight w:val="none"/>
          <w:lang w:val="en-US" w:eastAsia="zh-CN"/>
        </w:rPr>
        <w:t>高</w:t>
      </w:r>
      <w:r>
        <w:rPr>
          <w:color w:val="auto"/>
          <w:sz w:val="30"/>
          <w:szCs w:val="30"/>
          <w:highlight w:val="none"/>
        </w:rPr>
        <w:t>洪涝灾害防御能力，为流域全面建设社会主义现代化提供可靠有力的防洪安全保障。</w:t>
      </w:r>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二、基本原则</w:t>
      </w:r>
    </w:p>
    <w:p>
      <w:pPr>
        <w:pStyle w:val="154"/>
        <w:keepNext w:val="0"/>
        <w:keepLines w:val="0"/>
        <w:pageBreakBefore w:val="0"/>
        <w:widowControl w:val="0"/>
        <w:kinsoku/>
        <w:wordWrap/>
        <w:overflowPunct/>
        <w:topLinePunct w:val="0"/>
        <w:autoSpaceDE/>
        <w:autoSpaceDN/>
        <w:bidi w:val="0"/>
        <w:adjustRightInd/>
        <w:snapToGrid/>
        <w:spacing w:line="560" w:lineRule="exact"/>
        <w:ind w:firstLine="581"/>
        <w:textAlignment w:val="auto"/>
        <w:rPr>
          <w:color w:val="auto"/>
          <w:sz w:val="30"/>
          <w:szCs w:val="30"/>
          <w:highlight w:val="none"/>
        </w:rPr>
      </w:pPr>
      <w:r>
        <w:rPr>
          <w:rFonts w:hint="eastAsia" w:ascii="楷体_GB2312" w:hAnsi="楷体_GB2312" w:eastAsia="楷体_GB2312" w:cs="楷体_GB2312"/>
          <w:b w:val="0"/>
          <w:bCs w:val="0"/>
          <w:color w:val="auto"/>
          <w:sz w:val="30"/>
          <w:szCs w:val="30"/>
          <w:highlight w:val="none"/>
        </w:rPr>
        <w:t>坚持人民至上、生命至上。</w:t>
      </w:r>
      <w:r>
        <w:rPr>
          <w:color w:val="auto"/>
          <w:sz w:val="30"/>
          <w:szCs w:val="30"/>
          <w:highlight w:val="none"/>
        </w:rPr>
        <w:t>坚持</w:t>
      </w:r>
      <w:r>
        <w:rPr>
          <w:rFonts w:hint="eastAsia"/>
          <w:color w:val="auto"/>
          <w:sz w:val="30"/>
          <w:szCs w:val="30"/>
          <w:highlight w:val="none"/>
          <w:lang w:eastAsia="zh-CN"/>
        </w:rPr>
        <w:t>“</w:t>
      </w:r>
      <w:r>
        <w:rPr>
          <w:color w:val="auto"/>
          <w:sz w:val="30"/>
          <w:szCs w:val="30"/>
          <w:highlight w:val="none"/>
        </w:rPr>
        <w:t>以人民为中心</w:t>
      </w:r>
      <w:r>
        <w:rPr>
          <w:rFonts w:hint="eastAsia"/>
          <w:color w:val="auto"/>
          <w:sz w:val="30"/>
          <w:szCs w:val="30"/>
          <w:highlight w:val="none"/>
          <w:lang w:eastAsia="zh-CN"/>
        </w:rPr>
        <w:t>”</w:t>
      </w:r>
      <w:r>
        <w:rPr>
          <w:color w:val="auto"/>
          <w:sz w:val="30"/>
          <w:szCs w:val="30"/>
          <w:highlight w:val="none"/>
        </w:rPr>
        <w:t>的发展思想，着力解决人民群众最关心</w:t>
      </w:r>
      <w:r>
        <w:rPr>
          <w:rFonts w:hint="eastAsia"/>
          <w:color w:val="auto"/>
          <w:sz w:val="30"/>
          <w:szCs w:val="30"/>
          <w:highlight w:val="none"/>
          <w:lang w:eastAsia="zh-CN"/>
        </w:rPr>
        <w:t>、</w:t>
      </w:r>
      <w:r>
        <w:rPr>
          <w:color w:val="auto"/>
          <w:sz w:val="30"/>
          <w:szCs w:val="30"/>
          <w:highlight w:val="none"/>
        </w:rPr>
        <w:t>最直接</w:t>
      </w:r>
      <w:r>
        <w:rPr>
          <w:rFonts w:hint="eastAsia"/>
          <w:color w:val="auto"/>
          <w:sz w:val="30"/>
          <w:szCs w:val="30"/>
          <w:highlight w:val="none"/>
          <w:lang w:eastAsia="zh-CN"/>
        </w:rPr>
        <w:t>、</w:t>
      </w:r>
      <w:r>
        <w:rPr>
          <w:color w:val="auto"/>
          <w:sz w:val="30"/>
          <w:szCs w:val="30"/>
          <w:highlight w:val="none"/>
        </w:rPr>
        <w:t>最现实的洪涝灾害防治问题，最大限度减轻洪涝灾害损失，让人民群众的幸福感和安全感更加充实、更有保障、更可持续。</w:t>
      </w:r>
    </w:p>
    <w:p>
      <w:pPr>
        <w:pStyle w:val="154"/>
        <w:keepNext w:val="0"/>
        <w:keepLines w:val="0"/>
        <w:pageBreakBefore w:val="0"/>
        <w:widowControl w:val="0"/>
        <w:kinsoku/>
        <w:wordWrap/>
        <w:overflowPunct/>
        <w:topLinePunct w:val="0"/>
        <w:autoSpaceDE/>
        <w:autoSpaceDN/>
        <w:bidi w:val="0"/>
        <w:adjustRightInd/>
        <w:snapToGrid/>
        <w:ind w:firstLine="581"/>
        <w:textAlignment w:val="auto"/>
        <w:rPr>
          <w:color w:val="auto"/>
          <w:sz w:val="30"/>
          <w:szCs w:val="30"/>
          <w:highlight w:val="none"/>
        </w:rPr>
      </w:pPr>
      <w:r>
        <w:rPr>
          <w:rFonts w:hint="eastAsia" w:ascii="楷体_GB2312" w:hAnsi="楷体_GB2312" w:eastAsia="楷体_GB2312" w:cs="楷体_GB2312"/>
          <w:b w:val="0"/>
          <w:bCs w:val="0"/>
          <w:color w:val="auto"/>
          <w:sz w:val="30"/>
          <w:szCs w:val="30"/>
          <w:highlight w:val="none"/>
        </w:rPr>
        <w:t>坚持</w:t>
      </w:r>
      <w:bookmarkStart w:id="49" w:name="_Hlk124583506"/>
      <w:r>
        <w:rPr>
          <w:rFonts w:hint="eastAsia" w:ascii="楷体_GB2312" w:hAnsi="楷体_GB2312" w:eastAsia="楷体_GB2312" w:cs="楷体_GB2312"/>
          <w:b w:val="0"/>
          <w:bCs w:val="0"/>
          <w:color w:val="auto"/>
          <w:sz w:val="30"/>
          <w:szCs w:val="30"/>
          <w:highlight w:val="none"/>
        </w:rPr>
        <w:t>全面规划</w:t>
      </w:r>
      <w:bookmarkEnd w:id="49"/>
      <w:r>
        <w:rPr>
          <w:rFonts w:hint="eastAsia" w:ascii="楷体_GB2312" w:hAnsi="楷体_GB2312" w:eastAsia="楷体_GB2312" w:cs="楷体_GB2312"/>
          <w:b w:val="0"/>
          <w:bCs w:val="0"/>
          <w:color w:val="auto"/>
          <w:sz w:val="30"/>
          <w:szCs w:val="30"/>
          <w:highlight w:val="none"/>
        </w:rPr>
        <w:t>、系统治理。</w:t>
      </w:r>
      <w:r>
        <w:rPr>
          <w:color w:val="auto"/>
          <w:sz w:val="30"/>
          <w:szCs w:val="30"/>
          <w:highlight w:val="none"/>
        </w:rPr>
        <w:t>从流域整体</w:t>
      </w:r>
      <w:r>
        <w:rPr>
          <w:rFonts w:hint="eastAsia"/>
          <w:color w:val="auto"/>
          <w:sz w:val="30"/>
          <w:szCs w:val="30"/>
          <w:highlight w:val="none"/>
          <w:lang w:val="en-US" w:eastAsia="zh-CN"/>
        </w:rPr>
        <w:t>出发</w:t>
      </w:r>
      <w:r>
        <w:rPr>
          <w:color w:val="auto"/>
          <w:sz w:val="30"/>
          <w:szCs w:val="30"/>
          <w:highlight w:val="none"/>
        </w:rPr>
        <w:t>，把握洪水发生和演进规律，统筹协调上下游、左右岸、干支流、流域与区域、防洪与排涝、河道治理与生态保护、防洪和兴利的关系，科学规划、合理安排洪涝水出路，实施流域系统治理，发挥防洪工程体系综合效益。</w:t>
      </w:r>
    </w:p>
    <w:p>
      <w:pPr>
        <w:pStyle w:val="154"/>
        <w:ind w:firstLine="581"/>
        <w:rPr>
          <w:color w:val="auto"/>
          <w:sz w:val="30"/>
          <w:szCs w:val="30"/>
          <w:highlight w:val="none"/>
        </w:rPr>
      </w:pPr>
      <w:r>
        <w:rPr>
          <w:rFonts w:hint="eastAsia" w:ascii="楷体_GB2312" w:hAnsi="楷体_GB2312" w:eastAsia="楷体_GB2312" w:cs="楷体_GB2312"/>
          <w:b w:val="0"/>
          <w:bCs w:val="0"/>
          <w:color w:val="auto"/>
          <w:sz w:val="30"/>
          <w:szCs w:val="30"/>
          <w:highlight w:val="none"/>
        </w:rPr>
        <w:t>坚持</w:t>
      </w:r>
      <w:bookmarkStart w:id="50" w:name="_Hlk124583552"/>
      <w:r>
        <w:rPr>
          <w:rFonts w:hint="eastAsia" w:ascii="楷体_GB2312" w:hAnsi="楷体_GB2312" w:eastAsia="楷体_GB2312" w:cs="楷体_GB2312"/>
          <w:b w:val="0"/>
          <w:bCs w:val="0"/>
          <w:color w:val="auto"/>
          <w:sz w:val="30"/>
          <w:szCs w:val="30"/>
          <w:highlight w:val="none"/>
        </w:rPr>
        <w:t>分类施策</w:t>
      </w:r>
      <w:bookmarkEnd w:id="50"/>
      <w:bookmarkStart w:id="51" w:name="_Hlk124583572"/>
      <w:r>
        <w:rPr>
          <w:rFonts w:hint="eastAsia" w:ascii="楷体_GB2312" w:hAnsi="楷体_GB2312" w:eastAsia="楷体_GB2312" w:cs="楷体_GB2312"/>
          <w:b w:val="0"/>
          <w:bCs w:val="0"/>
          <w:color w:val="auto"/>
          <w:sz w:val="30"/>
          <w:szCs w:val="30"/>
          <w:highlight w:val="none"/>
        </w:rPr>
        <w:t>、突出重点</w:t>
      </w:r>
      <w:bookmarkEnd w:id="51"/>
      <w:r>
        <w:rPr>
          <w:rFonts w:hint="eastAsia" w:ascii="楷体_GB2312" w:hAnsi="楷体_GB2312" w:eastAsia="楷体_GB2312" w:cs="楷体_GB2312"/>
          <w:b w:val="0"/>
          <w:bCs w:val="0"/>
          <w:color w:val="auto"/>
          <w:sz w:val="30"/>
          <w:szCs w:val="30"/>
          <w:highlight w:val="none"/>
        </w:rPr>
        <w:t>。</w:t>
      </w:r>
      <w:r>
        <w:rPr>
          <w:color w:val="auto"/>
          <w:sz w:val="30"/>
          <w:szCs w:val="30"/>
          <w:highlight w:val="none"/>
        </w:rPr>
        <w:t>流域</w:t>
      </w:r>
      <w:r>
        <w:rPr>
          <w:rFonts w:hint="eastAsia"/>
          <w:color w:val="auto"/>
          <w:sz w:val="30"/>
          <w:szCs w:val="30"/>
          <w:highlight w:val="none"/>
          <w:lang w:val="en-US" w:eastAsia="zh-CN"/>
        </w:rPr>
        <w:t>规划的</w:t>
      </w:r>
      <w:r>
        <w:rPr>
          <w:color w:val="auto"/>
          <w:sz w:val="30"/>
          <w:szCs w:val="30"/>
          <w:highlight w:val="none"/>
        </w:rPr>
        <w:t>防洪工程</w:t>
      </w:r>
      <w:r>
        <w:rPr>
          <w:rFonts w:hint="eastAsia"/>
          <w:color w:val="auto"/>
          <w:sz w:val="30"/>
          <w:szCs w:val="30"/>
          <w:highlight w:val="none"/>
          <w:lang w:val="en-US" w:eastAsia="zh-CN"/>
        </w:rPr>
        <w:t>措施</w:t>
      </w:r>
      <w:r>
        <w:rPr>
          <w:color w:val="auto"/>
          <w:sz w:val="30"/>
          <w:szCs w:val="30"/>
          <w:highlight w:val="none"/>
        </w:rPr>
        <w:t>和</w:t>
      </w:r>
      <w:r>
        <w:rPr>
          <w:rFonts w:hint="eastAsia"/>
          <w:color w:val="auto"/>
          <w:sz w:val="30"/>
          <w:szCs w:val="30"/>
          <w:highlight w:val="none"/>
          <w:lang w:val="en-US" w:eastAsia="zh-CN"/>
        </w:rPr>
        <w:t>非工程措施</w:t>
      </w:r>
      <w:bookmarkStart w:id="52" w:name="_Hlk124583597"/>
      <w:r>
        <w:rPr>
          <w:color w:val="auto"/>
          <w:sz w:val="30"/>
          <w:szCs w:val="30"/>
          <w:highlight w:val="none"/>
        </w:rPr>
        <w:t>，因地制宜，分类施策，</w:t>
      </w:r>
      <w:bookmarkEnd w:id="52"/>
      <w:r>
        <w:rPr>
          <w:color w:val="auto"/>
          <w:sz w:val="30"/>
          <w:szCs w:val="30"/>
          <w:highlight w:val="none"/>
        </w:rPr>
        <w:t>重点解决中上游防洪工程体系短板和薄弱环节，优先治理洪灾严重、人口密集、保护对象重要、隐患突出的河流和区域，切实提高洪涝灾害防治成效。</w:t>
      </w:r>
    </w:p>
    <w:p>
      <w:pPr>
        <w:pStyle w:val="154"/>
        <w:ind w:firstLine="581"/>
        <w:rPr>
          <w:color w:val="auto"/>
          <w:sz w:val="30"/>
          <w:szCs w:val="30"/>
          <w:highlight w:val="none"/>
        </w:rPr>
      </w:pPr>
      <w:r>
        <w:rPr>
          <w:rFonts w:hint="eastAsia" w:ascii="楷体_GB2312" w:hAnsi="楷体_GB2312" w:eastAsia="楷体_GB2312" w:cs="楷体_GB2312"/>
          <w:b w:val="0"/>
          <w:bCs w:val="0"/>
          <w:color w:val="auto"/>
          <w:sz w:val="30"/>
          <w:szCs w:val="30"/>
          <w:highlight w:val="none"/>
        </w:rPr>
        <w:t>坚持风险防控、确保安全。</w:t>
      </w:r>
      <w:r>
        <w:rPr>
          <w:color w:val="auto"/>
          <w:sz w:val="30"/>
          <w:szCs w:val="30"/>
          <w:highlight w:val="none"/>
        </w:rPr>
        <w:t>强化底线思维，增强忧患意识，科学提升洪涝灾害防御工程标准，防洪工程</w:t>
      </w:r>
      <w:r>
        <w:rPr>
          <w:rFonts w:hint="eastAsia"/>
          <w:color w:val="auto"/>
          <w:sz w:val="30"/>
          <w:szCs w:val="30"/>
          <w:highlight w:val="none"/>
          <w:lang w:val="en-US" w:eastAsia="zh-CN"/>
        </w:rPr>
        <w:t>措施</w:t>
      </w:r>
      <w:r>
        <w:rPr>
          <w:color w:val="auto"/>
          <w:sz w:val="30"/>
          <w:szCs w:val="30"/>
          <w:highlight w:val="none"/>
        </w:rPr>
        <w:t>和非工程措施相结合，有效防范洪涝灾害风险隐患，增强防御大洪水的能力，确保防洪安全。逐步推进数字孪生流域建设，加强防洪工程体系调度精细化决策，提高洪水风险防控能力。</w:t>
      </w:r>
    </w:p>
    <w:p>
      <w:pPr>
        <w:pStyle w:val="154"/>
        <w:pageBreakBefore w:val="0"/>
        <w:widowControl w:val="0"/>
        <w:kinsoku/>
        <w:wordWrap/>
        <w:overflowPunct/>
        <w:topLinePunct w:val="0"/>
        <w:autoSpaceDE/>
        <w:autoSpaceDN/>
        <w:bidi w:val="0"/>
        <w:adjustRightInd/>
        <w:snapToGrid/>
        <w:ind w:firstLine="581"/>
        <w:textAlignment w:val="auto"/>
        <w:rPr>
          <w:color w:val="auto"/>
          <w:sz w:val="30"/>
          <w:szCs w:val="30"/>
          <w:highlight w:val="none"/>
        </w:rPr>
      </w:pPr>
      <w:r>
        <w:rPr>
          <w:rFonts w:hint="eastAsia" w:ascii="楷体_GB2312" w:hAnsi="楷体_GB2312" w:eastAsia="楷体_GB2312" w:cs="楷体_GB2312"/>
          <w:b w:val="0"/>
          <w:bCs/>
          <w:color w:val="auto"/>
          <w:sz w:val="30"/>
          <w:szCs w:val="30"/>
          <w:highlight w:val="none"/>
        </w:rPr>
        <w:t>坚持节约集约用地，严守耕地红线。</w:t>
      </w:r>
      <w:r>
        <w:rPr>
          <w:color w:val="auto"/>
          <w:sz w:val="30"/>
          <w:szCs w:val="30"/>
          <w:highlight w:val="none"/>
        </w:rPr>
        <w:t>在</w:t>
      </w:r>
      <w:r>
        <w:rPr>
          <w:rFonts w:hint="eastAsia"/>
          <w:color w:val="auto"/>
          <w:sz w:val="30"/>
          <w:szCs w:val="30"/>
          <w:highlight w:val="none"/>
          <w:lang w:val="en-US" w:eastAsia="zh-CN"/>
        </w:rPr>
        <w:t>流域防洪</w:t>
      </w:r>
      <w:r>
        <w:rPr>
          <w:color w:val="auto"/>
          <w:sz w:val="30"/>
          <w:szCs w:val="30"/>
          <w:highlight w:val="none"/>
        </w:rPr>
        <w:t>规划制定和防洪工程建设中</w:t>
      </w:r>
      <w:r>
        <w:rPr>
          <w:rFonts w:hint="eastAsia"/>
          <w:color w:val="auto"/>
          <w:sz w:val="30"/>
          <w:szCs w:val="30"/>
          <w:highlight w:val="none"/>
          <w:lang w:eastAsia="zh-CN"/>
        </w:rPr>
        <w:t>，</w:t>
      </w:r>
      <w:r>
        <w:rPr>
          <w:color w:val="auto"/>
          <w:sz w:val="30"/>
          <w:szCs w:val="30"/>
          <w:highlight w:val="none"/>
        </w:rPr>
        <w:t>坚持节约集约用地，严格执行耕地</w:t>
      </w:r>
      <w:r>
        <w:rPr>
          <w:rFonts w:hint="eastAsia"/>
          <w:color w:val="auto"/>
          <w:sz w:val="30"/>
          <w:szCs w:val="30"/>
          <w:highlight w:val="none"/>
          <w:lang w:eastAsia="zh-CN"/>
        </w:rPr>
        <w:t>“</w:t>
      </w:r>
      <w:r>
        <w:rPr>
          <w:color w:val="auto"/>
          <w:sz w:val="30"/>
          <w:szCs w:val="30"/>
          <w:highlight w:val="none"/>
        </w:rPr>
        <w:t>占补平衡</w:t>
      </w:r>
      <w:r>
        <w:rPr>
          <w:rFonts w:hint="eastAsia"/>
          <w:color w:val="auto"/>
          <w:sz w:val="30"/>
          <w:szCs w:val="30"/>
          <w:highlight w:val="none"/>
          <w:lang w:eastAsia="zh-CN"/>
        </w:rPr>
        <w:t>”</w:t>
      </w:r>
      <w:r>
        <w:rPr>
          <w:color w:val="auto"/>
          <w:sz w:val="30"/>
          <w:szCs w:val="30"/>
          <w:highlight w:val="none"/>
        </w:rPr>
        <w:t>和</w:t>
      </w:r>
      <w:r>
        <w:rPr>
          <w:rFonts w:hint="eastAsia"/>
          <w:color w:val="auto"/>
          <w:sz w:val="30"/>
          <w:szCs w:val="30"/>
          <w:highlight w:val="none"/>
          <w:lang w:eastAsia="zh-CN"/>
        </w:rPr>
        <w:t>“</w:t>
      </w:r>
      <w:r>
        <w:rPr>
          <w:color w:val="auto"/>
          <w:sz w:val="30"/>
          <w:szCs w:val="30"/>
          <w:highlight w:val="none"/>
        </w:rPr>
        <w:t>进出平衡</w:t>
      </w:r>
      <w:r>
        <w:rPr>
          <w:rFonts w:hint="eastAsia"/>
          <w:color w:val="auto"/>
          <w:sz w:val="30"/>
          <w:szCs w:val="30"/>
          <w:highlight w:val="none"/>
          <w:lang w:eastAsia="zh-CN"/>
        </w:rPr>
        <w:t>”</w:t>
      </w:r>
      <w:r>
        <w:rPr>
          <w:color w:val="auto"/>
          <w:sz w:val="30"/>
          <w:szCs w:val="30"/>
          <w:highlight w:val="none"/>
        </w:rPr>
        <w:t>制度，不占用</w:t>
      </w:r>
      <w:r>
        <w:rPr>
          <w:rFonts w:hint="eastAsia"/>
          <w:color w:val="auto"/>
          <w:sz w:val="30"/>
          <w:szCs w:val="30"/>
          <w:highlight w:val="none"/>
        </w:rPr>
        <w:t>永久</w:t>
      </w:r>
      <w:r>
        <w:rPr>
          <w:color w:val="auto"/>
          <w:sz w:val="30"/>
          <w:szCs w:val="30"/>
          <w:highlight w:val="none"/>
        </w:rPr>
        <w:t>基本农田，严守耕地红线。</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53" w:name="_Toc124757337"/>
      <w:r>
        <w:rPr>
          <w:b w:val="0"/>
          <w:bCs w:val="0"/>
          <w:color w:val="auto"/>
          <w:highlight w:val="none"/>
        </w:rPr>
        <w:t>第二节  规划范围及防洪标准</w:t>
      </w:r>
      <w:bookmarkEnd w:id="53"/>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一、规划范围</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本次规划范围为</w:t>
      </w:r>
      <w:r>
        <w:rPr>
          <w:rFonts w:hint="eastAsia"/>
          <w:color w:val="auto"/>
          <w:sz w:val="30"/>
          <w:szCs w:val="30"/>
          <w:highlight w:val="none"/>
          <w:lang w:val="en-US" w:eastAsia="zh-CN"/>
        </w:rPr>
        <w:t>沱江干流涉及的</w:t>
      </w:r>
      <w:r>
        <w:rPr>
          <w:color w:val="auto"/>
          <w:sz w:val="30"/>
          <w:szCs w:val="30"/>
          <w:highlight w:val="none"/>
        </w:rPr>
        <w:t>德阳、成都、资阳、内江、自贡、泸州6市32个县（市、区）</w:t>
      </w:r>
      <w:r>
        <w:rPr>
          <w:rFonts w:hint="eastAsia"/>
          <w:color w:val="auto"/>
          <w:sz w:val="30"/>
          <w:szCs w:val="30"/>
          <w:highlight w:val="none"/>
          <w:lang w:eastAsia="zh-CN"/>
        </w:rPr>
        <w:t>，</w:t>
      </w:r>
      <w:r>
        <w:rPr>
          <w:rFonts w:hint="eastAsia"/>
          <w:color w:val="auto"/>
          <w:sz w:val="30"/>
          <w:szCs w:val="30"/>
          <w:highlight w:val="none"/>
          <w:lang w:val="en-US" w:eastAsia="zh-CN"/>
        </w:rPr>
        <w:t>规划</w:t>
      </w:r>
      <w:r>
        <w:rPr>
          <w:color w:val="auto"/>
          <w:sz w:val="30"/>
          <w:szCs w:val="30"/>
          <w:highlight w:val="none"/>
        </w:rPr>
        <w:t>面积</w:t>
      </w:r>
      <w:r>
        <w:rPr>
          <w:rFonts w:hint="eastAsia"/>
          <w:color w:val="auto"/>
          <w:sz w:val="30"/>
          <w:szCs w:val="30"/>
          <w:highlight w:val="none"/>
          <w:lang w:val="en-US" w:eastAsia="zh-CN"/>
        </w:rPr>
        <w:t>为</w:t>
      </w:r>
      <w:r>
        <w:rPr>
          <w:color w:val="auto"/>
          <w:sz w:val="30"/>
          <w:szCs w:val="30"/>
          <w:highlight w:val="none"/>
        </w:rPr>
        <w:t>2.30万km</w:t>
      </w:r>
      <w:r>
        <w:rPr>
          <w:color w:val="auto"/>
          <w:sz w:val="30"/>
          <w:szCs w:val="30"/>
          <w:highlight w:val="none"/>
          <w:vertAlign w:val="superscript"/>
        </w:rPr>
        <w:t>2</w:t>
      </w:r>
      <w:r>
        <w:rPr>
          <w:color w:val="auto"/>
          <w:sz w:val="30"/>
          <w:szCs w:val="30"/>
          <w:highlight w:val="none"/>
        </w:rPr>
        <w:t>。</w:t>
      </w:r>
    </w:p>
    <w:p>
      <w:pPr>
        <w:pStyle w:val="154"/>
        <w:keepNext w:val="0"/>
        <w:keepLines w:val="0"/>
        <w:pageBreakBefore w:val="0"/>
        <w:widowControl w:val="0"/>
        <w:kinsoku/>
        <w:wordWrap/>
        <w:overflowPunct/>
        <w:topLinePunct w:val="0"/>
        <w:autoSpaceDE/>
        <w:autoSpaceDN/>
        <w:bidi w:val="0"/>
        <w:adjustRightInd/>
        <w:snapToGrid/>
        <w:ind w:firstLine="578"/>
        <w:textAlignment w:val="auto"/>
        <w:rPr>
          <w:rStyle w:val="550"/>
          <w:rFonts w:hint="eastAsia" w:ascii="黑体" w:hAnsi="黑体" w:eastAsia="黑体" w:cs="黑体"/>
          <w:b w:val="0"/>
          <w:bCs/>
          <w:color w:val="auto"/>
          <w:spacing w:val="6"/>
          <w:kern w:val="0"/>
          <w:highlight w:val="none"/>
          <w:lang w:val="en-US" w:eastAsia="zh-CN" w:bidi="ar-SA"/>
        </w:rPr>
      </w:pPr>
      <w:r>
        <w:rPr>
          <w:rStyle w:val="550"/>
          <w:rFonts w:hint="eastAsia" w:ascii="黑体" w:hAnsi="黑体" w:eastAsia="黑体" w:cs="黑体"/>
          <w:b w:val="0"/>
          <w:bCs/>
          <w:color w:val="auto"/>
          <w:spacing w:val="6"/>
          <w:kern w:val="0"/>
          <w:highlight w:val="none"/>
          <w:lang w:val="en-US" w:eastAsia="zh-CN" w:bidi="ar-SA"/>
        </w:rPr>
        <w:t>二、规划水平年</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现状水平年为2020年，</w:t>
      </w:r>
      <w:bookmarkStart w:id="54" w:name="_Hlk124582434"/>
      <w:r>
        <w:rPr>
          <w:color w:val="auto"/>
          <w:sz w:val="30"/>
          <w:szCs w:val="30"/>
          <w:highlight w:val="none"/>
        </w:rPr>
        <w:t>规划水平年</w:t>
      </w:r>
      <w:bookmarkEnd w:id="54"/>
      <w:r>
        <w:rPr>
          <w:color w:val="auto"/>
          <w:sz w:val="30"/>
          <w:szCs w:val="30"/>
          <w:highlight w:val="none"/>
        </w:rPr>
        <w:t>为</w:t>
      </w:r>
      <w:bookmarkStart w:id="55" w:name="_Hlk124582244"/>
      <w:r>
        <w:rPr>
          <w:color w:val="auto"/>
          <w:sz w:val="30"/>
          <w:szCs w:val="30"/>
          <w:highlight w:val="none"/>
        </w:rPr>
        <w:t>2035年</w:t>
      </w:r>
      <w:bookmarkEnd w:id="55"/>
      <w:bookmarkStart w:id="56" w:name="_Hlk124583654"/>
      <w:r>
        <w:rPr>
          <w:color w:val="auto"/>
          <w:sz w:val="30"/>
          <w:szCs w:val="30"/>
          <w:highlight w:val="none"/>
        </w:rPr>
        <w:t>，远景展望至2050年</w:t>
      </w:r>
      <w:bookmarkEnd w:id="56"/>
      <w:r>
        <w:rPr>
          <w:color w:val="auto"/>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三、规划目标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color w:val="auto"/>
          <w:sz w:val="30"/>
          <w:szCs w:val="30"/>
          <w:highlight w:val="none"/>
        </w:rPr>
        <w:t>在规划期内，建立起符合</w:t>
      </w:r>
      <w:r>
        <w:rPr>
          <w:rFonts w:hint="eastAsia"/>
          <w:color w:val="auto"/>
          <w:sz w:val="30"/>
          <w:szCs w:val="30"/>
          <w:highlight w:val="none"/>
          <w:lang w:val="en-US" w:eastAsia="zh-CN"/>
        </w:rPr>
        <w:t>沱</w:t>
      </w:r>
      <w:r>
        <w:rPr>
          <w:rFonts w:hint="eastAsia"/>
          <w:color w:val="auto"/>
          <w:sz w:val="30"/>
          <w:szCs w:val="30"/>
          <w:highlight w:val="none"/>
        </w:rPr>
        <w:t>江流域实际情况、满足国民经济发展和人民群众生命财产安全要求的防洪体系，保障流域经济社会</w:t>
      </w:r>
      <w:r>
        <w:rPr>
          <w:rFonts w:hint="eastAsia"/>
          <w:color w:val="auto"/>
          <w:sz w:val="30"/>
          <w:szCs w:val="30"/>
          <w:highlight w:val="none"/>
          <w:lang w:val="en-US" w:eastAsia="zh-CN"/>
        </w:rPr>
        <w:t>高质量</w:t>
      </w:r>
      <w:r>
        <w:rPr>
          <w:rFonts w:hint="eastAsia"/>
          <w:color w:val="auto"/>
          <w:sz w:val="30"/>
          <w:szCs w:val="30"/>
          <w:highlight w:val="none"/>
        </w:rPr>
        <w:t>发展</w:t>
      </w:r>
      <w:r>
        <w:rPr>
          <w:rFonts w:hint="eastAsia"/>
          <w:color w:val="auto"/>
          <w:sz w:val="30"/>
          <w:szCs w:val="30"/>
          <w:highlight w:val="none"/>
          <w:lang w:eastAsia="zh-CN"/>
        </w:rPr>
        <w:t>。</w:t>
      </w:r>
      <w:r>
        <w:rPr>
          <w:rFonts w:hint="eastAsia"/>
          <w:color w:val="auto"/>
          <w:sz w:val="30"/>
          <w:szCs w:val="30"/>
          <w:highlight w:val="none"/>
        </w:rPr>
        <w:t>在发生常遇洪水和较大洪水时，能保障经济发展和社会安定</w:t>
      </w:r>
      <w:r>
        <w:rPr>
          <w:rFonts w:hint="eastAsia"/>
          <w:color w:val="auto"/>
          <w:sz w:val="30"/>
          <w:szCs w:val="30"/>
          <w:highlight w:val="none"/>
          <w:lang w:eastAsia="zh-CN"/>
        </w:rPr>
        <w:t>；</w:t>
      </w:r>
      <w:r>
        <w:rPr>
          <w:rFonts w:hint="eastAsia"/>
          <w:color w:val="auto"/>
          <w:sz w:val="30"/>
          <w:szCs w:val="30"/>
          <w:highlight w:val="none"/>
        </w:rPr>
        <w:t>在遭遇大洪水或特大洪水时，经济活动和社会生活不致发生大的动荡，生态环境不会遭到严重破坏，</w:t>
      </w:r>
      <w:r>
        <w:rPr>
          <w:rFonts w:hint="eastAsia"/>
          <w:color w:val="auto"/>
          <w:sz w:val="30"/>
          <w:szCs w:val="30"/>
          <w:highlight w:val="none"/>
          <w:lang w:val="en-US" w:eastAsia="zh-CN"/>
        </w:rPr>
        <w:t>高质量</w:t>
      </w:r>
      <w:r>
        <w:rPr>
          <w:rFonts w:hint="eastAsia"/>
          <w:color w:val="auto"/>
          <w:sz w:val="30"/>
          <w:szCs w:val="30"/>
          <w:highlight w:val="none"/>
        </w:rPr>
        <w:t>发展进程不会受到重大</w:t>
      </w:r>
      <w:r>
        <w:rPr>
          <w:rFonts w:hint="eastAsia"/>
          <w:color w:val="auto"/>
          <w:sz w:val="30"/>
          <w:szCs w:val="30"/>
          <w:highlight w:val="none"/>
          <w:lang w:val="en-US" w:eastAsia="zh-CN"/>
        </w:rPr>
        <w:t>干</w:t>
      </w:r>
      <w:r>
        <w:rPr>
          <w:rFonts w:hint="eastAsia"/>
          <w:color w:val="auto"/>
          <w:sz w:val="30"/>
          <w:szCs w:val="30"/>
          <w:highlight w:val="none"/>
        </w:rPr>
        <w:t>扰。对山洪灾害</w:t>
      </w:r>
      <w:r>
        <w:rPr>
          <w:rFonts w:hint="eastAsia"/>
          <w:color w:val="auto"/>
          <w:sz w:val="30"/>
          <w:szCs w:val="30"/>
          <w:highlight w:val="none"/>
          <w:lang w:eastAsia="zh-CN"/>
        </w:rPr>
        <w:t>、</w:t>
      </w:r>
      <w:r>
        <w:rPr>
          <w:rFonts w:hint="eastAsia"/>
          <w:color w:val="auto"/>
          <w:sz w:val="30"/>
          <w:szCs w:val="30"/>
          <w:highlight w:val="none"/>
          <w:lang w:val="en-US" w:eastAsia="zh-CN"/>
        </w:rPr>
        <w:t>超标洪水</w:t>
      </w:r>
      <w:r>
        <w:rPr>
          <w:rFonts w:hint="eastAsia"/>
          <w:color w:val="auto"/>
          <w:sz w:val="30"/>
          <w:szCs w:val="30"/>
          <w:highlight w:val="none"/>
        </w:rPr>
        <w:t>等，有对策和措施，减少人员伤亡和财产损失。</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w:t>
      </w:r>
      <w:r>
        <w:rPr>
          <w:rFonts w:hint="eastAsia" w:ascii="楷体_GB2312" w:hAnsi="楷体_GB2312" w:eastAsia="楷体_GB2312" w:cs="楷体_GB2312"/>
          <w:color w:val="auto"/>
          <w:sz w:val="30"/>
          <w:szCs w:val="30"/>
          <w:highlight w:val="none"/>
          <w:lang w:val="en-US" w:eastAsia="zh-CN"/>
        </w:rPr>
        <w:t>近期规划</w:t>
      </w:r>
      <w:r>
        <w:rPr>
          <w:rFonts w:hint="eastAsia" w:ascii="楷体_GB2312" w:hAnsi="楷体_GB2312" w:eastAsia="楷体_GB2312" w:cs="楷体_GB2312"/>
          <w:color w:val="auto"/>
          <w:sz w:val="30"/>
          <w:szCs w:val="30"/>
          <w:highlight w:val="none"/>
        </w:rPr>
        <w:t>目标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default" w:eastAsia="仿宋_GB2312"/>
          <w:color w:val="auto"/>
          <w:sz w:val="30"/>
          <w:szCs w:val="30"/>
          <w:highlight w:val="none"/>
          <w:lang w:val="en-US" w:eastAsia="zh-CN"/>
        </w:rPr>
      </w:pPr>
      <w:r>
        <w:rPr>
          <w:color w:val="auto"/>
          <w:sz w:val="30"/>
          <w:szCs w:val="30"/>
        </w:rPr>
        <w:t>到2035年，</w:t>
      </w:r>
      <w:r>
        <w:rPr>
          <w:rFonts w:hint="eastAsia"/>
          <w:color w:val="auto"/>
          <w:sz w:val="30"/>
          <w:szCs w:val="30"/>
          <w:lang w:val="en-US" w:eastAsia="zh-CN"/>
        </w:rPr>
        <w:t>沱江流域</w:t>
      </w:r>
      <w:r>
        <w:rPr>
          <w:color w:val="auto"/>
          <w:sz w:val="30"/>
          <w:szCs w:val="30"/>
        </w:rPr>
        <w:t>防洪薄弱环节</w:t>
      </w:r>
      <w:r>
        <w:rPr>
          <w:rFonts w:hint="eastAsia"/>
          <w:color w:val="auto"/>
          <w:sz w:val="30"/>
          <w:szCs w:val="30"/>
          <w:lang w:val="en-US" w:eastAsia="zh-CN"/>
        </w:rPr>
        <w:t>基本</w:t>
      </w:r>
      <w:r>
        <w:rPr>
          <w:color w:val="auto"/>
          <w:sz w:val="30"/>
          <w:szCs w:val="30"/>
        </w:rPr>
        <w:t>解决，</w:t>
      </w:r>
      <w:r>
        <w:rPr>
          <w:rFonts w:hint="eastAsia"/>
          <w:color w:val="auto"/>
          <w:sz w:val="30"/>
          <w:szCs w:val="30"/>
          <w:lang w:val="en-US" w:eastAsia="zh-CN"/>
        </w:rPr>
        <w:t>构建工程措施和非工程措施相结合的现代防洪减灾体系</w:t>
      </w:r>
      <w:r>
        <w:rPr>
          <w:color w:val="auto"/>
          <w:sz w:val="30"/>
          <w:szCs w:val="30"/>
        </w:rPr>
        <w:t>，</w:t>
      </w:r>
      <w:r>
        <w:rPr>
          <w:rFonts w:hint="eastAsia"/>
          <w:color w:val="auto"/>
          <w:sz w:val="30"/>
          <w:szCs w:val="30"/>
          <w:lang w:val="en-US" w:eastAsia="zh-CN"/>
        </w:rPr>
        <w:t>重点城镇、重要河段基本达到国家规定的防洪排涝标准，防洪水库和蓄滞洪工程加快建设，全面消除现有病险水库安全隐患，对新出现的病险水库及时除险加固，</w:t>
      </w:r>
      <w:r>
        <w:rPr>
          <w:color w:val="auto"/>
          <w:sz w:val="30"/>
          <w:szCs w:val="30"/>
        </w:rPr>
        <w:t>5级以上堤防达标率提高到</w:t>
      </w:r>
      <w:r>
        <w:rPr>
          <w:rFonts w:hint="eastAsia"/>
          <w:color w:val="auto"/>
          <w:sz w:val="30"/>
          <w:szCs w:val="30"/>
          <w:lang w:val="en-US" w:eastAsia="zh-CN"/>
        </w:rPr>
        <w:t>80</w:t>
      </w:r>
      <w:r>
        <w:rPr>
          <w:color w:val="auto"/>
          <w:sz w:val="30"/>
          <w:szCs w:val="30"/>
        </w:rPr>
        <w:t>%</w:t>
      </w:r>
      <w:r>
        <w:rPr>
          <w:rFonts w:hint="eastAsia"/>
          <w:color w:val="auto"/>
          <w:sz w:val="30"/>
          <w:szCs w:val="30"/>
          <w:lang w:eastAsia="zh-CN"/>
        </w:rPr>
        <w:t>以上，</w:t>
      </w:r>
      <w:r>
        <w:rPr>
          <w:rFonts w:hint="eastAsia"/>
          <w:color w:val="auto"/>
          <w:sz w:val="30"/>
          <w:szCs w:val="30"/>
          <w:lang w:val="en-US" w:eastAsia="zh-CN"/>
        </w:rPr>
        <w:t>预报预警预演预案及调度管理体系不断完善，流域防洪减灾</w:t>
      </w:r>
      <w:r>
        <w:rPr>
          <w:color w:val="auto"/>
          <w:sz w:val="30"/>
          <w:szCs w:val="30"/>
        </w:rPr>
        <w:t>能力进一步提升。</w:t>
      </w:r>
      <w:r>
        <w:rPr>
          <w:rFonts w:hint="eastAsia"/>
          <w:color w:val="auto"/>
          <w:sz w:val="30"/>
          <w:szCs w:val="30"/>
          <w:lang w:val="en-US" w:eastAsia="zh-CN"/>
        </w:rPr>
        <w:t>具体目标为：</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1.流域地级市城区以及重点保护对象防洪标准达到50年一遇，县级城市防洪标准达到20年一遇，干支流城镇、保护面积大、有重要设施的地区防洪能力达到《防洪标准》（GB50201</w:t>
      </w:r>
      <w:r>
        <w:rPr>
          <w:rFonts w:hint="eastAsia" w:ascii="宋体" w:hAnsi="宋体" w:eastAsia="宋体" w:cs="宋体"/>
          <w:color w:val="auto"/>
          <w:sz w:val="30"/>
          <w:szCs w:val="30"/>
          <w:highlight w:val="none"/>
        </w:rPr>
        <w:t>－</w:t>
      </w:r>
      <w:r>
        <w:rPr>
          <w:color w:val="auto"/>
          <w:sz w:val="30"/>
          <w:szCs w:val="30"/>
          <w:highlight w:val="none"/>
        </w:rPr>
        <w:t>2014）规定的防洪标准。主要城镇排涝</w:t>
      </w:r>
      <w:r>
        <w:rPr>
          <w:rFonts w:hint="eastAsia"/>
          <w:color w:val="auto"/>
          <w:sz w:val="30"/>
          <w:szCs w:val="30"/>
          <w:highlight w:val="none"/>
          <w:lang w:val="en-US" w:eastAsia="zh-CN"/>
        </w:rPr>
        <w:t>标准</w:t>
      </w:r>
      <w:r>
        <w:rPr>
          <w:color w:val="auto"/>
          <w:sz w:val="30"/>
          <w:szCs w:val="30"/>
          <w:highlight w:val="none"/>
        </w:rPr>
        <w:t>达到暴雨重现期10～20年。</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eastAsia" w:eastAsia="仿宋_GB2312"/>
          <w:color w:val="auto"/>
          <w:sz w:val="30"/>
          <w:szCs w:val="30"/>
          <w:highlight w:val="none"/>
          <w:lang w:eastAsia="zh-CN"/>
        </w:rPr>
      </w:pPr>
      <w:r>
        <w:rPr>
          <w:rFonts w:hint="eastAsia"/>
          <w:color w:val="auto"/>
          <w:sz w:val="30"/>
          <w:szCs w:val="30"/>
          <w:highlight w:val="none"/>
          <w:lang w:val="en-US" w:eastAsia="zh-CN"/>
        </w:rPr>
        <w:t>2.</w:t>
      </w:r>
      <w:r>
        <w:rPr>
          <w:color w:val="auto"/>
          <w:sz w:val="30"/>
          <w:szCs w:val="30"/>
          <w:highlight w:val="none"/>
        </w:rPr>
        <w:t>进一步完善沱江防洪工程</w:t>
      </w:r>
      <w:r>
        <w:rPr>
          <w:rFonts w:hint="eastAsia"/>
          <w:color w:val="auto"/>
          <w:sz w:val="30"/>
          <w:szCs w:val="30"/>
          <w:highlight w:val="none"/>
          <w:lang w:val="en-US" w:eastAsia="zh-CN"/>
        </w:rPr>
        <w:t>布局。新建</w:t>
      </w:r>
      <w:r>
        <w:rPr>
          <w:color w:val="auto"/>
          <w:sz w:val="30"/>
          <w:szCs w:val="30"/>
          <w:highlight w:val="none"/>
        </w:rPr>
        <w:t>德阳高景关、金花寺水库</w:t>
      </w:r>
      <w:r>
        <w:rPr>
          <w:rFonts w:hint="eastAsia"/>
          <w:color w:val="auto"/>
          <w:sz w:val="30"/>
          <w:szCs w:val="30"/>
          <w:highlight w:val="none"/>
          <w:lang w:eastAsia="zh-CN"/>
        </w:rPr>
        <w:t>，</w:t>
      </w:r>
      <w:r>
        <w:rPr>
          <w:color w:val="auto"/>
          <w:sz w:val="30"/>
          <w:szCs w:val="30"/>
          <w:highlight w:val="none"/>
        </w:rPr>
        <w:t>实施河道综合治理，主要支流和中小河流防洪治理基本达标，新建堤防护岸82</w:t>
      </w:r>
      <w:r>
        <w:rPr>
          <w:rFonts w:hint="eastAsia"/>
          <w:color w:val="auto"/>
          <w:sz w:val="30"/>
          <w:szCs w:val="30"/>
          <w:highlight w:val="none"/>
          <w:lang w:val="en-US" w:eastAsia="zh-CN"/>
        </w:rPr>
        <w:t>3</w:t>
      </w:r>
      <w:r>
        <w:rPr>
          <w:color w:val="auto"/>
          <w:sz w:val="30"/>
          <w:szCs w:val="30"/>
          <w:highlight w:val="none"/>
        </w:rPr>
        <w:t>km，骨干行洪通道泄洪能力明显提升</w:t>
      </w:r>
      <w:r>
        <w:rPr>
          <w:rFonts w:hint="eastAsia"/>
          <w:color w:val="auto"/>
          <w:sz w:val="30"/>
          <w:szCs w:val="30"/>
          <w:highlight w:val="none"/>
          <w:lang w:eastAsia="zh-CN"/>
        </w:rPr>
        <w:t>，</w:t>
      </w:r>
      <w:r>
        <w:rPr>
          <w:color w:val="auto"/>
          <w:sz w:val="30"/>
          <w:szCs w:val="30"/>
          <w:highlight w:val="none"/>
        </w:rPr>
        <w:t>形成蓄、泄</w:t>
      </w:r>
      <w:r>
        <w:rPr>
          <w:rFonts w:hint="eastAsia"/>
          <w:color w:val="auto"/>
          <w:sz w:val="30"/>
          <w:szCs w:val="30"/>
          <w:highlight w:val="none"/>
          <w:lang w:val="en-US" w:eastAsia="zh-CN"/>
        </w:rPr>
        <w:t>相协调</w:t>
      </w:r>
      <w:r>
        <w:rPr>
          <w:color w:val="auto"/>
          <w:sz w:val="30"/>
          <w:szCs w:val="30"/>
          <w:highlight w:val="none"/>
        </w:rPr>
        <w:t>的防洪工程体系</w:t>
      </w:r>
      <w:r>
        <w:rPr>
          <w:rFonts w:hint="eastAsia"/>
          <w:color w:val="auto"/>
          <w:sz w:val="30"/>
          <w:szCs w:val="30"/>
          <w:highlight w:val="none"/>
          <w:lang w:eastAsia="zh-CN"/>
        </w:rPr>
        <w:t>；</w:t>
      </w:r>
      <w:r>
        <w:rPr>
          <w:rFonts w:eastAsia="仿宋_GB2312"/>
          <w:color w:val="auto"/>
          <w:sz w:val="30"/>
          <w:szCs w:val="30"/>
          <w:highlight w:val="none"/>
        </w:rPr>
        <w:t>除险加固病险水库2</w:t>
      </w:r>
      <w:r>
        <w:rPr>
          <w:rFonts w:hint="eastAsia" w:eastAsia="仿宋_GB2312"/>
          <w:color w:val="auto"/>
          <w:sz w:val="30"/>
          <w:szCs w:val="30"/>
          <w:highlight w:val="none"/>
          <w:lang w:val="en-US" w:eastAsia="zh-CN"/>
        </w:rPr>
        <w:t>29</w:t>
      </w:r>
      <w:r>
        <w:rPr>
          <w:rFonts w:eastAsia="仿宋_GB2312"/>
          <w:color w:val="auto"/>
          <w:sz w:val="30"/>
          <w:szCs w:val="30"/>
          <w:highlight w:val="none"/>
        </w:rPr>
        <w:t>座</w:t>
      </w:r>
      <w:r>
        <w:rPr>
          <w:rFonts w:hint="eastAsia"/>
          <w:color w:val="auto"/>
          <w:sz w:val="30"/>
          <w:szCs w:val="30"/>
          <w:highlight w:val="none"/>
          <w:lang w:eastAsia="zh-CN"/>
        </w:rPr>
        <w:t>，</w:t>
      </w:r>
      <w:r>
        <w:rPr>
          <w:rFonts w:hint="eastAsia"/>
          <w:color w:val="auto"/>
          <w:sz w:val="30"/>
          <w:szCs w:val="30"/>
          <w:highlight w:val="none"/>
          <w:lang w:val="en-US" w:eastAsia="zh-CN"/>
        </w:rPr>
        <w:t>治理水土流失面积6636km</w:t>
      </w:r>
      <w:r>
        <w:rPr>
          <w:rFonts w:hint="eastAsia"/>
          <w:color w:val="auto"/>
          <w:spacing w:val="6"/>
          <w:sz w:val="30"/>
          <w:szCs w:val="30"/>
          <w:highlight w:val="none"/>
          <w:vertAlign w:val="superscript"/>
          <w:lang w:val="en-US" w:eastAsia="zh-CN"/>
        </w:rPr>
        <w:t>2</w:t>
      </w:r>
      <w:r>
        <w:rPr>
          <w:rFonts w:hint="eastAsia"/>
          <w:color w:val="auto"/>
          <w:sz w:val="30"/>
          <w:szCs w:val="30"/>
          <w:highlight w:val="none"/>
          <w:lang w:eastAsia="zh-CN"/>
        </w:rPr>
        <w:t>。</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eastAsia" w:eastAsia="仿宋_GB2312"/>
          <w:color w:val="auto"/>
          <w:sz w:val="30"/>
          <w:szCs w:val="30"/>
          <w:highlight w:val="none"/>
          <w:lang w:val="en-US" w:eastAsia="zh-CN"/>
        </w:rPr>
      </w:pPr>
      <w:r>
        <w:rPr>
          <w:rFonts w:hint="eastAsia"/>
          <w:color w:val="auto"/>
          <w:sz w:val="30"/>
          <w:szCs w:val="30"/>
          <w:highlight w:val="none"/>
          <w:lang w:val="en-US" w:eastAsia="zh-CN"/>
        </w:rPr>
        <w:t>3</w:t>
      </w:r>
      <w:r>
        <w:rPr>
          <w:color w:val="auto"/>
          <w:sz w:val="30"/>
          <w:szCs w:val="30"/>
          <w:highlight w:val="none"/>
        </w:rPr>
        <w:t>.进一步完善防洪非工程措施</w:t>
      </w:r>
      <w:r>
        <w:rPr>
          <w:rFonts w:hint="eastAsia"/>
          <w:color w:val="auto"/>
          <w:sz w:val="30"/>
          <w:szCs w:val="30"/>
          <w:highlight w:val="none"/>
          <w:lang w:eastAsia="zh-CN"/>
        </w:rPr>
        <w:t>。</w:t>
      </w:r>
      <w:r>
        <w:rPr>
          <w:rFonts w:hint="eastAsia"/>
          <w:color w:val="auto"/>
          <w:sz w:val="30"/>
          <w:szCs w:val="30"/>
          <w:highlight w:val="none"/>
          <w:lang w:val="en-US" w:eastAsia="zh-CN"/>
        </w:rPr>
        <w:t>健全“大水调”体制机制，加强防洪工程联合调度，提升指挥调度体系，完善指挥决策支撑系统；完善</w:t>
      </w:r>
      <w:r>
        <w:rPr>
          <w:color w:val="auto"/>
          <w:sz w:val="30"/>
          <w:szCs w:val="30"/>
          <w:highlight w:val="none"/>
        </w:rPr>
        <w:t>山洪灾害</w:t>
      </w:r>
      <w:r>
        <w:rPr>
          <w:rFonts w:hint="eastAsia"/>
          <w:color w:val="auto"/>
          <w:sz w:val="30"/>
          <w:szCs w:val="30"/>
          <w:highlight w:val="none"/>
          <w:lang w:val="en-US" w:eastAsia="zh-CN"/>
        </w:rPr>
        <w:t>非工程措施，全面提升山洪灾害防御能力</w:t>
      </w:r>
      <w:r>
        <w:rPr>
          <w:rFonts w:hint="eastAsia"/>
          <w:color w:val="auto"/>
          <w:sz w:val="30"/>
          <w:szCs w:val="30"/>
          <w:highlight w:val="none"/>
          <w:lang w:eastAsia="zh-CN"/>
        </w:rPr>
        <w:t>；</w:t>
      </w:r>
      <w:r>
        <w:rPr>
          <w:rFonts w:hint="eastAsia"/>
          <w:color w:val="auto"/>
          <w:sz w:val="30"/>
          <w:szCs w:val="30"/>
          <w:highlight w:val="none"/>
          <w:lang w:val="en-US" w:eastAsia="zh-CN"/>
        </w:rPr>
        <w:t>防洪管理</w:t>
      </w:r>
      <w:r>
        <w:rPr>
          <w:color w:val="auto"/>
          <w:sz w:val="30"/>
          <w:szCs w:val="30"/>
          <w:highlight w:val="none"/>
        </w:rPr>
        <w:t>逐步实现规范化、信息化、标准化，洪水风险防控和应对能力进一步提高。</w:t>
      </w:r>
    </w:p>
    <w:p>
      <w:pPr>
        <w:pStyle w:val="154"/>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w:t>
      </w:r>
      <w:r>
        <w:rPr>
          <w:rFonts w:hint="eastAsia" w:ascii="楷体_GB2312" w:hAnsi="楷体_GB2312" w:eastAsia="楷体_GB2312" w:cs="楷体_GB2312"/>
          <w:color w:val="auto"/>
          <w:sz w:val="30"/>
          <w:szCs w:val="30"/>
          <w:highlight w:val="none"/>
          <w:lang w:val="en-US" w:eastAsia="zh-CN"/>
        </w:rPr>
        <w:t>远景</w:t>
      </w:r>
      <w:r>
        <w:rPr>
          <w:rFonts w:hint="eastAsia" w:ascii="楷体_GB2312" w:hAnsi="楷体_GB2312" w:eastAsia="楷体_GB2312" w:cs="楷体_GB2312"/>
          <w:color w:val="auto"/>
          <w:sz w:val="30"/>
          <w:szCs w:val="30"/>
          <w:highlight w:val="none"/>
        </w:rPr>
        <w:t>规划目标</w:t>
      </w:r>
    </w:p>
    <w:p>
      <w:pPr>
        <w:pStyle w:val="154"/>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color w:val="auto"/>
          <w:sz w:val="30"/>
          <w:szCs w:val="30"/>
          <w:highlight w:val="none"/>
        </w:rPr>
      </w:pPr>
      <w:r>
        <w:rPr>
          <w:rFonts w:hint="eastAsia"/>
          <w:color w:val="auto"/>
          <w:sz w:val="30"/>
          <w:szCs w:val="30"/>
          <w:highlight w:val="none"/>
          <w:lang w:val="en-US" w:eastAsia="zh-CN"/>
        </w:rPr>
        <w:t>到2050年，全面</w:t>
      </w:r>
      <w:r>
        <w:rPr>
          <w:color w:val="auto"/>
          <w:sz w:val="30"/>
          <w:szCs w:val="30"/>
          <w:highlight w:val="none"/>
        </w:rPr>
        <w:t>建立工程措施和非工程措施相结合的现代化流域防洪减灾体系，干流及主要支流防洪保护区的防洪能力达到与经济社会发展相适应的防洪标准</w:t>
      </w:r>
      <w:r>
        <w:rPr>
          <w:rFonts w:hint="eastAsia"/>
          <w:color w:val="auto"/>
          <w:sz w:val="30"/>
          <w:szCs w:val="30"/>
          <w:highlight w:val="none"/>
          <w:lang w:eastAsia="zh-CN"/>
        </w:rPr>
        <w:t>；</w:t>
      </w:r>
      <w:r>
        <w:rPr>
          <w:color w:val="auto"/>
          <w:sz w:val="30"/>
          <w:szCs w:val="30"/>
          <w:highlight w:val="none"/>
        </w:rPr>
        <w:t>山洪灾害防治体系</w:t>
      </w:r>
      <w:r>
        <w:rPr>
          <w:rFonts w:hint="eastAsia"/>
          <w:color w:val="auto"/>
          <w:sz w:val="30"/>
          <w:szCs w:val="30"/>
          <w:highlight w:val="none"/>
          <w:lang w:val="en-US" w:eastAsia="zh-CN"/>
        </w:rPr>
        <w:t>更加</w:t>
      </w:r>
      <w:r>
        <w:rPr>
          <w:color w:val="auto"/>
          <w:sz w:val="30"/>
          <w:szCs w:val="30"/>
          <w:highlight w:val="none"/>
        </w:rPr>
        <w:t>完善，</w:t>
      </w:r>
      <w:r>
        <w:rPr>
          <w:rFonts w:hint="eastAsia"/>
          <w:color w:val="auto"/>
          <w:sz w:val="30"/>
          <w:szCs w:val="30"/>
          <w:highlight w:val="none"/>
          <w:lang w:val="en-US" w:eastAsia="zh-CN"/>
        </w:rPr>
        <w:t>水土流失</w:t>
      </w:r>
      <w:r>
        <w:rPr>
          <w:color w:val="auto"/>
          <w:sz w:val="30"/>
          <w:szCs w:val="30"/>
          <w:highlight w:val="none"/>
        </w:rPr>
        <w:t>治理取得明显成效</w:t>
      </w:r>
      <w:r>
        <w:rPr>
          <w:rFonts w:hint="eastAsia"/>
          <w:color w:val="auto"/>
          <w:sz w:val="30"/>
          <w:szCs w:val="30"/>
          <w:highlight w:val="none"/>
          <w:lang w:eastAsia="zh-CN"/>
        </w:rPr>
        <w:t>；</w:t>
      </w:r>
      <w:r>
        <w:rPr>
          <w:color w:val="auto"/>
          <w:sz w:val="30"/>
          <w:szCs w:val="30"/>
          <w:highlight w:val="none"/>
        </w:rPr>
        <w:t>河道治理和管理法制化、规范化</w:t>
      </w:r>
      <w:r>
        <w:rPr>
          <w:rFonts w:hint="eastAsia"/>
          <w:color w:val="auto"/>
          <w:sz w:val="30"/>
          <w:szCs w:val="30"/>
          <w:highlight w:val="none"/>
          <w:lang w:eastAsia="zh-CN"/>
        </w:rPr>
        <w:t>，</w:t>
      </w:r>
      <w:r>
        <w:rPr>
          <w:rFonts w:hint="eastAsia"/>
          <w:color w:val="auto"/>
          <w:sz w:val="30"/>
          <w:szCs w:val="30"/>
          <w:highlight w:val="none"/>
          <w:lang w:val="en-US" w:eastAsia="zh-CN"/>
        </w:rPr>
        <w:t>全面</w:t>
      </w:r>
      <w:r>
        <w:rPr>
          <w:color w:val="auto"/>
          <w:sz w:val="30"/>
          <w:szCs w:val="30"/>
          <w:highlight w:val="none"/>
        </w:rPr>
        <w:t>实现流域防洪管理现代化。</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四、防洪标准</w:t>
      </w:r>
    </w:p>
    <w:p>
      <w:pPr>
        <w:keepNext w:val="0"/>
        <w:keepLines w:val="0"/>
        <w:pageBreakBefore w:val="0"/>
        <w:widowControl w:val="0"/>
        <w:kinsoku/>
        <w:wordWrap/>
        <w:overflowPunct/>
        <w:topLinePunct w:val="0"/>
        <w:autoSpaceDE/>
        <w:autoSpaceDN/>
        <w:bidi w:val="0"/>
        <w:adjustRightInd/>
        <w:snapToGrid w:val="0"/>
        <w:spacing w:line="540" w:lineRule="exact"/>
        <w:ind w:firstLine="580" w:firstLineChars="200"/>
        <w:textAlignment w:val="auto"/>
        <w:rPr>
          <w:rFonts w:eastAsia="仿宋_GB2312"/>
          <w:color w:val="auto"/>
          <w:spacing w:val="4"/>
          <w:sz w:val="30"/>
          <w:szCs w:val="30"/>
          <w:highlight w:val="none"/>
        </w:rPr>
      </w:pPr>
      <w:r>
        <w:rPr>
          <w:rFonts w:eastAsia="仿宋_GB2312"/>
          <w:color w:val="auto"/>
          <w:spacing w:val="4"/>
          <w:sz w:val="30"/>
          <w:szCs w:val="30"/>
          <w:highlight w:val="none"/>
        </w:rPr>
        <w:t>根据《防洪标准》（GB50201</w:t>
      </w:r>
      <w:r>
        <w:rPr>
          <w:rFonts w:hint="eastAsia" w:ascii="宋体" w:hAnsi="宋体" w:eastAsia="宋体" w:cs="宋体"/>
          <w:color w:val="auto"/>
          <w:spacing w:val="4"/>
          <w:sz w:val="30"/>
          <w:szCs w:val="30"/>
          <w:highlight w:val="none"/>
        </w:rPr>
        <w:t>－</w:t>
      </w:r>
      <w:r>
        <w:rPr>
          <w:rFonts w:eastAsia="仿宋_GB2312"/>
          <w:color w:val="auto"/>
          <w:spacing w:val="4"/>
          <w:sz w:val="30"/>
          <w:szCs w:val="30"/>
          <w:highlight w:val="none"/>
        </w:rPr>
        <w:t>2014）和</w:t>
      </w:r>
      <w:r>
        <w:rPr>
          <w:rFonts w:hint="eastAsia" w:eastAsia="仿宋_GB2312"/>
          <w:color w:val="auto"/>
          <w:spacing w:val="4"/>
          <w:sz w:val="30"/>
          <w:szCs w:val="30"/>
          <w:highlight w:val="none"/>
        </w:rPr>
        <w:t>《</w:t>
      </w:r>
      <w:r>
        <w:rPr>
          <w:rFonts w:hint="eastAsia" w:eastAsia="仿宋_GB2312"/>
          <w:color w:val="auto"/>
          <w:spacing w:val="4"/>
          <w:sz w:val="30"/>
          <w:szCs w:val="30"/>
          <w:highlight w:val="none"/>
          <w:lang w:val="en-US" w:eastAsia="zh-CN"/>
        </w:rPr>
        <w:t>四川省</w:t>
      </w:r>
      <w:r>
        <w:rPr>
          <w:rFonts w:hint="eastAsia" w:eastAsia="仿宋_GB2312"/>
          <w:color w:val="auto"/>
          <w:spacing w:val="4"/>
          <w:sz w:val="30"/>
          <w:szCs w:val="30"/>
          <w:highlight w:val="none"/>
        </w:rPr>
        <w:t>沱江流域综合规划》</w:t>
      </w:r>
      <w:r>
        <w:rPr>
          <w:rFonts w:eastAsia="仿宋_GB2312"/>
          <w:color w:val="auto"/>
          <w:spacing w:val="4"/>
          <w:sz w:val="30"/>
          <w:szCs w:val="30"/>
          <w:highlight w:val="none"/>
        </w:rPr>
        <w:t>，德阳</w:t>
      </w:r>
      <w:r>
        <w:rPr>
          <w:rFonts w:hint="eastAsia" w:eastAsia="仿宋_GB2312"/>
          <w:color w:val="auto"/>
          <w:spacing w:val="4"/>
          <w:sz w:val="30"/>
          <w:szCs w:val="30"/>
          <w:highlight w:val="none"/>
          <w:lang w:val="en-US" w:eastAsia="zh-CN"/>
        </w:rPr>
        <w:t>市</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广汉市</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成都市龙泉驿区、青白江区、新都区、彭州市、简阳市</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资阳市</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内江市</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自贡市</w:t>
      </w:r>
      <w:r>
        <w:rPr>
          <w:rFonts w:hint="eastAsia" w:eastAsia="仿宋_GB2312"/>
          <w:color w:val="auto"/>
          <w:spacing w:val="4"/>
          <w:sz w:val="30"/>
          <w:szCs w:val="30"/>
          <w:highlight w:val="none"/>
          <w:lang w:val="en-US" w:eastAsia="zh-CN"/>
        </w:rPr>
        <w:t>城区</w:t>
      </w:r>
      <w:r>
        <w:rPr>
          <w:rFonts w:eastAsia="仿宋_GB2312"/>
          <w:color w:val="auto"/>
          <w:spacing w:val="4"/>
          <w:sz w:val="30"/>
          <w:szCs w:val="30"/>
          <w:highlight w:val="none"/>
        </w:rPr>
        <w:t>防洪标准为50年一遇</w:t>
      </w:r>
      <w:r>
        <w:rPr>
          <w:rFonts w:hint="eastAsia" w:eastAsia="仿宋_GB2312"/>
          <w:color w:val="auto"/>
          <w:spacing w:val="4"/>
          <w:sz w:val="30"/>
          <w:szCs w:val="30"/>
          <w:highlight w:val="none"/>
          <w:lang w:eastAsia="zh-CN"/>
        </w:rPr>
        <w:t>；</w:t>
      </w:r>
      <w:r>
        <w:rPr>
          <w:rFonts w:hint="eastAsia" w:eastAsia="仿宋_GB2312"/>
          <w:color w:val="auto"/>
          <w:spacing w:val="4"/>
          <w:sz w:val="30"/>
          <w:szCs w:val="30"/>
          <w:highlight w:val="none"/>
          <w:lang w:val="en-US" w:eastAsia="zh-CN"/>
        </w:rPr>
        <w:t>泸州市城区左岸</w:t>
      </w:r>
      <w:r>
        <w:rPr>
          <w:rFonts w:eastAsia="仿宋_GB2312"/>
          <w:color w:val="auto"/>
          <w:spacing w:val="4"/>
          <w:sz w:val="30"/>
          <w:szCs w:val="30"/>
          <w:highlight w:val="none"/>
        </w:rPr>
        <w:t>防洪标准为20年一遇，</w:t>
      </w:r>
      <w:r>
        <w:rPr>
          <w:rFonts w:hint="eastAsia" w:eastAsia="仿宋_GB2312"/>
          <w:color w:val="auto"/>
          <w:spacing w:val="4"/>
          <w:sz w:val="30"/>
          <w:szCs w:val="30"/>
          <w:highlight w:val="none"/>
          <w:lang w:val="en-US" w:eastAsia="zh-CN"/>
        </w:rPr>
        <w:t>右岸</w:t>
      </w:r>
      <w:r>
        <w:rPr>
          <w:rFonts w:eastAsia="仿宋_GB2312"/>
          <w:color w:val="auto"/>
          <w:spacing w:val="4"/>
          <w:sz w:val="30"/>
          <w:szCs w:val="30"/>
          <w:highlight w:val="none"/>
        </w:rPr>
        <w:t>防洪标准为50年一遇</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绵竹市</w:t>
      </w:r>
      <w:r>
        <w:rPr>
          <w:rFonts w:hint="eastAsia" w:eastAsia="仿宋_GB2312"/>
          <w:color w:val="auto"/>
          <w:spacing w:val="4"/>
          <w:sz w:val="30"/>
          <w:szCs w:val="30"/>
          <w:highlight w:val="none"/>
          <w:lang w:eastAsia="zh-CN"/>
        </w:rPr>
        <w:t>、</w:t>
      </w:r>
      <w:r>
        <w:rPr>
          <w:rFonts w:hint="eastAsia" w:eastAsia="仿宋_GB2312"/>
          <w:color w:val="auto"/>
          <w:spacing w:val="4"/>
          <w:sz w:val="30"/>
          <w:szCs w:val="30"/>
          <w:highlight w:val="none"/>
          <w:lang w:val="en-US" w:eastAsia="zh-CN"/>
        </w:rPr>
        <w:t>资中县、富顺县、泸县城区</w:t>
      </w:r>
      <w:r>
        <w:rPr>
          <w:rFonts w:eastAsia="仿宋_GB2312"/>
          <w:color w:val="auto"/>
          <w:spacing w:val="4"/>
          <w:sz w:val="30"/>
          <w:szCs w:val="30"/>
          <w:highlight w:val="none"/>
        </w:rPr>
        <w:t>防洪标准为20年一遇；金堂县城防洪标准为20年一遇</w:t>
      </w:r>
      <w:r>
        <w:rPr>
          <w:rFonts w:hint="eastAsia" w:eastAsia="仿宋_GB2312"/>
          <w:color w:val="auto"/>
          <w:spacing w:val="4"/>
          <w:sz w:val="30"/>
          <w:szCs w:val="30"/>
          <w:highlight w:val="none"/>
          <w:lang w:eastAsia="zh-CN"/>
        </w:rPr>
        <w:t>，</w:t>
      </w:r>
      <w:r>
        <w:rPr>
          <w:rFonts w:hint="eastAsia" w:eastAsia="仿宋_GB2312"/>
          <w:color w:val="auto"/>
          <w:spacing w:val="4"/>
          <w:sz w:val="30"/>
          <w:szCs w:val="30"/>
          <w:highlight w:val="none"/>
          <w:lang w:val="en-US" w:eastAsia="zh-CN"/>
        </w:rPr>
        <w:t>远景</w:t>
      </w:r>
      <w:r>
        <w:rPr>
          <w:rFonts w:eastAsia="仿宋_GB2312"/>
          <w:color w:val="auto"/>
          <w:spacing w:val="4"/>
          <w:sz w:val="30"/>
          <w:szCs w:val="30"/>
          <w:highlight w:val="none"/>
        </w:rPr>
        <w:t>提高</w:t>
      </w:r>
      <w:r>
        <w:rPr>
          <w:rFonts w:hint="eastAsia" w:eastAsia="仿宋_GB2312"/>
          <w:color w:val="auto"/>
          <w:spacing w:val="4"/>
          <w:sz w:val="30"/>
          <w:szCs w:val="30"/>
          <w:highlight w:val="none"/>
          <w:lang w:val="en-US" w:eastAsia="zh-CN"/>
        </w:rPr>
        <w:t>至</w:t>
      </w:r>
      <w:r>
        <w:rPr>
          <w:rFonts w:eastAsia="仿宋_GB2312"/>
          <w:color w:val="auto"/>
          <w:spacing w:val="4"/>
          <w:sz w:val="30"/>
          <w:szCs w:val="30"/>
          <w:highlight w:val="none"/>
        </w:rPr>
        <w:t>50年一遇</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集镇防洪标准为10～20年一遇。</w:t>
      </w:r>
      <w:r>
        <w:rPr>
          <w:rFonts w:hint="eastAsia" w:eastAsia="仿宋_GB2312"/>
          <w:color w:val="auto"/>
          <w:spacing w:val="4"/>
          <w:sz w:val="30"/>
          <w:szCs w:val="30"/>
          <w:highlight w:val="none"/>
          <w:lang w:val="en-US" w:eastAsia="zh-CN"/>
        </w:rPr>
        <w:t>重点</w:t>
      </w:r>
      <w:r>
        <w:rPr>
          <w:rFonts w:eastAsia="仿宋_GB2312"/>
          <w:color w:val="auto"/>
          <w:spacing w:val="4"/>
          <w:sz w:val="30"/>
          <w:szCs w:val="30"/>
          <w:highlight w:val="none"/>
        </w:rPr>
        <w:t>城市防洪标准详见表3.2.1。</w:t>
      </w:r>
    </w:p>
    <w:p>
      <w:pPr>
        <w:pStyle w:val="6"/>
        <w:spacing w:beforeLines="0"/>
        <w:ind w:firstLine="0"/>
        <w:jc w:val="both"/>
        <w:rPr>
          <w:rFonts w:ascii="Times New Roman"/>
          <w:b w:val="0"/>
          <w:bCs w:val="0"/>
          <w:color w:val="auto"/>
          <w:sz w:val="28"/>
          <w:highlight w:val="none"/>
        </w:rPr>
      </w:pPr>
      <w:bookmarkStart w:id="57" w:name="_Hlk121231714"/>
      <w:r>
        <w:rPr>
          <w:rFonts w:ascii="Times New Roman"/>
          <w:b w:val="0"/>
          <w:bCs w:val="0"/>
          <w:color w:val="auto"/>
          <w:sz w:val="28"/>
          <w:highlight w:val="none"/>
        </w:rPr>
        <w:t xml:space="preserve">表3.2.1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重点</w:t>
      </w:r>
      <w:r>
        <w:rPr>
          <w:rFonts w:ascii="Times New Roman"/>
          <w:b w:val="0"/>
          <w:bCs w:val="0"/>
          <w:color w:val="auto"/>
          <w:sz w:val="28"/>
          <w:highlight w:val="none"/>
        </w:rPr>
        <w:t>城市防洪标准</w:t>
      </w:r>
      <w:bookmarkEnd w:id="57"/>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50"/>
        <w:gridCol w:w="1760"/>
        <w:gridCol w:w="1928"/>
        <w:gridCol w:w="1364"/>
        <w:gridCol w:w="1492"/>
        <w:gridCol w:w="1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bookmarkStart w:id="58" w:name="RANGE!A39:O66"/>
            <w:r>
              <w:rPr>
                <w:rFonts w:eastAsia="楷体"/>
                <w:color w:val="auto"/>
                <w:kern w:val="0"/>
                <w:sz w:val="21"/>
                <w:szCs w:val="21"/>
                <w:highlight w:val="none"/>
              </w:rPr>
              <w:t>序号</w:t>
            </w:r>
            <w:bookmarkEnd w:id="58"/>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地级市</w:t>
            </w:r>
          </w:p>
        </w:tc>
        <w:tc>
          <w:tcPr>
            <w:tcW w:w="176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县（区、市）</w:t>
            </w:r>
          </w:p>
        </w:tc>
        <w:tc>
          <w:tcPr>
            <w:tcW w:w="1928"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涉及河流</w:t>
            </w:r>
          </w:p>
        </w:tc>
        <w:tc>
          <w:tcPr>
            <w:tcW w:w="1364"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现状防洪能力</w:t>
            </w:r>
          </w:p>
          <w:p>
            <w:pPr>
              <w:spacing w:line="280" w:lineRule="exact"/>
              <w:jc w:val="center"/>
              <w:rPr>
                <w:rFonts w:eastAsia="楷体"/>
                <w:color w:val="auto"/>
                <w:kern w:val="0"/>
                <w:sz w:val="21"/>
                <w:szCs w:val="21"/>
                <w:highlight w:val="none"/>
              </w:rPr>
            </w:pPr>
            <w:r>
              <w:rPr>
                <w:rFonts w:eastAsia="楷体"/>
                <w:color w:val="auto"/>
                <w:kern w:val="0"/>
                <w:sz w:val="21"/>
                <w:szCs w:val="21"/>
                <w:highlight w:val="none"/>
              </w:rPr>
              <w:t>（重现期：年）</w:t>
            </w:r>
          </w:p>
        </w:tc>
        <w:tc>
          <w:tcPr>
            <w:tcW w:w="1492" w:type="dxa"/>
            <w:vMerge w:val="restart"/>
            <w:noWrap/>
            <w:vAlign w:val="center"/>
          </w:tcPr>
          <w:p>
            <w:pPr>
              <w:widowControl/>
              <w:spacing w:line="280" w:lineRule="exact"/>
              <w:jc w:val="center"/>
              <w:rPr>
                <w:rFonts w:hint="eastAsia" w:eastAsia="楷体"/>
                <w:color w:val="auto"/>
                <w:kern w:val="0"/>
                <w:sz w:val="21"/>
                <w:szCs w:val="21"/>
                <w:highlight w:val="none"/>
                <w:lang w:val="en-US" w:eastAsia="zh-CN"/>
              </w:rPr>
            </w:pPr>
            <w:r>
              <w:rPr>
                <w:rFonts w:hint="eastAsia" w:eastAsia="楷体"/>
                <w:color w:val="auto"/>
                <w:kern w:val="0"/>
                <w:sz w:val="21"/>
                <w:szCs w:val="21"/>
                <w:highlight w:val="none"/>
                <w:lang w:val="en-US" w:eastAsia="zh-CN"/>
              </w:rPr>
              <w:t>规划水平年</w:t>
            </w:r>
          </w:p>
          <w:p>
            <w:pPr>
              <w:widowControl/>
              <w:spacing w:line="280" w:lineRule="exact"/>
              <w:jc w:val="center"/>
              <w:rPr>
                <w:rFonts w:hint="eastAsia" w:eastAsia="楷体"/>
                <w:color w:val="auto"/>
                <w:spacing w:val="-11"/>
                <w:kern w:val="0"/>
                <w:sz w:val="21"/>
                <w:szCs w:val="21"/>
                <w:highlight w:val="none"/>
                <w:lang w:val="en-US" w:eastAsia="zh-CN"/>
              </w:rPr>
            </w:pPr>
            <w:r>
              <w:rPr>
                <w:rFonts w:hint="eastAsia" w:eastAsia="楷体"/>
                <w:color w:val="auto"/>
                <w:spacing w:val="-11"/>
                <w:kern w:val="0"/>
                <w:sz w:val="21"/>
                <w:szCs w:val="21"/>
                <w:highlight w:val="none"/>
                <w:lang w:val="en-US" w:eastAsia="zh-CN"/>
              </w:rPr>
              <w:t>2035年防洪标准</w:t>
            </w:r>
          </w:p>
          <w:p>
            <w:pPr>
              <w:spacing w:line="280" w:lineRule="exact"/>
              <w:jc w:val="center"/>
              <w:rPr>
                <w:rFonts w:eastAsia="楷体"/>
                <w:color w:val="auto"/>
                <w:kern w:val="0"/>
                <w:sz w:val="21"/>
                <w:szCs w:val="21"/>
                <w:highlight w:val="none"/>
              </w:rPr>
            </w:pPr>
            <w:r>
              <w:rPr>
                <w:rFonts w:eastAsia="楷体"/>
                <w:color w:val="auto"/>
                <w:kern w:val="0"/>
                <w:sz w:val="21"/>
                <w:szCs w:val="21"/>
                <w:highlight w:val="none"/>
              </w:rPr>
              <w:t>（重现期：年）</w:t>
            </w:r>
          </w:p>
        </w:tc>
        <w:tc>
          <w:tcPr>
            <w:tcW w:w="1466" w:type="dxa"/>
            <w:vMerge w:val="restart"/>
            <w:noWrap/>
            <w:vAlign w:val="center"/>
          </w:tcPr>
          <w:p>
            <w:pPr>
              <w:widowControl/>
              <w:spacing w:line="280" w:lineRule="exact"/>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远景展望至</w:t>
            </w:r>
            <w:r>
              <w:rPr>
                <w:rFonts w:hint="eastAsia" w:eastAsia="楷体"/>
                <w:color w:val="auto"/>
                <w:spacing w:val="-11"/>
                <w:kern w:val="0"/>
                <w:sz w:val="21"/>
                <w:szCs w:val="21"/>
                <w:highlight w:val="none"/>
                <w:lang w:val="en-US" w:eastAsia="zh-CN"/>
              </w:rPr>
              <w:t>2050年</w:t>
            </w:r>
            <w:r>
              <w:rPr>
                <w:rFonts w:eastAsia="楷体"/>
                <w:color w:val="auto"/>
                <w:spacing w:val="-11"/>
                <w:kern w:val="0"/>
                <w:sz w:val="21"/>
                <w:szCs w:val="21"/>
                <w:highlight w:val="none"/>
              </w:rPr>
              <w:t>防洪标准</w:t>
            </w:r>
          </w:p>
          <w:p>
            <w:pPr>
              <w:spacing w:line="280" w:lineRule="exact"/>
              <w:jc w:val="center"/>
              <w:rPr>
                <w:rFonts w:eastAsia="楷体"/>
                <w:color w:val="auto"/>
                <w:kern w:val="0"/>
                <w:sz w:val="21"/>
                <w:szCs w:val="21"/>
                <w:highlight w:val="none"/>
              </w:rPr>
            </w:pPr>
            <w:r>
              <w:rPr>
                <w:rFonts w:eastAsia="楷体"/>
                <w:color w:val="auto"/>
                <w:kern w:val="0"/>
                <w:sz w:val="21"/>
                <w:szCs w:val="21"/>
                <w:highlight w:val="none"/>
              </w:rPr>
              <w:t>（重现期：年）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vMerge w:val="continue"/>
            <w:noWrap/>
            <w:vAlign w:val="center"/>
          </w:tcPr>
          <w:p>
            <w:pPr>
              <w:widowControl/>
              <w:spacing w:line="280" w:lineRule="exact"/>
              <w:jc w:val="left"/>
              <w:rPr>
                <w:rFonts w:eastAsia="楷体"/>
                <w:color w:val="auto"/>
                <w:kern w:val="0"/>
                <w:sz w:val="21"/>
                <w:szCs w:val="21"/>
                <w:highlight w:val="none"/>
              </w:rPr>
            </w:pPr>
          </w:p>
        </w:tc>
        <w:tc>
          <w:tcPr>
            <w:tcW w:w="1928" w:type="dxa"/>
            <w:vMerge w:val="continue"/>
            <w:noWrap/>
            <w:vAlign w:val="center"/>
          </w:tcPr>
          <w:p>
            <w:pPr>
              <w:widowControl/>
              <w:spacing w:line="280" w:lineRule="exact"/>
              <w:jc w:val="left"/>
              <w:rPr>
                <w:rFonts w:eastAsia="楷体"/>
                <w:color w:val="auto"/>
                <w:kern w:val="0"/>
                <w:sz w:val="21"/>
                <w:szCs w:val="21"/>
                <w:highlight w:val="none"/>
              </w:rPr>
            </w:pPr>
          </w:p>
        </w:tc>
        <w:tc>
          <w:tcPr>
            <w:tcW w:w="1364" w:type="dxa"/>
            <w:vMerge w:val="continue"/>
            <w:noWrap/>
            <w:vAlign w:val="center"/>
          </w:tcPr>
          <w:p>
            <w:pPr>
              <w:spacing w:line="280" w:lineRule="exact"/>
              <w:jc w:val="center"/>
              <w:rPr>
                <w:rFonts w:eastAsia="楷体"/>
                <w:color w:val="auto"/>
                <w:kern w:val="0"/>
                <w:sz w:val="21"/>
                <w:szCs w:val="21"/>
                <w:highlight w:val="none"/>
              </w:rPr>
            </w:pPr>
          </w:p>
        </w:tc>
        <w:tc>
          <w:tcPr>
            <w:tcW w:w="1492" w:type="dxa"/>
            <w:vMerge w:val="continue"/>
            <w:noWrap/>
            <w:vAlign w:val="center"/>
          </w:tcPr>
          <w:p>
            <w:pPr>
              <w:spacing w:line="280" w:lineRule="exact"/>
              <w:jc w:val="center"/>
              <w:rPr>
                <w:rFonts w:eastAsia="楷体"/>
                <w:color w:val="auto"/>
                <w:kern w:val="0"/>
                <w:sz w:val="21"/>
                <w:szCs w:val="21"/>
                <w:highlight w:val="none"/>
              </w:rPr>
            </w:pPr>
          </w:p>
        </w:tc>
        <w:tc>
          <w:tcPr>
            <w:tcW w:w="1466" w:type="dxa"/>
            <w:vMerge w:val="continue"/>
            <w:noWrap/>
            <w:vAlign w:val="center"/>
          </w:tcPr>
          <w:p>
            <w:pPr>
              <w:spacing w:line="280" w:lineRule="exact"/>
              <w:jc w:val="center"/>
              <w:rPr>
                <w:rFonts w:eastAsia="楷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w:t>
            </w:r>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德阳市</w:t>
            </w: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城区（旌阳区）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绵远河、石亭江</w:t>
            </w:r>
          </w:p>
        </w:tc>
        <w:tc>
          <w:tcPr>
            <w:tcW w:w="1364" w:type="dxa"/>
            <w:noWrap/>
            <w:vAlign w:val="center"/>
          </w:tcPr>
          <w:p>
            <w:pPr>
              <w:widowControl/>
              <w:spacing w:line="280" w:lineRule="exact"/>
              <w:jc w:val="center"/>
              <w:rPr>
                <w:rFonts w:eastAsia="楷体"/>
                <w:color w:val="auto"/>
                <w:kern w:val="0"/>
                <w:sz w:val="21"/>
                <w:szCs w:val="21"/>
                <w:highlight w:val="none"/>
              </w:rPr>
            </w:pPr>
            <w:r>
              <w:rPr>
                <w:rFonts w:hint="eastAsia" w:eastAsia="楷体"/>
                <w:color w:val="auto"/>
                <w:kern w:val="0"/>
                <w:sz w:val="21"/>
                <w:szCs w:val="21"/>
                <w:highlight w:val="none"/>
                <w:lang w:val="en-US" w:eastAsia="zh-CN"/>
              </w:rPr>
              <w:t>20～</w:t>
            </w:r>
            <w:r>
              <w:rPr>
                <w:rFonts w:eastAsia="楷体"/>
                <w:color w:val="auto"/>
                <w:kern w:val="0"/>
                <w:sz w:val="21"/>
                <w:szCs w:val="21"/>
                <w:highlight w:val="none"/>
              </w:rPr>
              <w:t>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广汉市</w:t>
            </w:r>
          </w:p>
        </w:tc>
        <w:tc>
          <w:tcPr>
            <w:tcW w:w="1928" w:type="dxa"/>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hint="eastAsia" w:eastAsia="楷体"/>
                <w:color w:val="auto"/>
                <w:spacing w:val="-11"/>
                <w:kern w:val="0"/>
                <w:sz w:val="21"/>
                <w:szCs w:val="21"/>
                <w:highlight w:val="none"/>
                <w:lang w:val="en-US" w:eastAsia="zh-CN"/>
              </w:rPr>
              <w:t>湔江（</w:t>
            </w:r>
            <w:r>
              <w:rPr>
                <w:rFonts w:eastAsia="楷体"/>
                <w:color w:val="auto"/>
                <w:spacing w:val="-11"/>
                <w:kern w:val="0"/>
                <w:sz w:val="21"/>
                <w:szCs w:val="21"/>
                <w:highlight w:val="none"/>
              </w:rPr>
              <w:t>鸭子河</w:t>
            </w:r>
            <w:r>
              <w:rPr>
                <w:rFonts w:hint="eastAsia" w:eastAsia="楷体"/>
                <w:color w:val="auto"/>
                <w:spacing w:val="-11"/>
                <w:kern w:val="0"/>
                <w:sz w:val="21"/>
                <w:szCs w:val="21"/>
                <w:highlight w:val="none"/>
                <w:lang w:val="en-US" w:eastAsia="zh-CN"/>
              </w:rPr>
              <w:t>）</w:t>
            </w:r>
            <w:r>
              <w:rPr>
                <w:rFonts w:eastAsia="楷体"/>
                <w:color w:val="auto"/>
                <w:spacing w:val="-11"/>
                <w:kern w:val="0"/>
                <w:sz w:val="21"/>
                <w:szCs w:val="21"/>
                <w:highlight w:val="none"/>
              </w:rPr>
              <w:t>、青白江、北外河、濛阳河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绵竹市</w:t>
            </w:r>
          </w:p>
        </w:tc>
        <w:tc>
          <w:tcPr>
            <w:tcW w:w="1928" w:type="dxa"/>
            <w:noWrap/>
            <w:vAlign w:val="center"/>
          </w:tcPr>
          <w:p>
            <w:pPr>
              <w:keepNext w:val="0"/>
              <w:keepLines w:val="0"/>
              <w:pageBreakBefore w:val="0"/>
              <w:widowControl/>
              <w:kinsoku/>
              <w:wordWrap/>
              <w:overflowPunct/>
              <w:topLinePunct w:val="0"/>
              <w:autoSpaceDE/>
              <w:autoSpaceDN/>
              <w:bidi w:val="0"/>
              <w:adjustRightInd/>
              <w:snapToGrid/>
              <w:spacing w:line="240" w:lineRule="exact"/>
              <w:jc w:val="left"/>
              <w:textAlignment w:val="auto"/>
              <w:rPr>
                <w:rFonts w:eastAsia="楷体"/>
                <w:color w:val="auto"/>
                <w:kern w:val="0"/>
                <w:sz w:val="21"/>
                <w:szCs w:val="21"/>
                <w:highlight w:val="none"/>
              </w:rPr>
            </w:pPr>
            <w:r>
              <w:rPr>
                <w:rFonts w:eastAsia="楷体"/>
                <w:color w:val="auto"/>
                <w:kern w:val="0"/>
                <w:sz w:val="21"/>
                <w:szCs w:val="21"/>
                <w:highlight w:val="none"/>
              </w:rPr>
              <w:t>马尾河（石亭江支流）、射水河（石亭江支流）</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w:t>
            </w:r>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成都市</w:t>
            </w: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龙泉驿区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西江河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青白江区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毗河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新都区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毗河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彭州市</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湔江</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金堂县</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沱江、北河、</w:t>
            </w:r>
          </w:p>
          <w:p>
            <w:pPr>
              <w:widowControl/>
              <w:spacing w:line="280" w:lineRule="exact"/>
              <w:ind w:firstLine="0" w:firstLineChars="0"/>
              <w:jc w:val="center"/>
              <w:rPr>
                <w:rFonts w:eastAsia="楷体"/>
                <w:color w:val="auto"/>
                <w:kern w:val="0"/>
                <w:sz w:val="21"/>
                <w:szCs w:val="21"/>
                <w:highlight w:val="none"/>
              </w:rPr>
            </w:pPr>
            <w:r>
              <w:rPr>
                <w:rFonts w:eastAsia="楷体"/>
                <w:color w:val="auto"/>
                <w:kern w:val="0"/>
                <w:sz w:val="21"/>
                <w:szCs w:val="21"/>
                <w:highlight w:val="none"/>
              </w:rPr>
              <w:t>中河、毗河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5～10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淮州新城（金堂</w:t>
            </w:r>
            <w:r>
              <w:rPr>
                <w:rFonts w:hint="eastAsia" w:eastAsia="楷体"/>
                <w:color w:val="auto"/>
                <w:kern w:val="0"/>
                <w:sz w:val="21"/>
                <w:szCs w:val="21"/>
                <w:highlight w:val="none"/>
                <w:lang w:val="en-US" w:eastAsia="zh-CN"/>
              </w:rPr>
              <w:t>县</w:t>
            </w:r>
            <w:r>
              <w:rPr>
                <w:rFonts w:eastAsia="楷体"/>
                <w:color w:val="auto"/>
                <w:kern w:val="0"/>
                <w:sz w:val="21"/>
                <w:szCs w:val="21"/>
                <w:highlight w:val="none"/>
              </w:rPr>
              <w:t>）</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简阳市</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沱江、绛溪河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简州新城（简阳</w:t>
            </w:r>
            <w:r>
              <w:rPr>
                <w:rFonts w:hint="eastAsia" w:eastAsia="楷体"/>
                <w:color w:val="auto"/>
                <w:kern w:val="0"/>
                <w:sz w:val="21"/>
                <w:szCs w:val="21"/>
                <w:highlight w:val="none"/>
                <w:lang w:val="en-US" w:eastAsia="zh-CN"/>
              </w:rPr>
              <w:t>市</w:t>
            </w:r>
            <w:r>
              <w:rPr>
                <w:rFonts w:eastAsia="楷体"/>
                <w:color w:val="auto"/>
                <w:kern w:val="0"/>
                <w:sz w:val="21"/>
                <w:szCs w:val="21"/>
                <w:highlight w:val="none"/>
              </w:rPr>
              <w:t>）</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3</w:t>
            </w:r>
          </w:p>
        </w:tc>
        <w:tc>
          <w:tcPr>
            <w:tcW w:w="85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资阳市</w:t>
            </w: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雁江区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沱江、九曲河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4</w:t>
            </w:r>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内江市</w:t>
            </w:r>
          </w:p>
        </w:tc>
        <w:tc>
          <w:tcPr>
            <w:tcW w:w="1760" w:type="dxa"/>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eastAsia="楷体"/>
                <w:color w:val="auto"/>
                <w:kern w:val="0"/>
                <w:sz w:val="21"/>
                <w:szCs w:val="21"/>
                <w:highlight w:val="none"/>
              </w:rPr>
              <w:t>城区</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eastAsia="楷体"/>
                <w:color w:val="auto"/>
                <w:kern w:val="0"/>
                <w:sz w:val="21"/>
                <w:szCs w:val="21"/>
                <w:highlight w:val="none"/>
              </w:rPr>
              <w:t>（市中区、东兴区）</w:t>
            </w:r>
          </w:p>
        </w:tc>
        <w:tc>
          <w:tcPr>
            <w:tcW w:w="1928" w:type="dxa"/>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eastAsia="楷体"/>
                <w:color w:val="auto"/>
                <w:kern w:val="0"/>
                <w:sz w:val="21"/>
                <w:szCs w:val="21"/>
                <w:highlight w:val="none"/>
              </w:rPr>
              <w:t>沱江</w:t>
            </w:r>
          </w:p>
        </w:tc>
        <w:tc>
          <w:tcPr>
            <w:tcW w:w="1364" w:type="dxa"/>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eastAsia="楷体"/>
                <w:color w:val="auto"/>
                <w:kern w:val="0"/>
                <w:sz w:val="21"/>
                <w:szCs w:val="21"/>
                <w:highlight w:val="none"/>
              </w:rPr>
              <w:t>左岸20</w:t>
            </w:r>
          </w:p>
          <w:p>
            <w:pPr>
              <w:keepNext w:val="0"/>
              <w:keepLines w:val="0"/>
              <w:pageBreakBefore w:val="0"/>
              <w:widowControl/>
              <w:kinsoku/>
              <w:wordWrap/>
              <w:overflowPunct/>
              <w:topLinePunct w:val="0"/>
              <w:autoSpaceDE/>
              <w:autoSpaceDN/>
              <w:bidi w:val="0"/>
              <w:adjustRightInd/>
              <w:snapToGrid/>
              <w:spacing w:line="240" w:lineRule="exact"/>
              <w:jc w:val="center"/>
              <w:textAlignment w:val="auto"/>
              <w:rPr>
                <w:rFonts w:eastAsia="楷体"/>
                <w:color w:val="auto"/>
                <w:kern w:val="0"/>
                <w:sz w:val="21"/>
                <w:szCs w:val="21"/>
                <w:highlight w:val="none"/>
              </w:rPr>
            </w:pPr>
            <w:r>
              <w:rPr>
                <w:rFonts w:eastAsia="楷体"/>
                <w:color w:val="auto"/>
                <w:kern w:val="0"/>
                <w:sz w:val="21"/>
                <w:szCs w:val="21"/>
                <w:highlight w:val="none"/>
              </w:rPr>
              <w:t>右岸50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资中县</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w:t>
            </w:r>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自贡市</w:t>
            </w:r>
          </w:p>
        </w:tc>
        <w:tc>
          <w:tcPr>
            <w:tcW w:w="1760" w:type="dxa"/>
            <w:noWrap/>
            <w:vAlign w:val="center"/>
          </w:tcPr>
          <w:p>
            <w:pPr>
              <w:widowControl/>
              <w:spacing w:line="280" w:lineRule="exact"/>
              <w:jc w:val="center"/>
              <w:rPr>
                <w:rFonts w:hint="eastAsia" w:eastAsia="楷体"/>
                <w:color w:val="auto"/>
                <w:kern w:val="0"/>
                <w:sz w:val="21"/>
                <w:szCs w:val="21"/>
                <w:highlight w:val="none"/>
                <w:lang w:eastAsia="zh-CN"/>
              </w:rPr>
            </w:pPr>
            <w:r>
              <w:rPr>
                <w:rFonts w:hint="eastAsia" w:eastAsia="楷体"/>
                <w:color w:val="auto"/>
                <w:kern w:val="0"/>
                <w:sz w:val="21"/>
                <w:szCs w:val="21"/>
                <w:highlight w:val="none"/>
                <w:lang w:val="en-US" w:eastAsia="zh-CN"/>
              </w:rPr>
              <w:t>城区</w:t>
            </w:r>
            <w:r>
              <w:rPr>
                <w:rFonts w:eastAsia="楷体"/>
                <w:color w:val="auto"/>
                <w:kern w:val="0"/>
                <w:sz w:val="21"/>
                <w:szCs w:val="21"/>
                <w:highlight w:val="none"/>
              </w:rPr>
              <w:t>（自流井区</w:t>
            </w:r>
            <w:r>
              <w:rPr>
                <w:rFonts w:hint="eastAsia" w:eastAsia="楷体"/>
                <w:color w:val="auto"/>
                <w:kern w:val="0"/>
                <w:sz w:val="21"/>
                <w:szCs w:val="21"/>
                <w:highlight w:val="none"/>
                <w:lang w:eastAsia="zh-CN"/>
              </w:rPr>
              <w:t>、</w:t>
            </w:r>
            <w:r>
              <w:rPr>
                <w:rFonts w:hint="eastAsia" w:eastAsia="楷体"/>
                <w:color w:val="auto"/>
                <w:kern w:val="0"/>
                <w:sz w:val="21"/>
                <w:szCs w:val="21"/>
                <w:highlight w:val="none"/>
                <w:lang w:val="en-US" w:eastAsia="zh-CN"/>
              </w:rPr>
              <w:t>贡井区</w:t>
            </w:r>
            <w:r>
              <w:rPr>
                <w:rFonts w:eastAsia="楷体"/>
                <w:color w:val="auto"/>
                <w:kern w:val="0"/>
                <w:sz w:val="21"/>
                <w:szCs w:val="21"/>
                <w:highlight w:val="none"/>
              </w:rPr>
              <w:t>）</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釜溪河、旭水河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富顺县</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沱江、釜溪河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6</w:t>
            </w:r>
          </w:p>
        </w:tc>
        <w:tc>
          <w:tcPr>
            <w:tcW w:w="850" w:type="dxa"/>
            <w:vMerge w:val="restart"/>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泸州市</w:t>
            </w: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龙马潭区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沱江、濑溪河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江阳区</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沱江、米溪沟河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10</w:t>
            </w:r>
            <w:r>
              <w:rPr>
                <w:rFonts w:hint="eastAsia" w:eastAsia="楷体"/>
                <w:color w:val="auto"/>
                <w:kern w:val="0"/>
                <w:sz w:val="21"/>
                <w:szCs w:val="21"/>
                <w:highlight w:val="none"/>
                <w:lang w:eastAsia="zh-CN"/>
              </w:rPr>
              <w:t>～</w:t>
            </w: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20～50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6" w:type="dxa"/>
            <w:vMerge w:val="continue"/>
            <w:noWrap/>
            <w:vAlign w:val="center"/>
          </w:tcPr>
          <w:p>
            <w:pPr>
              <w:widowControl/>
              <w:spacing w:line="280" w:lineRule="exact"/>
              <w:jc w:val="left"/>
              <w:rPr>
                <w:rFonts w:eastAsia="楷体"/>
                <w:color w:val="auto"/>
                <w:kern w:val="0"/>
                <w:sz w:val="21"/>
                <w:szCs w:val="21"/>
                <w:highlight w:val="none"/>
              </w:rPr>
            </w:pPr>
          </w:p>
        </w:tc>
        <w:tc>
          <w:tcPr>
            <w:tcW w:w="850" w:type="dxa"/>
            <w:vMerge w:val="continue"/>
            <w:noWrap/>
            <w:vAlign w:val="center"/>
          </w:tcPr>
          <w:p>
            <w:pPr>
              <w:widowControl/>
              <w:spacing w:line="280" w:lineRule="exact"/>
              <w:jc w:val="left"/>
              <w:rPr>
                <w:rFonts w:eastAsia="楷体"/>
                <w:color w:val="auto"/>
                <w:kern w:val="0"/>
                <w:sz w:val="21"/>
                <w:szCs w:val="21"/>
                <w:highlight w:val="none"/>
              </w:rPr>
            </w:pPr>
          </w:p>
        </w:tc>
        <w:tc>
          <w:tcPr>
            <w:tcW w:w="1760"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泸县</w:t>
            </w:r>
          </w:p>
        </w:tc>
        <w:tc>
          <w:tcPr>
            <w:tcW w:w="1928"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濑溪河、龙市河</w:t>
            </w:r>
          </w:p>
        </w:tc>
        <w:tc>
          <w:tcPr>
            <w:tcW w:w="1364"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92"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c>
          <w:tcPr>
            <w:tcW w:w="1466" w:type="dxa"/>
            <w:noWrap/>
            <w:vAlign w:val="center"/>
          </w:tcPr>
          <w:p>
            <w:pPr>
              <w:widowControl/>
              <w:spacing w:line="280" w:lineRule="exact"/>
              <w:jc w:val="center"/>
              <w:rPr>
                <w:rFonts w:eastAsia="楷体"/>
                <w:color w:val="auto"/>
                <w:kern w:val="0"/>
                <w:sz w:val="21"/>
                <w:szCs w:val="21"/>
                <w:highlight w:val="none"/>
              </w:rPr>
            </w:pPr>
            <w:r>
              <w:rPr>
                <w:rFonts w:eastAsia="楷体"/>
                <w:color w:val="auto"/>
                <w:kern w:val="0"/>
                <w:sz w:val="21"/>
                <w:szCs w:val="21"/>
                <w:highlight w:val="none"/>
              </w:rPr>
              <w:t>20</w:t>
            </w:r>
          </w:p>
        </w:tc>
      </w:tr>
    </w:tbl>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59" w:name="_Toc124757338"/>
      <w:r>
        <w:rPr>
          <w:b w:val="0"/>
          <w:bCs w:val="0"/>
          <w:color w:val="auto"/>
          <w:highlight w:val="none"/>
        </w:rPr>
        <w:t>第三节  防洪规划总体布局</w:t>
      </w:r>
      <w:bookmarkEnd w:id="59"/>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w:t>
      </w:r>
      <w:bookmarkStart w:id="60" w:name="_Hlk121907809"/>
      <w:r>
        <w:rPr>
          <w:rStyle w:val="550"/>
          <w:rFonts w:hint="eastAsia" w:ascii="黑体" w:hAnsi="黑体" w:eastAsia="黑体" w:cs="黑体"/>
          <w:b w:val="0"/>
          <w:bCs/>
          <w:color w:val="auto"/>
          <w:highlight w:val="none"/>
        </w:rPr>
        <w:t>总体布局</w:t>
      </w:r>
      <w:bookmarkEnd w:id="60"/>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根据沱江流域地形与洪水特性，沱江流域防洪总体布局坚持</w:t>
      </w:r>
      <w:r>
        <w:rPr>
          <w:rFonts w:hint="eastAsia"/>
          <w:color w:val="auto"/>
          <w:sz w:val="30"/>
          <w:szCs w:val="30"/>
          <w:highlight w:val="none"/>
          <w:lang w:eastAsia="zh-CN"/>
        </w:rPr>
        <w:t>“</w:t>
      </w:r>
      <w:r>
        <w:rPr>
          <w:color w:val="auto"/>
          <w:sz w:val="30"/>
          <w:szCs w:val="30"/>
          <w:highlight w:val="none"/>
        </w:rPr>
        <w:t>以泄为主、蓄泄兼筹</w:t>
      </w:r>
      <w:r>
        <w:rPr>
          <w:rFonts w:hint="eastAsia"/>
          <w:color w:val="auto"/>
          <w:sz w:val="30"/>
          <w:szCs w:val="30"/>
          <w:highlight w:val="none"/>
          <w:lang w:eastAsia="zh-CN"/>
        </w:rPr>
        <w:t>”</w:t>
      </w:r>
      <w:r>
        <w:rPr>
          <w:color w:val="auto"/>
          <w:sz w:val="30"/>
          <w:szCs w:val="30"/>
          <w:highlight w:val="none"/>
        </w:rPr>
        <w:t>的方针，因地制宜</w:t>
      </w:r>
      <w:r>
        <w:rPr>
          <w:rFonts w:hint="eastAsia"/>
          <w:color w:val="auto"/>
          <w:sz w:val="30"/>
          <w:szCs w:val="30"/>
          <w:highlight w:val="none"/>
          <w:lang w:eastAsia="zh-CN"/>
        </w:rPr>
        <w:t>、</w:t>
      </w:r>
      <w:r>
        <w:rPr>
          <w:color w:val="auto"/>
          <w:sz w:val="30"/>
          <w:szCs w:val="30"/>
          <w:highlight w:val="none"/>
        </w:rPr>
        <w:t>分段施策</w:t>
      </w:r>
      <w:r>
        <w:rPr>
          <w:rFonts w:hint="eastAsia"/>
          <w:color w:val="auto"/>
          <w:sz w:val="30"/>
          <w:szCs w:val="30"/>
          <w:highlight w:val="none"/>
          <w:lang w:val="en-US" w:eastAsia="zh-CN"/>
        </w:rPr>
        <w:t>，以堤防为主，堤库结合，辅以河道整治，采用</w:t>
      </w:r>
      <w:r>
        <w:rPr>
          <w:color w:val="auto"/>
          <w:sz w:val="30"/>
          <w:szCs w:val="30"/>
          <w:highlight w:val="none"/>
        </w:rPr>
        <w:t>工程措施与非工程措施相结合</w:t>
      </w:r>
      <w:r>
        <w:rPr>
          <w:rFonts w:hint="eastAsia"/>
          <w:color w:val="auto"/>
          <w:sz w:val="30"/>
          <w:szCs w:val="30"/>
          <w:highlight w:val="none"/>
          <w:lang w:eastAsia="zh-CN"/>
        </w:rPr>
        <w:t>的</w:t>
      </w:r>
      <w:r>
        <w:rPr>
          <w:rFonts w:hint="eastAsia"/>
          <w:color w:val="auto"/>
          <w:sz w:val="30"/>
          <w:szCs w:val="30"/>
          <w:highlight w:val="none"/>
          <w:lang w:val="en-US" w:eastAsia="zh-CN"/>
        </w:rPr>
        <w:t>防洪布局方案</w:t>
      </w:r>
      <w:r>
        <w:rPr>
          <w:color w:val="auto"/>
          <w:sz w:val="30"/>
          <w:szCs w:val="30"/>
          <w:highlight w:val="none"/>
        </w:rPr>
        <w:t>，逐步完善沱江流域防洪减灾体系。</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eastAsia" w:ascii="楷体_GB2312" w:hAnsi="楷体_GB2312" w:eastAsia="楷体_GB2312" w:cs="楷体_GB2312"/>
          <w:color w:val="auto"/>
          <w:sz w:val="30"/>
          <w:szCs w:val="30"/>
          <w:highlight w:val="none"/>
          <w:lang w:eastAsia="zh-CN"/>
        </w:rPr>
      </w:pPr>
      <w:r>
        <w:rPr>
          <w:rFonts w:hint="eastAsia" w:ascii="楷体_GB2312" w:hAnsi="楷体_GB2312" w:eastAsia="楷体_GB2312" w:cs="楷体_GB2312"/>
          <w:color w:val="auto"/>
          <w:sz w:val="30"/>
          <w:szCs w:val="30"/>
          <w:highlight w:val="none"/>
        </w:rPr>
        <w:t>（一）工程</w:t>
      </w:r>
      <w:r>
        <w:rPr>
          <w:rFonts w:hint="eastAsia" w:ascii="楷体_GB2312" w:hAnsi="楷体_GB2312" w:eastAsia="楷体_GB2312" w:cs="楷体_GB2312"/>
          <w:color w:val="auto"/>
          <w:sz w:val="30"/>
          <w:szCs w:val="30"/>
          <w:highlight w:val="none"/>
          <w:lang w:val="en-US" w:eastAsia="zh-CN"/>
        </w:rPr>
        <w:t>措施</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bookmarkStart w:id="61" w:name="_Hlk121908078"/>
      <w:r>
        <w:rPr>
          <w:color w:val="auto"/>
          <w:sz w:val="30"/>
          <w:szCs w:val="30"/>
          <w:highlight w:val="none"/>
        </w:rPr>
        <w:t>1.金堂县以上河段</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洪水主要由山区洪水叠加平原水网区洪水组成，</w:t>
      </w:r>
      <w:r>
        <w:rPr>
          <w:rFonts w:hint="eastAsia"/>
          <w:color w:val="auto"/>
          <w:sz w:val="30"/>
          <w:szCs w:val="30"/>
          <w:highlight w:val="none"/>
          <w:lang w:val="en-US" w:eastAsia="zh-CN"/>
        </w:rPr>
        <w:t>洪水</w:t>
      </w:r>
      <w:r>
        <w:rPr>
          <w:color w:val="auto"/>
          <w:sz w:val="30"/>
          <w:szCs w:val="30"/>
          <w:highlight w:val="none"/>
        </w:rPr>
        <w:t>峰高量大</w:t>
      </w:r>
      <w:r>
        <w:rPr>
          <w:rFonts w:hint="eastAsia"/>
          <w:color w:val="auto"/>
          <w:sz w:val="30"/>
          <w:szCs w:val="30"/>
          <w:highlight w:val="none"/>
          <w:lang w:eastAsia="zh-CN"/>
        </w:rPr>
        <w:t>，</w:t>
      </w:r>
      <w:r>
        <w:rPr>
          <w:color w:val="auto"/>
          <w:sz w:val="30"/>
          <w:szCs w:val="30"/>
          <w:highlight w:val="none"/>
        </w:rPr>
        <w:t>历时较短。</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（1）上游山区以山洪灾害防治为主，并在支流有条件的地方建设防洪水库</w:t>
      </w:r>
      <w:r>
        <w:rPr>
          <w:rFonts w:hint="eastAsia"/>
          <w:color w:val="auto"/>
          <w:sz w:val="30"/>
          <w:szCs w:val="30"/>
          <w:highlight w:val="none"/>
          <w:lang w:val="en-US" w:eastAsia="zh-CN"/>
        </w:rPr>
        <w:t>工程</w:t>
      </w:r>
      <w:r>
        <w:rPr>
          <w:color w:val="auto"/>
          <w:sz w:val="30"/>
          <w:szCs w:val="30"/>
          <w:highlight w:val="none"/>
        </w:rPr>
        <w:t>，减轻上游各支流及干流洪水压力。</w:t>
      </w:r>
      <w:bookmarkStart w:id="62" w:name="_Hlk121055678"/>
    </w:p>
    <w:p>
      <w:pPr>
        <w:pStyle w:val="154"/>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color w:val="auto"/>
          <w:sz w:val="30"/>
          <w:szCs w:val="30"/>
          <w:highlight w:val="none"/>
        </w:rPr>
      </w:pPr>
      <w:r>
        <w:rPr>
          <w:color w:val="auto"/>
          <w:sz w:val="30"/>
          <w:szCs w:val="30"/>
          <w:highlight w:val="none"/>
        </w:rPr>
        <w:t>（2）上游平原区</w:t>
      </w:r>
      <w:r>
        <w:rPr>
          <w:rFonts w:hint="eastAsia"/>
          <w:color w:val="auto"/>
          <w:sz w:val="30"/>
          <w:szCs w:val="30"/>
          <w:highlight w:val="none"/>
          <w:lang w:val="en-US" w:eastAsia="zh-CN"/>
        </w:rPr>
        <w:t>以河道治理为主，采取</w:t>
      </w:r>
      <w:r>
        <w:rPr>
          <w:color w:val="auto"/>
          <w:sz w:val="30"/>
          <w:szCs w:val="30"/>
          <w:highlight w:val="none"/>
        </w:rPr>
        <w:t>堤库结合，完善防洪工程体系。金堂县城区在整治河道提高行洪能力的基础上，</w:t>
      </w:r>
      <w:r>
        <w:rPr>
          <w:rFonts w:hint="eastAsia"/>
          <w:color w:val="auto"/>
          <w:sz w:val="30"/>
          <w:szCs w:val="30"/>
          <w:highlight w:val="none"/>
          <w:lang w:val="en-US" w:eastAsia="zh-CN"/>
        </w:rPr>
        <w:t>建设</w:t>
      </w:r>
      <w:r>
        <w:rPr>
          <w:color w:val="auto"/>
          <w:sz w:val="30"/>
          <w:szCs w:val="30"/>
          <w:highlight w:val="none"/>
        </w:rPr>
        <w:t>堤防护岸</w:t>
      </w:r>
      <w:r>
        <w:rPr>
          <w:rFonts w:hint="eastAsia"/>
          <w:color w:val="auto"/>
          <w:sz w:val="30"/>
          <w:szCs w:val="30"/>
          <w:highlight w:val="none"/>
          <w:lang w:val="en-US" w:eastAsia="zh-CN"/>
        </w:rPr>
        <w:t>工程</w:t>
      </w:r>
      <w:r>
        <w:rPr>
          <w:color w:val="auto"/>
          <w:sz w:val="30"/>
          <w:szCs w:val="30"/>
          <w:highlight w:val="none"/>
        </w:rPr>
        <w:t>，在适当地方建设分洪、蓄滞洪工程。</w:t>
      </w:r>
    </w:p>
    <w:bookmarkEnd w:id="61"/>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2.金堂县以</w:t>
      </w:r>
      <w:bookmarkStart w:id="63" w:name="_Hlk121908435"/>
      <w:r>
        <w:rPr>
          <w:color w:val="auto"/>
          <w:sz w:val="30"/>
          <w:szCs w:val="30"/>
          <w:highlight w:val="none"/>
        </w:rPr>
        <w:t>下</w:t>
      </w:r>
      <w:bookmarkEnd w:id="63"/>
      <w:r>
        <w:rPr>
          <w:color w:val="auto"/>
          <w:sz w:val="30"/>
          <w:szCs w:val="30"/>
          <w:highlight w:val="none"/>
        </w:rPr>
        <w:t>河段</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bookmarkStart w:id="64" w:name="_Hlk121908478"/>
      <w:r>
        <w:rPr>
          <w:color w:val="auto"/>
          <w:sz w:val="30"/>
          <w:szCs w:val="30"/>
          <w:highlight w:val="none"/>
        </w:rPr>
        <w:t>金堂县以下主要城市除自贡市外，流域内其余城市</w:t>
      </w:r>
      <w:r>
        <w:rPr>
          <w:rFonts w:hint="eastAsia"/>
          <w:color w:val="auto"/>
          <w:sz w:val="30"/>
          <w:szCs w:val="30"/>
          <w:highlight w:val="none"/>
          <w:lang w:val="en-US" w:eastAsia="zh-CN"/>
        </w:rPr>
        <w:t>均紧临</w:t>
      </w:r>
      <w:r>
        <w:rPr>
          <w:color w:val="auto"/>
          <w:sz w:val="30"/>
          <w:szCs w:val="30"/>
          <w:highlight w:val="none"/>
        </w:rPr>
        <w:t>沱江干流，防洪工程措施以河道治理为主，内江市至泸州市</w:t>
      </w:r>
      <w:r>
        <w:rPr>
          <w:rFonts w:hint="eastAsia"/>
          <w:color w:val="auto"/>
          <w:sz w:val="30"/>
          <w:szCs w:val="30"/>
          <w:highlight w:val="none"/>
          <w:lang w:val="en-US" w:eastAsia="zh-CN"/>
        </w:rPr>
        <w:t>干流河段</w:t>
      </w:r>
      <w:r>
        <w:rPr>
          <w:color w:val="auto"/>
          <w:sz w:val="30"/>
          <w:szCs w:val="30"/>
          <w:highlight w:val="none"/>
        </w:rPr>
        <w:t>河道整治工程可与沱江航道升级工程统筹实施；自贡市城区位于支流釜溪河，在河道治理的基础上，考虑在支流新建防洪水库或分洪工程。</w:t>
      </w:r>
    </w:p>
    <w:bookmarkEnd w:id="64"/>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（二）非工程措施</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color w:val="auto"/>
          <w:sz w:val="30"/>
          <w:szCs w:val="30"/>
          <w:highlight w:val="none"/>
          <w:lang w:val="en-US" w:eastAsia="zh-CN"/>
        </w:rPr>
        <w:t>根据流域非工程措施现状和新的治水思路，非工程措施建设包括防洪区管理、防洪调度与工程管理、防汛调度指挥系统建设、水文基础设施建设、政策法规建设、管理体制机制建设等方面。以防洪区管理和防洪调度为重点，</w:t>
      </w:r>
      <w:r>
        <w:rPr>
          <w:color w:val="auto"/>
          <w:sz w:val="30"/>
          <w:szCs w:val="30"/>
          <w:highlight w:val="none"/>
        </w:rPr>
        <w:t>加强</w:t>
      </w:r>
      <w:r>
        <w:rPr>
          <w:rFonts w:hint="eastAsia"/>
          <w:color w:val="auto"/>
          <w:sz w:val="30"/>
          <w:szCs w:val="30"/>
          <w:highlight w:val="none"/>
          <w:lang w:val="en-US" w:eastAsia="zh-CN"/>
        </w:rPr>
        <w:t>加快信息化、自动化、智能化建设，建立流域洪水一体化监测预报预警系统</w:t>
      </w:r>
      <w:r>
        <w:rPr>
          <w:color w:val="auto"/>
          <w:sz w:val="30"/>
          <w:szCs w:val="30"/>
          <w:highlight w:val="none"/>
        </w:rPr>
        <w:t>，</w:t>
      </w:r>
      <w:r>
        <w:rPr>
          <w:rFonts w:hint="eastAsia"/>
          <w:color w:val="auto"/>
          <w:sz w:val="30"/>
          <w:szCs w:val="30"/>
          <w:highlight w:val="none"/>
          <w:lang w:val="en-US" w:eastAsia="zh-CN"/>
        </w:rPr>
        <w:t>完善防汛预案，强化预案演练，加强灾害防治宣传教育，增强风险防范意识。</w:t>
      </w:r>
    </w:p>
    <w:bookmarkEnd w:id="62"/>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二、洪水出路总体安排</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根据流域内主要城镇拟采取的工程措施、设防水位与相应流量及超额洪量情况，布局主要城镇洪水出路安排。</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流域城市除金堂县、自贡市、泸州市需要考虑上游蓄洪水库和分蓄洪工程外，其他城市均采用提高河道泄洪能力的方式。</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金堂县城区20年一遇归槽设计洪峰流量7080m</w:t>
      </w:r>
      <w:r>
        <w:rPr>
          <w:color w:val="auto"/>
          <w:sz w:val="30"/>
          <w:szCs w:val="30"/>
          <w:highlight w:val="none"/>
          <w:vertAlign w:val="superscript"/>
        </w:rPr>
        <w:t>3</w:t>
      </w:r>
      <w:r>
        <w:rPr>
          <w:color w:val="auto"/>
          <w:sz w:val="30"/>
          <w:szCs w:val="30"/>
          <w:highlight w:val="none"/>
        </w:rPr>
        <w:t>/s，城区按照10年一遇标准建设堤防，实施河道疏浚、干流金堂段局部拓卡，将沱江安全下泄流量从现状5500m</w:t>
      </w:r>
      <w:r>
        <w:rPr>
          <w:color w:val="auto"/>
          <w:sz w:val="30"/>
          <w:szCs w:val="30"/>
          <w:highlight w:val="none"/>
          <w:vertAlign w:val="superscript"/>
        </w:rPr>
        <w:t>3</w:t>
      </w:r>
      <w:r>
        <w:rPr>
          <w:color w:val="auto"/>
          <w:sz w:val="30"/>
          <w:szCs w:val="30"/>
          <w:highlight w:val="none"/>
        </w:rPr>
        <w:t>/s提升到6600m</w:t>
      </w:r>
      <w:r>
        <w:rPr>
          <w:color w:val="auto"/>
          <w:sz w:val="30"/>
          <w:szCs w:val="30"/>
          <w:highlight w:val="none"/>
          <w:vertAlign w:val="superscript"/>
        </w:rPr>
        <w:t>3</w:t>
      </w:r>
      <w:r>
        <w:rPr>
          <w:color w:val="auto"/>
          <w:sz w:val="30"/>
          <w:szCs w:val="30"/>
          <w:highlight w:val="none"/>
        </w:rPr>
        <w:t>/s，建设毗河分蓄洪工程（毗河分洪工程和桤木河蓄滞洪库工程），即毗河分洪工程分流超额洪水流量480m</w:t>
      </w:r>
      <w:r>
        <w:rPr>
          <w:color w:val="auto"/>
          <w:sz w:val="30"/>
          <w:szCs w:val="30"/>
          <w:highlight w:val="none"/>
          <w:vertAlign w:val="superscript"/>
        </w:rPr>
        <w:t>3</w:t>
      </w:r>
      <w:r>
        <w:rPr>
          <w:color w:val="auto"/>
          <w:sz w:val="30"/>
          <w:szCs w:val="30"/>
          <w:highlight w:val="none"/>
        </w:rPr>
        <w:t>/s引到桤木河蓄滞洪库囤蓄，待沱江干流洪水过境后再退水，滞蓄超额洪量1380万m</w:t>
      </w:r>
      <w:r>
        <w:rPr>
          <w:color w:val="auto"/>
          <w:sz w:val="30"/>
          <w:szCs w:val="30"/>
          <w:highlight w:val="none"/>
          <w:vertAlign w:val="superscript"/>
        </w:rPr>
        <w:t>3</w:t>
      </w:r>
      <w:r>
        <w:rPr>
          <w:color w:val="auto"/>
          <w:sz w:val="30"/>
          <w:szCs w:val="30"/>
          <w:highlight w:val="none"/>
        </w:rPr>
        <w:t>。金堂县城区远景在具备提高防洪标准条件的基础上，可进一步研究超额洪水的出路。</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自贡市城区50年一遇洪水洪峰流量2810m</w:t>
      </w:r>
      <w:r>
        <w:rPr>
          <w:color w:val="auto"/>
          <w:sz w:val="30"/>
          <w:szCs w:val="30"/>
          <w:highlight w:val="none"/>
          <w:vertAlign w:val="superscript"/>
        </w:rPr>
        <w:t>3</w:t>
      </w:r>
      <w:r>
        <w:rPr>
          <w:color w:val="auto"/>
          <w:sz w:val="30"/>
          <w:szCs w:val="30"/>
          <w:highlight w:val="none"/>
        </w:rPr>
        <w:t>/s，按规划完成河道整治和堤防建设后，城区旭水河安全下泄流量可达2230</w:t>
      </w:r>
      <w:bookmarkStart w:id="65" w:name="_Hlk121234807"/>
      <w:r>
        <w:rPr>
          <w:color w:val="auto"/>
          <w:sz w:val="30"/>
          <w:szCs w:val="30"/>
          <w:highlight w:val="none"/>
        </w:rPr>
        <w:t>m</w:t>
      </w:r>
      <w:r>
        <w:rPr>
          <w:color w:val="auto"/>
          <w:sz w:val="30"/>
          <w:szCs w:val="30"/>
          <w:highlight w:val="none"/>
          <w:vertAlign w:val="superscript"/>
        </w:rPr>
        <w:t>3</w:t>
      </w:r>
      <w:r>
        <w:rPr>
          <w:color w:val="auto"/>
          <w:sz w:val="30"/>
          <w:szCs w:val="30"/>
          <w:highlight w:val="none"/>
        </w:rPr>
        <w:t>/s</w:t>
      </w:r>
      <w:bookmarkEnd w:id="65"/>
      <w:r>
        <w:rPr>
          <w:color w:val="auto"/>
          <w:sz w:val="30"/>
          <w:szCs w:val="30"/>
          <w:highlight w:val="none"/>
        </w:rPr>
        <w:t>（相当于20年一遇洪水标准），超额洪水拟采取新建麻柳湾</w:t>
      </w:r>
      <w:r>
        <w:rPr>
          <w:rFonts w:hint="eastAsia"/>
          <w:color w:val="auto"/>
          <w:sz w:val="30"/>
          <w:szCs w:val="30"/>
          <w:highlight w:val="none"/>
          <w:lang w:val="en-US" w:eastAsia="zh-CN"/>
        </w:rPr>
        <w:t>分蓄洪</w:t>
      </w:r>
      <w:r>
        <w:rPr>
          <w:color w:val="auto"/>
          <w:sz w:val="30"/>
          <w:szCs w:val="30"/>
          <w:highlight w:val="none"/>
        </w:rPr>
        <w:t>工程解决。</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泸州市城区50年一遇洪水洪峰流量17800m</w:t>
      </w:r>
      <w:r>
        <w:rPr>
          <w:color w:val="auto"/>
          <w:sz w:val="30"/>
          <w:szCs w:val="30"/>
          <w:highlight w:val="none"/>
          <w:vertAlign w:val="superscript"/>
        </w:rPr>
        <w:t>3</w:t>
      </w:r>
      <w:r>
        <w:rPr>
          <w:color w:val="auto"/>
          <w:sz w:val="30"/>
          <w:szCs w:val="30"/>
          <w:highlight w:val="none"/>
        </w:rPr>
        <w:t>/s，按规划完成河道整治和堤防建设后，规划水平年2035年安全下泄流量可达14200m</w:t>
      </w:r>
      <w:r>
        <w:rPr>
          <w:color w:val="auto"/>
          <w:sz w:val="30"/>
          <w:szCs w:val="30"/>
          <w:highlight w:val="none"/>
          <w:vertAlign w:val="superscript"/>
        </w:rPr>
        <w:t>3</w:t>
      </w:r>
      <w:r>
        <w:rPr>
          <w:color w:val="auto"/>
          <w:sz w:val="30"/>
          <w:szCs w:val="30"/>
          <w:highlight w:val="none"/>
        </w:rPr>
        <w:t>/s（相当于20年一遇洪水标准），超额洪水考虑由长江上游及支流水库蓄洪调度减轻长江洪水顶托影响，使城区安全下泄流量达17800m</w:t>
      </w:r>
      <w:r>
        <w:rPr>
          <w:color w:val="auto"/>
          <w:sz w:val="30"/>
          <w:szCs w:val="30"/>
          <w:highlight w:val="none"/>
          <w:vertAlign w:val="superscript"/>
        </w:rPr>
        <w:t>3</w:t>
      </w:r>
      <w:r>
        <w:rPr>
          <w:color w:val="auto"/>
          <w:sz w:val="30"/>
          <w:szCs w:val="30"/>
          <w:highlight w:val="none"/>
        </w:rPr>
        <w:t>/s。</w:t>
      </w:r>
      <w:r>
        <w:rPr>
          <w:rFonts w:hint="eastAsia"/>
          <w:color w:val="auto"/>
          <w:sz w:val="30"/>
          <w:szCs w:val="30"/>
          <w:highlight w:val="none"/>
          <w:lang w:val="en-US" w:eastAsia="zh-CN"/>
        </w:rPr>
        <w:t>重点</w:t>
      </w:r>
      <w:r>
        <w:rPr>
          <w:color w:val="auto"/>
          <w:sz w:val="30"/>
          <w:szCs w:val="30"/>
          <w:highlight w:val="none"/>
        </w:rPr>
        <w:t>城</w:t>
      </w:r>
      <w:r>
        <w:rPr>
          <w:rFonts w:hint="eastAsia"/>
          <w:color w:val="auto"/>
          <w:sz w:val="30"/>
          <w:szCs w:val="30"/>
          <w:highlight w:val="none"/>
          <w:lang w:val="en-US" w:eastAsia="zh-CN"/>
        </w:rPr>
        <w:t>市</w:t>
      </w:r>
      <w:r>
        <w:rPr>
          <w:color w:val="auto"/>
          <w:sz w:val="30"/>
          <w:szCs w:val="30"/>
          <w:highlight w:val="none"/>
        </w:rPr>
        <w:t>洪水出路安排详见表3.3.1。</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表3.3.1                沱江流域重点城</w:t>
      </w:r>
      <w:r>
        <w:rPr>
          <w:rFonts w:hint="eastAsia" w:ascii="Times New Roman"/>
          <w:b w:val="0"/>
          <w:bCs w:val="0"/>
          <w:color w:val="auto"/>
          <w:sz w:val="28"/>
          <w:highlight w:val="none"/>
          <w:lang w:val="en-US" w:eastAsia="zh-CN"/>
        </w:rPr>
        <w:t>市</w:t>
      </w:r>
      <w:r>
        <w:rPr>
          <w:rFonts w:ascii="Times New Roman"/>
          <w:b w:val="0"/>
          <w:bCs w:val="0"/>
          <w:color w:val="auto"/>
          <w:sz w:val="28"/>
          <w:highlight w:val="none"/>
        </w:rPr>
        <w:t>洪水出路安排表</w:t>
      </w:r>
    </w:p>
    <w:tbl>
      <w:tblPr>
        <w:tblStyle w:val="88"/>
        <w:tblW w:w="5000" w:type="pct"/>
        <w:jc w:val="center"/>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890"/>
        <w:gridCol w:w="792"/>
        <w:gridCol w:w="1278"/>
        <w:gridCol w:w="1049"/>
        <w:gridCol w:w="1135"/>
        <w:gridCol w:w="991"/>
        <w:gridCol w:w="1135"/>
        <w:gridCol w:w="1098"/>
      </w:tblGrid>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市</w:t>
            </w:r>
          </w:p>
        </w:tc>
        <w:tc>
          <w:tcPr>
            <w:tcW w:w="479"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县（区、市）</w:t>
            </w:r>
          </w:p>
        </w:tc>
        <w:tc>
          <w:tcPr>
            <w:tcW w:w="1679" w:type="pct"/>
            <w:gridSpan w:val="3"/>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目标洪水</w:t>
            </w:r>
          </w:p>
        </w:tc>
        <w:tc>
          <w:tcPr>
            <w:tcW w:w="2347" w:type="pct"/>
            <w:gridSpan w:val="4"/>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洪水出路</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26"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重现期　</w:t>
            </w:r>
          </w:p>
        </w:tc>
        <w:tc>
          <w:tcPr>
            <w:tcW w:w="688"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洪峰流量</w:t>
            </w:r>
          </w:p>
        </w:tc>
        <w:tc>
          <w:tcPr>
            <w:tcW w:w="564" w:type="pct"/>
            <w:vMerge w:val="restart"/>
            <w:tcBorders>
              <w:tl2br w:val="nil"/>
              <w:tr2bl w:val="nil"/>
            </w:tcBorders>
            <w:noWrap/>
            <w:vAlign w:val="center"/>
          </w:tcPr>
          <w:p>
            <w:pPr>
              <w:widowControl/>
              <w:jc w:val="center"/>
              <w:rPr>
                <w:rFonts w:hint="eastAsia" w:ascii="楷体" w:hAnsi="楷体" w:eastAsia="楷体"/>
                <w:color w:val="auto"/>
                <w:kern w:val="0"/>
                <w:sz w:val="21"/>
                <w:szCs w:val="21"/>
                <w:highlight w:val="none"/>
              </w:rPr>
            </w:pPr>
            <w:r>
              <w:rPr>
                <w:rFonts w:eastAsia="宋体"/>
                <w:color w:val="auto"/>
                <w:kern w:val="0"/>
                <w:sz w:val="21"/>
                <w:szCs w:val="21"/>
                <w:highlight w:val="none"/>
              </w:rPr>
              <w:t>3</w:t>
            </w:r>
            <w:r>
              <w:rPr>
                <w:rFonts w:hint="eastAsia" w:ascii="楷体" w:hAnsi="楷体" w:eastAsia="楷体"/>
                <w:color w:val="auto"/>
                <w:kern w:val="0"/>
                <w:sz w:val="21"/>
                <w:szCs w:val="21"/>
                <w:highlight w:val="none"/>
              </w:rPr>
              <w:t>日</w:t>
            </w:r>
          </w:p>
          <w:p>
            <w:pPr>
              <w:widowControl/>
              <w:jc w:val="center"/>
              <w:rPr>
                <w:rFonts w:eastAsia="宋体"/>
                <w:color w:val="auto"/>
                <w:kern w:val="0"/>
                <w:sz w:val="21"/>
                <w:szCs w:val="21"/>
                <w:highlight w:val="none"/>
              </w:rPr>
            </w:pPr>
            <w:r>
              <w:rPr>
                <w:rFonts w:hint="eastAsia" w:ascii="楷体" w:hAnsi="楷体" w:eastAsia="楷体"/>
                <w:color w:val="auto"/>
                <w:kern w:val="0"/>
                <w:sz w:val="21"/>
                <w:szCs w:val="21"/>
                <w:highlight w:val="none"/>
              </w:rPr>
              <w:t>设计洪量</w:t>
            </w:r>
          </w:p>
        </w:tc>
        <w:tc>
          <w:tcPr>
            <w:tcW w:w="1145" w:type="pct"/>
            <w:gridSpan w:val="2"/>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河道安全下泄洪水</w:t>
            </w:r>
          </w:p>
        </w:tc>
        <w:tc>
          <w:tcPr>
            <w:tcW w:w="1202" w:type="pct"/>
            <w:gridSpan w:val="2"/>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分蓄洪工程</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26"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688"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564" w:type="pct"/>
            <w:vMerge w:val="continue"/>
            <w:tcBorders>
              <w:tl2br w:val="nil"/>
              <w:tr2bl w:val="nil"/>
            </w:tcBorders>
            <w:noWrap/>
            <w:vAlign w:val="center"/>
          </w:tcPr>
          <w:p>
            <w:pPr>
              <w:widowControl/>
              <w:jc w:val="left"/>
              <w:rPr>
                <w:rFonts w:eastAsia="宋体"/>
                <w:color w:val="auto"/>
                <w:kern w:val="0"/>
                <w:sz w:val="21"/>
                <w:szCs w:val="21"/>
                <w:highlight w:val="none"/>
              </w:rPr>
            </w:pPr>
          </w:p>
        </w:tc>
        <w:tc>
          <w:tcPr>
            <w:tcW w:w="61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bookmarkStart w:id="66" w:name="RANGE!H37"/>
            <w:r>
              <w:rPr>
                <w:rFonts w:hint="eastAsia" w:ascii="楷体" w:hAnsi="楷体" w:eastAsia="楷体" w:cs="宋体"/>
                <w:color w:val="auto"/>
                <w:kern w:val="0"/>
                <w:sz w:val="21"/>
                <w:szCs w:val="21"/>
                <w:highlight w:val="none"/>
              </w:rPr>
              <w:t>下泄流量</w:t>
            </w:r>
            <w:bookmarkEnd w:id="66"/>
          </w:p>
        </w:tc>
        <w:tc>
          <w:tcPr>
            <w:tcW w:w="534"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下泄洪量</w:t>
            </w:r>
          </w:p>
        </w:tc>
        <w:tc>
          <w:tcPr>
            <w:tcW w:w="61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分蓄流量</w:t>
            </w:r>
          </w:p>
        </w:tc>
        <w:tc>
          <w:tcPr>
            <w:tcW w:w="59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分蓄洪量</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26"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年</w:t>
            </w:r>
          </w:p>
        </w:tc>
        <w:tc>
          <w:tcPr>
            <w:tcW w:w="688"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eastAsia="楷体"/>
                <w:color w:val="auto"/>
                <w:kern w:val="0"/>
                <w:sz w:val="21"/>
                <w:szCs w:val="21"/>
                <w:highlight w:val="none"/>
              </w:rPr>
              <w:t>m</w:t>
            </w:r>
            <w:r>
              <w:rPr>
                <w:rFonts w:eastAsia="楷体"/>
                <w:color w:val="auto"/>
                <w:kern w:val="0"/>
                <w:sz w:val="21"/>
                <w:szCs w:val="21"/>
                <w:highlight w:val="none"/>
                <w:vertAlign w:val="superscript"/>
              </w:rPr>
              <w:t>3</w:t>
            </w:r>
            <w:r>
              <w:rPr>
                <w:rFonts w:eastAsia="楷体"/>
                <w:color w:val="auto"/>
                <w:kern w:val="0"/>
                <w:sz w:val="21"/>
                <w:szCs w:val="21"/>
                <w:highlight w:val="none"/>
              </w:rPr>
              <w:t>/s</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hint="eastAsia" w:ascii="楷体" w:hAnsi="楷体" w:eastAsia="楷体"/>
                <w:color w:val="auto"/>
                <w:kern w:val="0"/>
                <w:sz w:val="21"/>
                <w:szCs w:val="21"/>
                <w:highlight w:val="none"/>
              </w:rPr>
              <w:t>亿</w:t>
            </w:r>
            <w:r>
              <w:rPr>
                <w:rFonts w:eastAsia="宋体"/>
                <w:color w:val="auto"/>
                <w:kern w:val="0"/>
                <w:sz w:val="21"/>
                <w:szCs w:val="21"/>
                <w:highlight w:val="none"/>
              </w:rPr>
              <w:t>m</w:t>
            </w:r>
            <w:r>
              <w:rPr>
                <w:rFonts w:eastAsia="宋体"/>
                <w:color w:val="auto"/>
                <w:kern w:val="0"/>
                <w:sz w:val="21"/>
                <w:szCs w:val="21"/>
                <w:highlight w:val="none"/>
                <w:vertAlign w:val="superscript"/>
              </w:rPr>
              <w:t>3</w:t>
            </w:r>
          </w:p>
        </w:tc>
        <w:tc>
          <w:tcPr>
            <w:tcW w:w="61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eastAsia="楷体"/>
                <w:color w:val="auto"/>
                <w:kern w:val="0"/>
                <w:sz w:val="21"/>
                <w:szCs w:val="21"/>
                <w:highlight w:val="none"/>
              </w:rPr>
              <w:t>m</w:t>
            </w:r>
            <w:r>
              <w:rPr>
                <w:rFonts w:eastAsia="楷体"/>
                <w:color w:val="auto"/>
                <w:kern w:val="0"/>
                <w:sz w:val="21"/>
                <w:szCs w:val="21"/>
                <w:highlight w:val="none"/>
                <w:vertAlign w:val="superscript"/>
              </w:rPr>
              <w:t>3</w:t>
            </w:r>
            <w:r>
              <w:rPr>
                <w:rFonts w:eastAsia="楷体"/>
                <w:color w:val="auto"/>
                <w:kern w:val="0"/>
                <w:sz w:val="21"/>
                <w:szCs w:val="21"/>
                <w:highlight w:val="none"/>
              </w:rPr>
              <w:t>/s</w:t>
            </w:r>
          </w:p>
        </w:tc>
        <w:tc>
          <w:tcPr>
            <w:tcW w:w="534"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亿</w:t>
            </w:r>
            <w:r>
              <w:rPr>
                <w:rFonts w:eastAsia="楷体"/>
                <w:color w:val="auto"/>
                <w:kern w:val="0"/>
                <w:sz w:val="21"/>
                <w:szCs w:val="21"/>
                <w:highlight w:val="none"/>
              </w:rPr>
              <w:t>m</w:t>
            </w:r>
            <w:r>
              <w:rPr>
                <w:rFonts w:eastAsia="楷体"/>
                <w:color w:val="auto"/>
                <w:kern w:val="0"/>
                <w:sz w:val="21"/>
                <w:szCs w:val="21"/>
                <w:highlight w:val="none"/>
                <w:vertAlign w:val="superscript"/>
              </w:rPr>
              <w:t>3</w:t>
            </w:r>
          </w:p>
        </w:tc>
        <w:tc>
          <w:tcPr>
            <w:tcW w:w="61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eastAsia="楷体"/>
                <w:color w:val="auto"/>
                <w:kern w:val="0"/>
                <w:sz w:val="21"/>
                <w:szCs w:val="21"/>
                <w:highlight w:val="none"/>
              </w:rPr>
              <w:t>m</w:t>
            </w:r>
            <w:r>
              <w:rPr>
                <w:rFonts w:eastAsia="楷体"/>
                <w:color w:val="auto"/>
                <w:kern w:val="0"/>
                <w:sz w:val="21"/>
                <w:szCs w:val="21"/>
                <w:highlight w:val="none"/>
                <w:vertAlign w:val="superscript"/>
              </w:rPr>
              <w:t>3</w:t>
            </w:r>
            <w:r>
              <w:rPr>
                <w:rFonts w:eastAsia="楷体"/>
                <w:color w:val="auto"/>
                <w:kern w:val="0"/>
                <w:sz w:val="21"/>
                <w:szCs w:val="21"/>
                <w:highlight w:val="none"/>
              </w:rPr>
              <w:t>/s</w:t>
            </w:r>
          </w:p>
        </w:tc>
        <w:tc>
          <w:tcPr>
            <w:tcW w:w="591"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亿</w:t>
            </w:r>
            <w:r>
              <w:rPr>
                <w:rFonts w:eastAsia="楷体"/>
                <w:color w:val="auto"/>
                <w:kern w:val="0"/>
                <w:sz w:val="21"/>
                <w:szCs w:val="21"/>
                <w:highlight w:val="none"/>
              </w:rPr>
              <w:t>m</w:t>
            </w:r>
            <w:r>
              <w:rPr>
                <w:rFonts w:eastAsia="楷体"/>
                <w:color w:val="auto"/>
                <w:kern w:val="0"/>
                <w:sz w:val="21"/>
                <w:szCs w:val="21"/>
                <w:highlight w:val="none"/>
                <w:vertAlign w:val="superscript"/>
              </w:rPr>
              <w:t>3</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德阳市</w:t>
            </w:r>
          </w:p>
        </w:tc>
        <w:tc>
          <w:tcPr>
            <w:tcW w:w="479" w:type="pct"/>
            <w:tcBorders>
              <w:tl2br w:val="nil"/>
              <w:tr2bl w:val="nil"/>
            </w:tcBorders>
            <w:noWrap/>
            <w:vAlign w:val="center"/>
          </w:tcPr>
          <w:p>
            <w:pPr>
              <w:widowControl/>
              <w:jc w:val="center"/>
              <w:rPr>
                <w:rFonts w:hint="eastAsia" w:ascii="楷体" w:hAnsi="楷体" w:eastAsia="楷体" w:cs="宋体"/>
                <w:color w:val="auto"/>
                <w:kern w:val="0"/>
                <w:sz w:val="21"/>
                <w:szCs w:val="21"/>
                <w:highlight w:val="none"/>
                <w:lang w:eastAsia="zh-CN"/>
              </w:rPr>
            </w:pPr>
            <w:r>
              <w:rPr>
                <w:rFonts w:hint="eastAsia" w:ascii="楷体" w:hAnsi="楷体" w:eastAsia="楷体" w:cs="宋体"/>
                <w:color w:val="auto"/>
                <w:kern w:val="0"/>
                <w:sz w:val="21"/>
                <w:szCs w:val="21"/>
                <w:highlight w:val="none"/>
              </w:rPr>
              <w:t>城区</w:t>
            </w:r>
            <w:r>
              <w:rPr>
                <w:rFonts w:hint="eastAsia" w:ascii="楷体" w:hAnsi="楷体" w:eastAsia="楷体" w:cs="宋体"/>
                <w:color w:val="auto"/>
                <w:kern w:val="0"/>
                <w:sz w:val="21"/>
                <w:szCs w:val="21"/>
                <w:highlight w:val="none"/>
                <w:lang w:eastAsia="zh-CN"/>
              </w:rPr>
              <w:t>（</w:t>
            </w:r>
            <w:r>
              <w:rPr>
                <w:rFonts w:hint="eastAsia" w:ascii="楷体" w:hAnsi="楷体" w:eastAsia="楷体" w:cs="宋体"/>
                <w:color w:val="auto"/>
                <w:kern w:val="0"/>
                <w:sz w:val="21"/>
                <w:szCs w:val="21"/>
                <w:highlight w:val="none"/>
                <w:lang w:val="en-US" w:eastAsia="zh-CN"/>
              </w:rPr>
              <w:t>旌阳区</w:t>
            </w:r>
            <w:r>
              <w:rPr>
                <w:rFonts w:hint="eastAsia" w:ascii="楷体" w:hAnsi="楷体" w:eastAsia="楷体" w:cs="宋体"/>
                <w:color w:val="auto"/>
                <w:kern w:val="0"/>
                <w:sz w:val="21"/>
                <w:szCs w:val="21"/>
                <w:highlight w:val="none"/>
                <w:lang w:eastAsia="zh-CN"/>
              </w:rPr>
              <w:t>）</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2170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2170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493"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成都市</w:t>
            </w: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金堂县</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20</w:t>
            </w:r>
          </w:p>
        </w:tc>
        <w:tc>
          <w:tcPr>
            <w:tcW w:w="688" w:type="pct"/>
            <w:tcBorders>
              <w:tl2br w:val="nil"/>
              <w:tr2bl w:val="nil"/>
            </w:tcBorders>
            <w:noWrap/>
            <w:vAlign w:val="center"/>
          </w:tcPr>
          <w:p>
            <w:pPr>
              <w:widowControl/>
              <w:spacing w:line="240" w:lineRule="exact"/>
              <w:jc w:val="center"/>
              <w:rPr>
                <w:rFonts w:eastAsia="宋体"/>
                <w:color w:val="auto"/>
                <w:kern w:val="0"/>
                <w:sz w:val="21"/>
                <w:szCs w:val="21"/>
                <w:highlight w:val="none"/>
              </w:rPr>
            </w:pPr>
            <w:r>
              <w:rPr>
                <w:rFonts w:eastAsia="宋体"/>
                <w:color w:val="auto"/>
                <w:kern w:val="0"/>
                <w:sz w:val="21"/>
                <w:szCs w:val="21"/>
                <w:highlight w:val="none"/>
              </w:rPr>
              <w:t>7080</w:t>
            </w:r>
          </w:p>
          <w:p>
            <w:pPr>
              <w:widowControl/>
              <w:spacing w:line="240" w:lineRule="exact"/>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（归槽洪水）</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11.2</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6600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11.1</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480</w:t>
            </w:r>
          </w:p>
        </w:tc>
        <w:tc>
          <w:tcPr>
            <w:tcW w:w="591" w:type="pct"/>
            <w:tcBorders>
              <w:tl2br w:val="nil"/>
              <w:tr2bl w:val="nil"/>
            </w:tcBorders>
            <w:noWrap/>
            <w:vAlign w:val="center"/>
          </w:tcPr>
          <w:p>
            <w:pPr>
              <w:widowControl/>
              <w:jc w:val="center"/>
              <w:rPr>
                <w:rFonts w:hint="eastAsia" w:eastAsia="宋体"/>
                <w:color w:val="auto"/>
                <w:kern w:val="0"/>
                <w:sz w:val="21"/>
                <w:szCs w:val="21"/>
                <w:highlight w:val="none"/>
                <w:lang w:eastAsia="zh-CN"/>
              </w:rPr>
            </w:pPr>
            <w:r>
              <w:rPr>
                <w:rFonts w:eastAsia="宋体"/>
                <w:color w:val="auto"/>
                <w:kern w:val="0"/>
                <w:sz w:val="21"/>
                <w:szCs w:val="21"/>
                <w:highlight w:val="none"/>
              </w:rPr>
              <w:t>0.1</w:t>
            </w:r>
            <w:r>
              <w:rPr>
                <w:rFonts w:hint="eastAsia" w:eastAsia="宋体"/>
                <w:color w:val="auto"/>
                <w:kern w:val="0"/>
                <w:sz w:val="21"/>
                <w:szCs w:val="21"/>
                <w:highlight w:val="none"/>
                <w:lang w:val="en-US" w:eastAsia="zh-CN"/>
              </w:rPr>
              <w:t>4</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简阳市</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9550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16.5</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9550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16.5</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资阳市</w:t>
            </w: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雁江区</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10800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10800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内江市</w:t>
            </w:r>
          </w:p>
        </w:tc>
        <w:tc>
          <w:tcPr>
            <w:tcW w:w="479" w:type="pct"/>
            <w:tcBorders>
              <w:tl2br w:val="nil"/>
              <w:tr2bl w:val="nil"/>
            </w:tcBorders>
            <w:noWrap/>
            <w:vAlign w:val="center"/>
          </w:tcPr>
          <w:p>
            <w:pPr>
              <w:widowControl/>
              <w:jc w:val="center"/>
              <w:rPr>
                <w:rFonts w:hint="eastAsia" w:ascii="楷体" w:hAnsi="楷体" w:eastAsia="楷体" w:cs="宋体"/>
                <w:color w:val="auto"/>
                <w:kern w:val="0"/>
                <w:sz w:val="21"/>
                <w:szCs w:val="21"/>
                <w:highlight w:val="none"/>
                <w:lang w:val="en-US" w:eastAsia="zh-CN"/>
              </w:rPr>
            </w:pPr>
            <w:r>
              <w:rPr>
                <w:rFonts w:hint="eastAsia" w:ascii="楷体" w:hAnsi="楷体" w:eastAsia="楷体" w:cs="宋体"/>
                <w:color w:val="auto"/>
                <w:kern w:val="0"/>
                <w:sz w:val="21"/>
                <w:szCs w:val="21"/>
                <w:highlight w:val="none"/>
              </w:rPr>
              <w:t>城区</w:t>
            </w:r>
            <w:r>
              <w:rPr>
                <w:rFonts w:hint="eastAsia" w:ascii="楷体" w:hAnsi="楷体" w:eastAsia="楷体" w:cs="宋体"/>
                <w:color w:val="auto"/>
                <w:kern w:val="0"/>
                <w:sz w:val="21"/>
                <w:szCs w:val="21"/>
                <w:highlight w:val="none"/>
                <w:lang w:eastAsia="zh-CN"/>
              </w:rPr>
              <w:t>（</w:t>
            </w:r>
            <w:r>
              <w:rPr>
                <w:rFonts w:hint="eastAsia" w:ascii="楷体" w:hAnsi="楷体" w:eastAsia="楷体" w:cs="宋体"/>
                <w:color w:val="auto"/>
                <w:kern w:val="0"/>
                <w:sz w:val="21"/>
                <w:szCs w:val="21"/>
                <w:highlight w:val="none"/>
                <w:lang w:val="en-US" w:eastAsia="zh-CN"/>
              </w:rPr>
              <w:t>市中区、东兴区</w:t>
            </w:r>
            <w:r>
              <w:rPr>
                <w:rFonts w:hint="eastAsia" w:ascii="楷体" w:hAnsi="楷体" w:eastAsia="楷体" w:cs="宋体"/>
                <w:color w:val="auto"/>
                <w:kern w:val="0"/>
                <w:sz w:val="21"/>
                <w:szCs w:val="21"/>
                <w:highlight w:val="none"/>
                <w:lang w:eastAsia="zh-CN"/>
              </w:rPr>
              <w:t>）</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13400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13400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资中县</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11800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11800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restar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自贡市</w:t>
            </w: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城区</w:t>
            </w:r>
            <w:r>
              <w:rPr>
                <w:rFonts w:eastAsia="楷体"/>
                <w:color w:val="auto"/>
                <w:kern w:val="0"/>
                <w:sz w:val="21"/>
                <w:szCs w:val="21"/>
                <w:highlight w:val="none"/>
              </w:rPr>
              <w:t>（自流井区</w:t>
            </w:r>
            <w:r>
              <w:rPr>
                <w:rFonts w:hint="eastAsia" w:eastAsia="楷体"/>
                <w:color w:val="auto"/>
                <w:kern w:val="0"/>
                <w:sz w:val="21"/>
                <w:szCs w:val="21"/>
                <w:highlight w:val="none"/>
                <w:lang w:eastAsia="zh-CN"/>
              </w:rPr>
              <w:t>、</w:t>
            </w:r>
            <w:r>
              <w:rPr>
                <w:rFonts w:hint="eastAsia" w:eastAsia="楷体"/>
                <w:color w:val="auto"/>
                <w:kern w:val="0"/>
                <w:sz w:val="21"/>
                <w:szCs w:val="21"/>
                <w:highlight w:val="none"/>
                <w:lang w:val="en-US" w:eastAsia="zh-CN"/>
              </w:rPr>
              <w:t>贡井区</w:t>
            </w:r>
            <w:r>
              <w:rPr>
                <w:rFonts w:eastAsia="楷体"/>
                <w:color w:val="auto"/>
                <w:kern w:val="0"/>
                <w:sz w:val="21"/>
                <w:szCs w:val="21"/>
                <w:highlight w:val="none"/>
              </w:rPr>
              <w:t>）</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2810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2230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580</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vMerge w:val="continue"/>
            <w:tcBorders>
              <w:tl2br w:val="nil"/>
              <w:tr2bl w:val="nil"/>
            </w:tcBorders>
            <w:noWrap/>
            <w:vAlign w:val="center"/>
          </w:tcPr>
          <w:p>
            <w:pPr>
              <w:widowControl/>
              <w:jc w:val="left"/>
              <w:rPr>
                <w:rFonts w:ascii="楷体" w:hAnsi="楷体" w:eastAsia="楷体" w:cs="宋体"/>
                <w:color w:val="auto"/>
                <w:kern w:val="0"/>
                <w:sz w:val="21"/>
                <w:szCs w:val="21"/>
                <w:highlight w:val="none"/>
              </w:rPr>
            </w:pPr>
          </w:p>
        </w:tc>
        <w:tc>
          <w:tcPr>
            <w:tcW w:w="479"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富顺县</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20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11900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11900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r>
        <w:tblPrEx>
          <w:tblBorders>
            <w:top w:val="single" w:color="auto" w:sz="8" w:space="0"/>
            <w:left w:val="single" w:color="auto" w:sz="8"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93" w:type="pct"/>
            <w:tcBorders>
              <w:tl2br w:val="nil"/>
              <w:tr2bl w:val="nil"/>
            </w:tcBorders>
            <w:noWrap/>
            <w:vAlign w:val="center"/>
          </w:tcPr>
          <w:p>
            <w:pPr>
              <w:widowControl/>
              <w:jc w:val="center"/>
              <w:rPr>
                <w:rFonts w:ascii="楷体" w:hAnsi="楷体" w:eastAsia="楷体" w:cs="宋体"/>
                <w:color w:val="auto"/>
                <w:kern w:val="0"/>
                <w:sz w:val="21"/>
                <w:szCs w:val="21"/>
                <w:highlight w:val="none"/>
              </w:rPr>
            </w:pPr>
            <w:r>
              <w:rPr>
                <w:rFonts w:hint="eastAsia" w:ascii="楷体" w:hAnsi="楷体" w:eastAsia="楷体" w:cs="宋体"/>
                <w:color w:val="auto"/>
                <w:kern w:val="0"/>
                <w:sz w:val="21"/>
                <w:szCs w:val="21"/>
                <w:highlight w:val="none"/>
              </w:rPr>
              <w:t>泸州市</w:t>
            </w:r>
          </w:p>
        </w:tc>
        <w:tc>
          <w:tcPr>
            <w:tcW w:w="479" w:type="pct"/>
            <w:tcBorders>
              <w:tl2br w:val="nil"/>
              <w:tr2bl w:val="nil"/>
            </w:tcBorders>
            <w:noWrap/>
            <w:vAlign w:val="center"/>
          </w:tcPr>
          <w:p>
            <w:pPr>
              <w:widowControl/>
              <w:jc w:val="center"/>
              <w:rPr>
                <w:rFonts w:hint="eastAsia" w:ascii="楷体" w:hAnsi="楷体" w:eastAsia="楷体" w:cs="宋体"/>
                <w:color w:val="auto"/>
                <w:kern w:val="0"/>
                <w:sz w:val="21"/>
                <w:szCs w:val="21"/>
                <w:highlight w:val="none"/>
                <w:lang w:eastAsia="zh-CN"/>
              </w:rPr>
            </w:pPr>
            <w:r>
              <w:rPr>
                <w:rFonts w:hint="eastAsia" w:ascii="楷体" w:hAnsi="楷体" w:eastAsia="楷体" w:cs="宋体"/>
                <w:color w:val="auto"/>
                <w:kern w:val="0"/>
                <w:sz w:val="21"/>
                <w:szCs w:val="21"/>
                <w:highlight w:val="none"/>
              </w:rPr>
              <w:t>城区</w:t>
            </w:r>
            <w:r>
              <w:rPr>
                <w:rFonts w:hint="eastAsia" w:ascii="楷体" w:hAnsi="楷体" w:eastAsia="楷体" w:cs="宋体"/>
                <w:color w:val="auto"/>
                <w:kern w:val="0"/>
                <w:sz w:val="21"/>
                <w:szCs w:val="21"/>
                <w:highlight w:val="none"/>
                <w:lang w:eastAsia="zh-CN"/>
              </w:rPr>
              <w:t>（</w:t>
            </w:r>
            <w:r>
              <w:rPr>
                <w:rFonts w:hint="eastAsia" w:ascii="楷体" w:hAnsi="楷体" w:eastAsia="楷体" w:cs="宋体"/>
                <w:color w:val="auto"/>
                <w:kern w:val="0"/>
                <w:sz w:val="21"/>
                <w:szCs w:val="21"/>
                <w:highlight w:val="none"/>
                <w:lang w:val="en-US" w:eastAsia="zh-CN"/>
              </w:rPr>
              <w:t>龙马潭区、江阳区</w:t>
            </w:r>
            <w:r>
              <w:rPr>
                <w:rFonts w:hint="eastAsia" w:ascii="楷体" w:hAnsi="楷体" w:eastAsia="楷体" w:cs="宋体"/>
                <w:color w:val="auto"/>
                <w:kern w:val="0"/>
                <w:sz w:val="21"/>
                <w:szCs w:val="21"/>
                <w:highlight w:val="none"/>
                <w:lang w:eastAsia="zh-CN"/>
              </w:rPr>
              <w:t>）</w:t>
            </w:r>
          </w:p>
        </w:tc>
        <w:tc>
          <w:tcPr>
            <w:tcW w:w="426" w:type="pct"/>
            <w:tcBorders>
              <w:tl2br w:val="nil"/>
              <w:tr2bl w:val="nil"/>
            </w:tcBorders>
            <w:noWrap/>
            <w:vAlign w:val="center"/>
          </w:tcPr>
          <w:p>
            <w:pPr>
              <w:widowControl/>
              <w:jc w:val="center"/>
              <w:rPr>
                <w:rFonts w:eastAsia="宋体"/>
                <w:color w:val="auto"/>
                <w:kern w:val="0"/>
                <w:sz w:val="21"/>
                <w:szCs w:val="21"/>
                <w:highlight w:val="none"/>
              </w:rPr>
            </w:pPr>
            <w:r>
              <w:rPr>
                <w:rFonts w:hint="eastAsia" w:eastAsia="宋体"/>
                <w:color w:val="auto"/>
                <w:kern w:val="0"/>
                <w:sz w:val="21"/>
                <w:szCs w:val="21"/>
                <w:highlight w:val="none"/>
                <w:lang w:val="en-US" w:eastAsia="zh-CN"/>
              </w:rPr>
              <w:t>20~</w:t>
            </w:r>
            <w:r>
              <w:rPr>
                <w:rFonts w:eastAsia="宋体"/>
                <w:color w:val="auto"/>
                <w:kern w:val="0"/>
                <w:sz w:val="21"/>
                <w:szCs w:val="21"/>
                <w:highlight w:val="none"/>
              </w:rPr>
              <w:t>50</w:t>
            </w:r>
          </w:p>
        </w:tc>
        <w:tc>
          <w:tcPr>
            <w:tcW w:w="688"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17800</w:t>
            </w:r>
          </w:p>
        </w:tc>
        <w:tc>
          <w:tcPr>
            <w:tcW w:w="56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17800</w:t>
            </w:r>
          </w:p>
        </w:tc>
        <w:tc>
          <w:tcPr>
            <w:tcW w:w="534"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61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c>
          <w:tcPr>
            <w:tcW w:w="591" w:type="pct"/>
            <w:tcBorders>
              <w:tl2br w:val="nil"/>
              <w:tr2bl w:val="nil"/>
            </w:tcBorders>
            <w:noWrap/>
            <w:vAlign w:val="center"/>
          </w:tcPr>
          <w:p>
            <w:pPr>
              <w:widowControl/>
              <w:jc w:val="center"/>
              <w:rPr>
                <w:rFonts w:eastAsia="宋体"/>
                <w:color w:val="auto"/>
                <w:kern w:val="0"/>
                <w:sz w:val="21"/>
                <w:szCs w:val="21"/>
                <w:highlight w:val="none"/>
              </w:rPr>
            </w:pPr>
            <w:r>
              <w:rPr>
                <w:rFonts w:eastAsia="宋体"/>
                <w:color w:val="auto"/>
                <w:kern w:val="0"/>
                <w:sz w:val="21"/>
                <w:szCs w:val="21"/>
                <w:highlight w:val="none"/>
              </w:rPr>
              <w:t>/</w:t>
            </w:r>
          </w:p>
        </w:tc>
      </w:tr>
    </w:tbl>
    <w:p>
      <w:pPr>
        <w:rPr>
          <w:color w:val="auto"/>
          <w:highlight w:val="none"/>
        </w:rPr>
      </w:pPr>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color w:val="auto"/>
          <w:highlight w:val="none"/>
        </w:rPr>
        <w:br w:type="page"/>
      </w:r>
      <w:bookmarkStart w:id="67" w:name="_Toc124757339"/>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lang w:val="en-US"/>
        </w:rPr>
      </w:pPr>
      <w:r>
        <w:rPr>
          <w:b w:val="0"/>
          <w:bCs w:val="0"/>
          <w:color w:val="auto"/>
          <w:highlight w:val="none"/>
        </w:rPr>
        <w:t>第</w:t>
      </w:r>
      <w:r>
        <w:rPr>
          <w:b w:val="0"/>
          <w:bCs w:val="0"/>
          <w:color w:val="auto"/>
          <w:highlight w:val="none"/>
          <w:lang w:val="en-US"/>
        </w:rPr>
        <w:t>四</w:t>
      </w:r>
      <w:r>
        <w:rPr>
          <w:b w:val="0"/>
          <w:bCs w:val="0"/>
          <w:color w:val="auto"/>
          <w:highlight w:val="none"/>
        </w:rPr>
        <w:t>章  重点城镇防洪规划</w:t>
      </w:r>
      <w:bookmarkEnd w:id="67"/>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68" w:name="_Toc124757340"/>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城镇防洪总体方案</w:t>
      </w:r>
      <w:bookmarkEnd w:id="68"/>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一、流域重点城镇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b w:val="0"/>
          <w:bCs w:val="0"/>
          <w:color w:val="auto"/>
          <w:sz w:val="30"/>
          <w:szCs w:val="30"/>
          <w:highlight w:val="none"/>
        </w:rPr>
        <w:t>流域内重点防洪保护对象包括德阳、资阳、内江、自贡、泸州5</w:t>
      </w:r>
      <w:r>
        <w:rPr>
          <w:rFonts w:hint="eastAsia"/>
          <w:b w:val="0"/>
          <w:bCs w:val="0"/>
          <w:color w:val="auto"/>
          <w:sz w:val="30"/>
          <w:szCs w:val="30"/>
          <w:highlight w:val="none"/>
          <w:lang w:val="en-US" w:eastAsia="zh-CN"/>
        </w:rPr>
        <w:t>个</w:t>
      </w:r>
      <w:r>
        <w:rPr>
          <w:color w:val="auto"/>
          <w:sz w:val="30"/>
          <w:szCs w:val="30"/>
          <w:highlight w:val="none"/>
        </w:rPr>
        <w:t>地级</w:t>
      </w:r>
      <w:r>
        <w:rPr>
          <w:rFonts w:hint="eastAsia"/>
          <w:color w:val="auto"/>
          <w:sz w:val="30"/>
          <w:szCs w:val="30"/>
          <w:highlight w:val="none"/>
          <w:lang w:val="en-US" w:eastAsia="zh-CN"/>
        </w:rPr>
        <w:t>城</w:t>
      </w:r>
      <w:r>
        <w:rPr>
          <w:color w:val="auto"/>
          <w:sz w:val="30"/>
          <w:szCs w:val="30"/>
          <w:highlight w:val="none"/>
        </w:rPr>
        <w:t>市和绵竹、广汉、金堂、简阳、资中、威远、隆昌、富顺、泸县</w:t>
      </w:r>
      <w:r>
        <w:rPr>
          <w:rFonts w:hint="eastAsia"/>
          <w:color w:val="auto"/>
          <w:sz w:val="30"/>
          <w:szCs w:val="30"/>
          <w:highlight w:val="none"/>
          <w:lang w:val="en-US" w:eastAsia="zh-CN"/>
        </w:rPr>
        <w:t>9个</w:t>
      </w:r>
      <w:r>
        <w:rPr>
          <w:color w:val="auto"/>
          <w:sz w:val="30"/>
          <w:szCs w:val="30"/>
          <w:highlight w:val="none"/>
        </w:rPr>
        <w:t>县级城市，2020年总人口约8</w:t>
      </w:r>
      <w:r>
        <w:rPr>
          <w:rFonts w:hint="eastAsia"/>
          <w:color w:val="auto"/>
          <w:sz w:val="30"/>
          <w:szCs w:val="30"/>
          <w:highlight w:val="none"/>
          <w:lang w:val="en-US" w:eastAsia="zh-CN"/>
        </w:rPr>
        <w:t>0</w:t>
      </w:r>
      <w:r>
        <w:rPr>
          <w:color w:val="auto"/>
          <w:sz w:val="30"/>
          <w:szCs w:val="30"/>
          <w:highlight w:val="none"/>
        </w:rPr>
        <w:t>6万人。其中，德阳、资阳、内江、自贡、泸州5</w:t>
      </w:r>
      <w:r>
        <w:rPr>
          <w:rFonts w:hint="eastAsia"/>
          <w:color w:val="auto"/>
          <w:sz w:val="30"/>
          <w:szCs w:val="30"/>
          <w:highlight w:val="none"/>
          <w:lang w:val="en-US" w:eastAsia="zh-CN"/>
        </w:rPr>
        <w:t>个</w:t>
      </w:r>
      <w:r>
        <w:rPr>
          <w:color w:val="auto"/>
          <w:sz w:val="30"/>
          <w:szCs w:val="30"/>
          <w:highlight w:val="none"/>
        </w:rPr>
        <w:t>地级市和广汉、金堂、简阳、资中、富顺、泸县</w:t>
      </w:r>
      <w:r>
        <w:rPr>
          <w:rFonts w:hint="eastAsia"/>
          <w:color w:val="auto"/>
          <w:sz w:val="30"/>
          <w:szCs w:val="30"/>
          <w:highlight w:val="none"/>
          <w:lang w:val="en-US" w:eastAsia="zh-CN"/>
        </w:rPr>
        <w:t>6个</w:t>
      </w:r>
      <w:r>
        <w:rPr>
          <w:color w:val="auto"/>
          <w:sz w:val="30"/>
          <w:szCs w:val="30"/>
          <w:highlight w:val="none"/>
        </w:rPr>
        <w:t>县级城市位于主要干支流沿岸</w:t>
      </w:r>
      <w:r>
        <w:rPr>
          <w:rFonts w:hint="eastAsia"/>
          <w:color w:val="auto"/>
          <w:sz w:val="30"/>
          <w:szCs w:val="30"/>
          <w:highlight w:val="none"/>
          <w:lang w:eastAsia="zh-CN"/>
        </w:rPr>
        <w:t>，</w:t>
      </w:r>
      <w:r>
        <w:rPr>
          <w:color w:val="auto"/>
          <w:sz w:val="30"/>
          <w:szCs w:val="30"/>
          <w:highlight w:val="none"/>
        </w:rPr>
        <w:t>防洪形势尤为严峻，为沱江流域防洪重点城镇，2020年总人口约7</w:t>
      </w:r>
      <w:r>
        <w:rPr>
          <w:rFonts w:hint="eastAsia"/>
          <w:color w:val="auto"/>
          <w:sz w:val="30"/>
          <w:szCs w:val="30"/>
          <w:highlight w:val="none"/>
          <w:lang w:val="en-US" w:eastAsia="zh-CN"/>
        </w:rPr>
        <w:t>2</w:t>
      </w:r>
      <w:r>
        <w:rPr>
          <w:color w:val="auto"/>
          <w:sz w:val="30"/>
          <w:szCs w:val="30"/>
          <w:highlight w:val="none"/>
        </w:rPr>
        <w:t>0万人。</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Style w:val="550"/>
          <w:rFonts w:hint="eastAsia" w:ascii="黑体" w:hAnsi="黑体" w:eastAsia="黑体" w:cs="黑体"/>
          <w:b w:val="0"/>
          <w:bCs/>
          <w:color w:val="auto"/>
          <w:highlight w:val="none"/>
          <w:lang w:val="en-US" w:eastAsia="zh-CN"/>
        </w:rPr>
        <w:t>流域重点城镇</w:t>
      </w:r>
      <w:r>
        <w:rPr>
          <w:rStyle w:val="550"/>
          <w:rFonts w:hint="eastAsia" w:ascii="黑体" w:hAnsi="黑体" w:eastAsia="黑体" w:cs="黑体"/>
          <w:b w:val="0"/>
          <w:bCs/>
          <w:color w:val="auto"/>
          <w:highlight w:val="none"/>
        </w:rPr>
        <w:t>防洪总体方案</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根据</w:t>
      </w:r>
      <w:r>
        <w:rPr>
          <w:rFonts w:hint="eastAsia"/>
          <w:color w:val="auto"/>
          <w:sz w:val="30"/>
          <w:szCs w:val="30"/>
          <w:highlight w:val="none"/>
          <w:lang w:val="en-US" w:eastAsia="zh-CN"/>
        </w:rPr>
        <w:t>沱江</w:t>
      </w:r>
      <w:r>
        <w:rPr>
          <w:color w:val="auto"/>
          <w:sz w:val="30"/>
          <w:szCs w:val="30"/>
          <w:highlight w:val="none"/>
        </w:rPr>
        <w:t>流域防洪总体布局，流域内城镇防洪主要采取</w:t>
      </w:r>
      <w:r>
        <w:rPr>
          <w:rFonts w:hint="eastAsia"/>
          <w:color w:val="auto"/>
          <w:sz w:val="30"/>
          <w:szCs w:val="30"/>
          <w:highlight w:val="none"/>
          <w:lang w:eastAsia="zh-CN"/>
        </w:rPr>
        <w:t>“</w:t>
      </w:r>
      <w:r>
        <w:rPr>
          <w:color w:val="auto"/>
          <w:sz w:val="30"/>
          <w:szCs w:val="30"/>
          <w:highlight w:val="none"/>
        </w:rPr>
        <w:t>以泄为主、蓄泄兼筹</w:t>
      </w:r>
      <w:r>
        <w:rPr>
          <w:rFonts w:hint="eastAsia"/>
          <w:color w:val="auto"/>
          <w:sz w:val="30"/>
          <w:szCs w:val="30"/>
          <w:highlight w:val="none"/>
          <w:lang w:eastAsia="zh-CN"/>
        </w:rPr>
        <w:t>”</w:t>
      </w:r>
      <w:r>
        <w:rPr>
          <w:color w:val="auto"/>
          <w:sz w:val="30"/>
          <w:szCs w:val="30"/>
          <w:highlight w:val="none"/>
        </w:rPr>
        <w:t>的方针，以堤防工程</w:t>
      </w:r>
      <w:r>
        <w:rPr>
          <w:rFonts w:hint="eastAsia"/>
          <w:color w:val="auto"/>
          <w:sz w:val="30"/>
          <w:szCs w:val="30"/>
          <w:highlight w:val="none"/>
          <w:lang w:val="en-US" w:eastAsia="zh-CN"/>
        </w:rPr>
        <w:t>建设为主，辅以</w:t>
      </w:r>
      <w:r>
        <w:rPr>
          <w:color w:val="auto"/>
          <w:sz w:val="30"/>
          <w:szCs w:val="30"/>
          <w:highlight w:val="none"/>
        </w:rPr>
        <w:t>河道整治，</w:t>
      </w:r>
      <w:r>
        <w:rPr>
          <w:rFonts w:hint="eastAsia"/>
          <w:color w:val="auto"/>
          <w:sz w:val="30"/>
          <w:szCs w:val="30"/>
          <w:highlight w:val="none"/>
          <w:lang w:val="en-US" w:eastAsia="zh-CN"/>
        </w:rPr>
        <w:t>因地制宜建设</w:t>
      </w:r>
      <w:r>
        <w:rPr>
          <w:color w:val="auto"/>
          <w:sz w:val="30"/>
          <w:szCs w:val="30"/>
          <w:highlight w:val="none"/>
        </w:rPr>
        <w:t>防洪水库及</w:t>
      </w:r>
      <w:r>
        <w:rPr>
          <w:rFonts w:hint="eastAsia"/>
          <w:color w:val="auto"/>
          <w:sz w:val="30"/>
          <w:szCs w:val="30"/>
          <w:highlight w:val="none"/>
          <w:lang w:val="en-US" w:eastAsia="zh-CN"/>
        </w:rPr>
        <w:t>分</w:t>
      </w:r>
      <w:r>
        <w:rPr>
          <w:color w:val="auto"/>
          <w:sz w:val="30"/>
          <w:szCs w:val="30"/>
          <w:highlight w:val="none"/>
        </w:rPr>
        <w:t>蓄洪工程，</w:t>
      </w:r>
      <w:r>
        <w:rPr>
          <w:rFonts w:hint="eastAsia"/>
          <w:color w:val="auto"/>
          <w:sz w:val="30"/>
          <w:szCs w:val="30"/>
          <w:highlight w:val="none"/>
          <w:lang w:val="en-US" w:eastAsia="zh-CN"/>
        </w:rPr>
        <w:t>采用工程措施与</w:t>
      </w:r>
      <w:r>
        <w:rPr>
          <w:color w:val="auto"/>
          <w:sz w:val="30"/>
          <w:szCs w:val="30"/>
          <w:highlight w:val="none"/>
        </w:rPr>
        <w:t>非工程防洪措施相</w:t>
      </w:r>
      <w:r>
        <w:rPr>
          <w:rFonts w:hint="eastAsia"/>
          <w:color w:val="auto"/>
          <w:sz w:val="30"/>
          <w:szCs w:val="30"/>
          <w:highlight w:val="none"/>
          <w:lang w:val="en-US" w:eastAsia="zh-CN"/>
        </w:rPr>
        <w:t>结合</w:t>
      </w:r>
      <w:r>
        <w:rPr>
          <w:color w:val="auto"/>
          <w:sz w:val="30"/>
          <w:szCs w:val="30"/>
          <w:highlight w:val="none"/>
        </w:rPr>
        <w:t>的防洪方案。</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69" w:name="_Toc124757341"/>
      <w:r>
        <w:rPr>
          <w:b w:val="0"/>
          <w:bCs w:val="0"/>
          <w:color w:val="auto"/>
          <w:highlight w:val="none"/>
        </w:rPr>
        <w:t>第二节  重点城镇防洪规划</w:t>
      </w:r>
      <w:bookmarkEnd w:id="69"/>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一、德阳市城区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德阳市是国家高端装备产业创新发展示范基地</w:t>
      </w:r>
      <w:r>
        <w:rPr>
          <w:rFonts w:hint="eastAsia"/>
          <w:color w:val="auto"/>
          <w:sz w:val="30"/>
          <w:szCs w:val="30"/>
          <w:highlight w:val="none"/>
          <w:lang w:eastAsia="zh-CN"/>
        </w:rPr>
        <w:t>、</w:t>
      </w:r>
      <w:r>
        <w:rPr>
          <w:color w:val="auto"/>
          <w:sz w:val="30"/>
          <w:szCs w:val="30"/>
          <w:highlight w:val="none"/>
        </w:rPr>
        <w:t>成都平原城市群副中心城市</w:t>
      </w:r>
      <w:r>
        <w:rPr>
          <w:rFonts w:hint="eastAsia"/>
          <w:color w:val="auto"/>
          <w:sz w:val="30"/>
          <w:szCs w:val="30"/>
          <w:highlight w:val="none"/>
          <w:lang w:eastAsia="zh-CN"/>
        </w:rPr>
        <w:t>、</w:t>
      </w:r>
      <w:r>
        <w:rPr>
          <w:color w:val="auto"/>
          <w:sz w:val="30"/>
          <w:szCs w:val="30"/>
          <w:highlight w:val="none"/>
        </w:rPr>
        <w:t>以古蜀文化和工业遗产为特色的文化名城</w:t>
      </w:r>
      <w:r>
        <w:rPr>
          <w:rFonts w:hint="eastAsia"/>
          <w:color w:val="auto"/>
          <w:sz w:val="30"/>
          <w:szCs w:val="30"/>
          <w:highlight w:val="none"/>
          <w:lang w:eastAsia="zh-CN"/>
        </w:rPr>
        <w:t>、</w:t>
      </w:r>
      <w:r>
        <w:rPr>
          <w:color w:val="auto"/>
          <w:sz w:val="30"/>
          <w:szCs w:val="30"/>
          <w:highlight w:val="none"/>
        </w:rPr>
        <w:t>生态田园典范城市。防洪保护</w:t>
      </w:r>
      <w:r>
        <w:rPr>
          <w:rFonts w:hint="eastAsia"/>
          <w:color w:val="auto"/>
          <w:sz w:val="30"/>
          <w:szCs w:val="30"/>
          <w:highlight w:val="none"/>
          <w:lang w:val="en-US" w:eastAsia="zh-CN"/>
        </w:rPr>
        <w:t>范围</w:t>
      </w:r>
      <w:r>
        <w:rPr>
          <w:color w:val="auto"/>
          <w:sz w:val="30"/>
          <w:szCs w:val="30"/>
          <w:highlight w:val="none"/>
        </w:rPr>
        <w:t>为德阳市城区</w:t>
      </w:r>
      <w:r>
        <w:rPr>
          <w:rFonts w:hint="eastAsia"/>
          <w:color w:val="auto"/>
          <w:sz w:val="30"/>
          <w:szCs w:val="30"/>
          <w:highlight w:val="none"/>
          <w:lang w:val="en-US" w:eastAsia="zh-CN"/>
        </w:rPr>
        <w:t>，保护区面积42km</w:t>
      </w:r>
      <w:r>
        <w:rPr>
          <w:rFonts w:hint="eastAsia"/>
          <w:color w:val="auto"/>
          <w:sz w:val="30"/>
          <w:szCs w:val="30"/>
          <w:highlight w:val="none"/>
          <w:vertAlign w:val="superscript"/>
          <w:lang w:val="en-US" w:eastAsia="zh-CN"/>
        </w:rPr>
        <w:t>2</w:t>
      </w:r>
      <w:r>
        <w:rPr>
          <w:color w:val="auto"/>
          <w:sz w:val="30"/>
          <w:szCs w:val="30"/>
          <w:highlight w:val="none"/>
        </w:rPr>
        <w:t>，</w:t>
      </w:r>
      <w:r>
        <w:rPr>
          <w:rFonts w:hint="eastAsia"/>
          <w:color w:val="auto"/>
          <w:sz w:val="30"/>
          <w:szCs w:val="30"/>
          <w:highlight w:val="none"/>
          <w:lang w:val="en-US" w:eastAsia="zh-CN"/>
        </w:rPr>
        <w:t>2020年常住人口49万人，</w:t>
      </w:r>
      <w:r>
        <w:rPr>
          <w:color w:val="auto"/>
          <w:sz w:val="30"/>
          <w:szCs w:val="30"/>
          <w:highlight w:val="none"/>
        </w:rPr>
        <w:t>主要保护对象包括重要的工矿企业、居民生活区及</w:t>
      </w:r>
      <w:r>
        <w:rPr>
          <w:rFonts w:hint="eastAsia"/>
          <w:color w:val="auto"/>
          <w:sz w:val="30"/>
          <w:szCs w:val="30"/>
          <w:highlight w:val="none"/>
        </w:rPr>
        <w:t>G5成绵高速、G9910成都都市圈环线高速、国道G108等</w:t>
      </w:r>
      <w:r>
        <w:rPr>
          <w:color w:val="auto"/>
          <w:sz w:val="30"/>
          <w:szCs w:val="30"/>
          <w:highlight w:val="none"/>
        </w:rPr>
        <w:t>交通公路以及重要的电力、通讯设施等。</w:t>
      </w:r>
      <w:r>
        <w:rPr>
          <w:rFonts w:hint="eastAsia"/>
          <w:color w:val="auto"/>
          <w:sz w:val="30"/>
          <w:szCs w:val="30"/>
          <w:highlight w:val="none"/>
          <w:lang w:val="en-US" w:eastAsia="zh-CN"/>
        </w:rPr>
        <w:t>规划</w:t>
      </w:r>
      <w:r>
        <w:rPr>
          <w:color w:val="auto"/>
          <w:sz w:val="30"/>
          <w:szCs w:val="30"/>
          <w:highlight w:val="none"/>
        </w:rPr>
        <w:t>德阳市城区防洪标准为50年一遇，排涝标准为20年一遇。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德阳</w:t>
      </w:r>
      <w:r>
        <w:rPr>
          <w:rFonts w:hint="eastAsia"/>
          <w:color w:val="auto"/>
          <w:sz w:val="30"/>
          <w:szCs w:val="30"/>
          <w:highlight w:val="none"/>
          <w:lang w:val="en-US" w:eastAsia="zh-CN"/>
        </w:rPr>
        <w:t>市</w:t>
      </w:r>
      <w:r>
        <w:rPr>
          <w:color w:val="auto"/>
          <w:sz w:val="30"/>
          <w:szCs w:val="30"/>
          <w:highlight w:val="none"/>
        </w:rPr>
        <w:t>城区目前已建堤</w:t>
      </w:r>
      <w:r>
        <w:rPr>
          <w:rFonts w:hint="eastAsia"/>
          <w:color w:val="auto"/>
          <w:sz w:val="30"/>
          <w:szCs w:val="30"/>
          <w:highlight w:val="none"/>
          <w:lang w:val="en-US" w:eastAsia="zh-CN"/>
        </w:rPr>
        <w:t>防</w:t>
      </w:r>
      <w:r>
        <w:rPr>
          <w:color w:val="auto"/>
          <w:sz w:val="30"/>
          <w:szCs w:val="30"/>
          <w:highlight w:val="none"/>
        </w:rPr>
        <w:t>均达标，规划对现状绵远河孟家河段按50年一遇防洪标准进行封闭。城区上游建成石亭江高景关及金花寺水库、绵远河清平水库后，可进一步提升城区防洪能力，并可提高沱江干流平原区河段防洪能力。</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二、广汉市城区</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广汉市是成都平原城市群的区域节点和高端制造业基地、传承古蜀文明的历史文化名城、生态宜居的天府水木田园城市。防洪保护</w:t>
      </w:r>
      <w:r>
        <w:rPr>
          <w:rFonts w:hint="eastAsia"/>
          <w:color w:val="auto"/>
          <w:sz w:val="30"/>
          <w:szCs w:val="30"/>
          <w:highlight w:val="none"/>
          <w:lang w:val="en-US" w:eastAsia="zh-CN"/>
        </w:rPr>
        <w:t>范围</w:t>
      </w:r>
      <w:r>
        <w:rPr>
          <w:color w:val="auto"/>
          <w:sz w:val="30"/>
          <w:szCs w:val="30"/>
          <w:highlight w:val="none"/>
        </w:rPr>
        <w:t>为广汉市城区、德阳高新区（三星湖区域）</w:t>
      </w:r>
      <w:r>
        <w:rPr>
          <w:rFonts w:hint="eastAsia"/>
          <w:color w:val="auto"/>
          <w:sz w:val="30"/>
          <w:szCs w:val="30"/>
          <w:highlight w:val="none"/>
          <w:lang w:val="en-US" w:eastAsia="zh-CN"/>
        </w:rPr>
        <w:t>，保护区面积22km</w:t>
      </w:r>
      <w:r>
        <w:rPr>
          <w:rFonts w:hint="eastAsia"/>
          <w:color w:val="auto"/>
          <w:sz w:val="30"/>
          <w:szCs w:val="30"/>
          <w:highlight w:val="none"/>
          <w:vertAlign w:val="superscript"/>
          <w:lang w:val="en-US" w:eastAsia="zh-CN"/>
        </w:rPr>
        <w:t>2</w:t>
      </w:r>
      <w:r>
        <w:rPr>
          <w:color w:val="auto"/>
          <w:sz w:val="30"/>
          <w:szCs w:val="30"/>
          <w:highlight w:val="none"/>
        </w:rPr>
        <w:t>，</w:t>
      </w:r>
      <w:r>
        <w:rPr>
          <w:rFonts w:hint="eastAsia"/>
          <w:color w:val="auto"/>
          <w:sz w:val="30"/>
          <w:szCs w:val="30"/>
          <w:highlight w:val="none"/>
          <w:lang w:val="en-US" w:eastAsia="zh-CN"/>
        </w:rPr>
        <w:t>2020年常住人口23万人，</w:t>
      </w:r>
      <w:r>
        <w:rPr>
          <w:color w:val="auto"/>
          <w:sz w:val="30"/>
          <w:szCs w:val="30"/>
          <w:highlight w:val="none"/>
        </w:rPr>
        <w:t>主要</w:t>
      </w:r>
      <w:r>
        <w:rPr>
          <w:rFonts w:hint="eastAsia"/>
          <w:color w:val="auto"/>
          <w:sz w:val="30"/>
          <w:szCs w:val="30"/>
          <w:highlight w:val="none"/>
          <w:lang w:val="en-US" w:eastAsia="zh-CN"/>
        </w:rPr>
        <w:t>对象</w:t>
      </w:r>
      <w:r>
        <w:rPr>
          <w:color w:val="auto"/>
          <w:sz w:val="30"/>
          <w:szCs w:val="30"/>
          <w:highlight w:val="none"/>
        </w:rPr>
        <w:t>包括三星堆遗址、重要的工矿企业、居民生活区及宝成铁路、</w:t>
      </w:r>
      <w:r>
        <w:rPr>
          <w:rFonts w:hint="eastAsia"/>
          <w:color w:val="auto"/>
          <w:sz w:val="30"/>
          <w:szCs w:val="30"/>
          <w:highlight w:val="none"/>
        </w:rPr>
        <w:t>G5</w:t>
      </w:r>
      <w:r>
        <w:rPr>
          <w:color w:val="auto"/>
          <w:sz w:val="30"/>
          <w:szCs w:val="30"/>
          <w:highlight w:val="none"/>
        </w:rPr>
        <w:t>成绵高速</w:t>
      </w:r>
      <w:r>
        <w:rPr>
          <w:rFonts w:hint="eastAsia"/>
          <w:color w:val="auto"/>
          <w:sz w:val="30"/>
          <w:szCs w:val="30"/>
          <w:highlight w:val="none"/>
        </w:rPr>
        <w:t>、国道</w:t>
      </w:r>
      <w:r>
        <w:rPr>
          <w:color w:val="auto"/>
          <w:sz w:val="30"/>
          <w:szCs w:val="30"/>
          <w:highlight w:val="none"/>
        </w:rPr>
        <w:t>G108等重要交通公路以及重要的电力、通讯设施等。规划广汉市城区防洪标准为50年一遇，三星堆遗址保护区防洪标准为100年一遇。广汉市城区排涝标准为20年一遇。</w:t>
      </w:r>
    </w:p>
    <w:p>
      <w:pPr>
        <w:pStyle w:val="154"/>
        <w:ind w:firstLine="578"/>
        <w:rPr>
          <w:color w:val="auto"/>
          <w:sz w:val="30"/>
          <w:szCs w:val="30"/>
          <w:highlight w:val="none"/>
        </w:rPr>
      </w:pPr>
      <w:r>
        <w:rPr>
          <w:color w:val="auto"/>
          <w:sz w:val="30"/>
          <w:szCs w:val="30"/>
          <w:highlight w:val="none"/>
        </w:rPr>
        <w:t>广汉市城区地处平原区，规划的上游山区关口、东林寺等水库因距离较远，对城市防洪作用不大，</w:t>
      </w:r>
      <w:r>
        <w:rPr>
          <w:rFonts w:hint="eastAsia"/>
          <w:color w:val="auto"/>
          <w:sz w:val="30"/>
          <w:szCs w:val="30"/>
          <w:highlight w:val="none"/>
          <w:lang w:val="en-US" w:eastAsia="zh-CN"/>
        </w:rPr>
        <w:t>可不</w:t>
      </w:r>
      <w:r>
        <w:rPr>
          <w:color w:val="auto"/>
          <w:sz w:val="30"/>
          <w:szCs w:val="30"/>
          <w:highlight w:val="none"/>
        </w:rPr>
        <w:t>考虑上游山区水库的削峰作用。广汉市城区防洪主要依靠堤防建设，结合河道清障疏浚，同时加强非工程措施体系建设，提高城区整体防洪能力。</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三星堆遗址保护区</w:t>
      </w:r>
      <w:r>
        <w:rPr>
          <w:rFonts w:hint="eastAsia"/>
          <w:color w:val="auto"/>
          <w:sz w:val="30"/>
          <w:szCs w:val="30"/>
          <w:highlight w:val="none"/>
          <w:lang w:val="en-US" w:eastAsia="zh-CN"/>
        </w:rPr>
        <w:t>现状防洪标准</w:t>
      </w:r>
      <w:r>
        <w:rPr>
          <w:color w:val="auto"/>
          <w:sz w:val="30"/>
          <w:szCs w:val="30"/>
          <w:highlight w:val="none"/>
        </w:rPr>
        <w:t>不足100年一遇。因其防洪标准高于广汉市城区，根据三星堆遗址保护区周边地形、建筑物等实际情况分析，为达到</w:t>
      </w:r>
      <w:r>
        <w:rPr>
          <w:rFonts w:hint="eastAsia"/>
          <w:color w:val="auto"/>
          <w:sz w:val="30"/>
          <w:szCs w:val="30"/>
          <w:highlight w:val="none"/>
          <w:lang w:val="en-US" w:eastAsia="zh-CN"/>
        </w:rPr>
        <w:t>防洪标准</w:t>
      </w:r>
      <w:r>
        <w:rPr>
          <w:color w:val="auto"/>
          <w:sz w:val="30"/>
          <w:szCs w:val="30"/>
          <w:highlight w:val="none"/>
        </w:rPr>
        <w:t>要求，采取局部保护的措施较为合适。规划采用设置临时挡板、局部加固三星堆遗址周边围墙、局部支沟改道的综合防洪方案，下一步需专题研究防洪保护方案。</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三、金堂县城区</w:t>
      </w:r>
    </w:p>
    <w:p>
      <w:pPr>
        <w:pStyle w:val="154"/>
        <w:pageBreakBefore w:val="0"/>
        <w:widowControl w:val="0"/>
        <w:kinsoku/>
        <w:wordWrap/>
        <w:overflowPunct/>
        <w:topLinePunct w:val="0"/>
        <w:autoSpaceDE/>
        <w:autoSpaceDN/>
        <w:bidi w:val="0"/>
        <w:adjustRightInd/>
        <w:snapToGrid/>
        <w:ind w:firstLine="522"/>
        <w:textAlignment w:val="auto"/>
        <w:rPr>
          <w:color w:val="auto"/>
          <w:sz w:val="30"/>
          <w:szCs w:val="30"/>
          <w:highlight w:val="none"/>
        </w:rPr>
      </w:pPr>
      <w:r>
        <w:rPr>
          <w:color w:val="auto"/>
          <w:sz w:val="30"/>
          <w:szCs w:val="30"/>
          <w:highlight w:val="none"/>
        </w:rPr>
        <w:t>金堂县是一座以职业教育、休闲度假、沱江文化旅游为特色的山水花园城市。</w:t>
      </w:r>
      <w:r>
        <w:rPr>
          <w:rFonts w:hint="eastAsia"/>
          <w:color w:val="auto"/>
          <w:sz w:val="30"/>
          <w:szCs w:val="30"/>
          <w:highlight w:val="none"/>
          <w:lang w:val="en-US" w:eastAsia="zh-CN"/>
        </w:rPr>
        <w:t>防洪保护范围为金堂县城区，保护区面积33km</w:t>
      </w:r>
      <w:r>
        <w:rPr>
          <w:rFonts w:hint="eastAsia"/>
          <w:color w:val="auto"/>
          <w:sz w:val="30"/>
          <w:szCs w:val="30"/>
          <w:highlight w:val="none"/>
          <w:vertAlign w:val="superscript"/>
          <w:lang w:val="en-US" w:eastAsia="zh-CN"/>
        </w:rPr>
        <w:t>2</w:t>
      </w:r>
      <w:r>
        <w:rPr>
          <w:rFonts w:hint="eastAsia"/>
          <w:color w:val="auto"/>
          <w:sz w:val="30"/>
          <w:szCs w:val="30"/>
          <w:highlight w:val="none"/>
          <w:lang w:val="en-US" w:eastAsia="zh-CN"/>
        </w:rPr>
        <w:t>，2020年常住人口33万人</w:t>
      </w:r>
      <w:r>
        <w:rPr>
          <w:color w:val="auto"/>
          <w:sz w:val="30"/>
          <w:szCs w:val="30"/>
          <w:highlight w:val="none"/>
        </w:rPr>
        <w:t>。</w:t>
      </w:r>
    </w:p>
    <w:p>
      <w:pPr>
        <w:pStyle w:val="154"/>
        <w:ind w:firstLine="578"/>
        <w:rPr>
          <w:color w:val="auto"/>
          <w:sz w:val="30"/>
          <w:szCs w:val="30"/>
          <w:highlight w:val="none"/>
        </w:rPr>
      </w:pPr>
      <w:r>
        <w:rPr>
          <w:color w:val="auto"/>
          <w:sz w:val="30"/>
          <w:szCs w:val="30"/>
          <w:highlight w:val="none"/>
        </w:rPr>
        <w:t>金堂县城洪灾频繁、灾损严重</w:t>
      </w:r>
      <w:r>
        <w:rPr>
          <w:rFonts w:hint="eastAsia"/>
          <w:color w:val="auto"/>
          <w:sz w:val="30"/>
          <w:szCs w:val="30"/>
          <w:highlight w:val="none"/>
          <w:lang w:eastAsia="zh-CN"/>
        </w:rPr>
        <w:t>，</w:t>
      </w:r>
      <w:r>
        <w:rPr>
          <w:color w:val="auto"/>
          <w:sz w:val="30"/>
          <w:szCs w:val="30"/>
          <w:highlight w:val="none"/>
        </w:rPr>
        <w:t>解决难度大，从保护对象重要性、人口和经济规模、社会影响和防洪效益等多个方面综合分析，规划金堂城区</w:t>
      </w:r>
      <w:r>
        <w:rPr>
          <w:rFonts w:hint="eastAsia"/>
          <w:color w:val="auto"/>
          <w:sz w:val="30"/>
          <w:szCs w:val="30"/>
          <w:highlight w:val="none"/>
          <w:lang w:val="en-US" w:eastAsia="zh-CN"/>
        </w:rPr>
        <w:t>2035</w:t>
      </w:r>
      <w:r>
        <w:rPr>
          <w:color w:val="auto"/>
          <w:sz w:val="30"/>
          <w:szCs w:val="30"/>
          <w:highlight w:val="none"/>
        </w:rPr>
        <w:t>年防洪标准为20年一遇，</w:t>
      </w:r>
      <w:r>
        <w:rPr>
          <w:rFonts w:hint="eastAsia"/>
          <w:color w:val="auto"/>
          <w:sz w:val="30"/>
          <w:szCs w:val="30"/>
          <w:highlight w:val="none"/>
          <w:lang w:val="en-US" w:eastAsia="zh-CN"/>
        </w:rPr>
        <w:t>远景2050年</w:t>
      </w:r>
      <w:r>
        <w:rPr>
          <w:color w:val="auto"/>
          <w:sz w:val="30"/>
          <w:szCs w:val="30"/>
          <w:highlight w:val="none"/>
        </w:rPr>
        <w:t>进一步研究提高</w:t>
      </w:r>
      <w:r>
        <w:rPr>
          <w:rFonts w:hint="eastAsia"/>
          <w:color w:val="auto"/>
          <w:sz w:val="30"/>
          <w:szCs w:val="30"/>
          <w:highlight w:val="none"/>
          <w:lang w:val="en-US" w:eastAsia="zh-CN"/>
        </w:rPr>
        <w:t>防洪</w:t>
      </w:r>
      <w:r>
        <w:rPr>
          <w:color w:val="auto"/>
          <w:sz w:val="30"/>
          <w:szCs w:val="30"/>
          <w:highlight w:val="none"/>
        </w:rPr>
        <w:t>标准的方案。金堂县城区</w:t>
      </w:r>
      <w:r>
        <w:rPr>
          <w:rFonts w:hint="eastAsia"/>
          <w:color w:val="auto"/>
          <w:sz w:val="30"/>
          <w:szCs w:val="30"/>
          <w:highlight w:val="none"/>
          <w:lang w:val="en-US" w:eastAsia="zh-CN"/>
        </w:rPr>
        <w:t>排</w:t>
      </w:r>
      <w:r>
        <w:rPr>
          <w:color w:val="auto"/>
          <w:sz w:val="30"/>
          <w:szCs w:val="30"/>
          <w:highlight w:val="none"/>
        </w:rPr>
        <w:t>涝标准</w:t>
      </w:r>
      <w:r>
        <w:rPr>
          <w:rFonts w:hint="eastAsia"/>
          <w:color w:val="auto"/>
          <w:sz w:val="30"/>
          <w:szCs w:val="30"/>
          <w:highlight w:val="none"/>
          <w:lang w:val="en-US" w:eastAsia="zh-CN"/>
        </w:rPr>
        <w:t>为</w:t>
      </w:r>
      <w:r>
        <w:rPr>
          <w:color w:val="auto"/>
          <w:sz w:val="30"/>
          <w:szCs w:val="30"/>
          <w:highlight w:val="none"/>
        </w:rPr>
        <w:t>20年一遇。</w:t>
      </w:r>
    </w:p>
    <w:p>
      <w:pPr>
        <w:pStyle w:val="154"/>
        <w:ind w:firstLine="578"/>
        <w:rPr>
          <w:rFonts w:hint="eastAsia" w:ascii="楷体_GB2312" w:hAnsi="楷体_GB2312" w:eastAsia="楷体_GB2312" w:cs="楷体_GB2312"/>
          <w:color w:val="auto"/>
          <w:sz w:val="30"/>
          <w:szCs w:val="30"/>
          <w:highlight w:val="none"/>
          <w:lang w:val="en-US" w:eastAsia="zh-CN"/>
        </w:rPr>
      </w:pPr>
      <w:r>
        <w:rPr>
          <w:rFonts w:hint="eastAsia" w:ascii="楷体_GB2312" w:hAnsi="楷体_GB2312" w:eastAsia="楷体_GB2312" w:cs="楷体_GB2312"/>
          <w:color w:val="auto"/>
          <w:sz w:val="30"/>
          <w:szCs w:val="30"/>
          <w:highlight w:val="none"/>
        </w:rPr>
        <w:t>（一）</w:t>
      </w:r>
      <w:r>
        <w:rPr>
          <w:rFonts w:hint="eastAsia" w:ascii="楷体_GB2312" w:hAnsi="楷体_GB2312" w:eastAsia="楷体_GB2312" w:cs="楷体_GB2312"/>
          <w:color w:val="auto"/>
          <w:sz w:val="30"/>
          <w:szCs w:val="30"/>
          <w:highlight w:val="none"/>
          <w:lang w:val="en-US" w:eastAsia="zh-CN"/>
        </w:rPr>
        <w:t>近期防洪方案</w:t>
      </w:r>
    </w:p>
    <w:p>
      <w:pPr>
        <w:pStyle w:val="154"/>
        <w:ind w:firstLine="578"/>
        <w:rPr>
          <w:color w:val="auto"/>
          <w:sz w:val="30"/>
          <w:szCs w:val="30"/>
          <w:highlight w:val="none"/>
        </w:rPr>
      </w:pPr>
      <w:r>
        <w:rPr>
          <w:color w:val="auto"/>
          <w:sz w:val="30"/>
          <w:szCs w:val="30"/>
          <w:highlight w:val="none"/>
        </w:rPr>
        <w:t>通过实施城区堤防建设、河道疏浚和</w:t>
      </w:r>
      <w:r>
        <w:rPr>
          <w:rFonts w:hint="eastAsia"/>
          <w:color w:val="auto"/>
          <w:sz w:val="30"/>
          <w:szCs w:val="30"/>
          <w:highlight w:val="none"/>
          <w:lang w:val="en-US" w:eastAsia="zh-CN"/>
        </w:rPr>
        <w:t>沱江</w:t>
      </w:r>
      <w:r>
        <w:rPr>
          <w:color w:val="auto"/>
          <w:sz w:val="30"/>
          <w:szCs w:val="30"/>
          <w:highlight w:val="none"/>
        </w:rPr>
        <w:t>干流金堂段局部拓卡</w:t>
      </w:r>
      <w:r>
        <w:rPr>
          <w:rFonts w:hint="eastAsia"/>
          <w:color w:val="auto"/>
          <w:sz w:val="30"/>
          <w:szCs w:val="30"/>
          <w:highlight w:val="none"/>
          <w:lang w:eastAsia="zh-CN"/>
        </w:rPr>
        <w:t>，</w:t>
      </w:r>
      <w:r>
        <w:rPr>
          <w:rFonts w:hint="eastAsia"/>
          <w:color w:val="auto"/>
          <w:sz w:val="30"/>
          <w:szCs w:val="30"/>
          <w:highlight w:val="none"/>
          <w:lang w:val="en-US" w:eastAsia="zh-CN"/>
        </w:rPr>
        <w:t>拓卡长度3km</w:t>
      </w:r>
      <w:r>
        <w:rPr>
          <w:rFonts w:hint="eastAsia"/>
          <w:color w:val="auto"/>
          <w:sz w:val="30"/>
          <w:szCs w:val="30"/>
          <w:highlight w:val="none"/>
          <w:lang w:eastAsia="zh-CN"/>
        </w:rPr>
        <w:t>，</w:t>
      </w:r>
      <w:r>
        <w:rPr>
          <w:color w:val="auto"/>
          <w:sz w:val="30"/>
          <w:szCs w:val="30"/>
          <w:highlight w:val="none"/>
        </w:rPr>
        <w:t>将沱江三皇庙</w:t>
      </w:r>
      <w:r>
        <w:rPr>
          <w:rFonts w:hint="eastAsia"/>
          <w:color w:val="auto"/>
          <w:sz w:val="30"/>
          <w:szCs w:val="30"/>
          <w:highlight w:val="none"/>
          <w:lang w:val="en-US" w:eastAsia="zh-CN"/>
        </w:rPr>
        <w:t>断面</w:t>
      </w:r>
      <w:r>
        <w:rPr>
          <w:color w:val="auto"/>
          <w:sz w:val="30"/>
          <w:szCs w:val="30"/>
          <w:highlight w:val="none"/>
        </w:rPr>
        <w:t>下泄流量从现状5500m</w:t>
      </w:r>
      <w:r>
        <w:rPr>
          <w:color w:val="auto"/>
          <w:sz w:val="30"/>
          <w:szCs w:val="30"/>
          <w:highlight w:val="none"/>
          <w:vertAlign w:val="superscript"/>
        </w:rPr>
        <w:t>3</w:t>
      </w:r>
      <w:r>
        <w:rPr>
          <w:color w:val="auto"/>
          <w:sz w:val="30"/>
          <w:szCs w:val="30"/>
          <w:highlight w:val="none"/>
        </w:rPr>
        <w:t>/s提升到6600m</w:t>
      </w:r>
      <w:r>
        <w:rPr>
          <w:color w:val="auto"/>
          <w:sz w:val="30"/>
          <w:szCs w:val="30"/>
          <w:highlight w:val="none"/>
          <w:vertAlign w:val="superscript"/>
        </w:rPr>
        <w:t>3</w:t>
      </w:r>
      <w:r>
        <w:rPr>
          <w:color w:val="auto"/>
          <w:sz w:val="30"/>
          <w:szCs w:val="30"/>
          <w:highlight w:val="none"/>
        </w:rPr>
        <w:t>/s，建设毗河分蓄洪工程（毗河分洪工程和桤木河蓄滞洪库工程）分蓄6600m</w:t>
      </w:r>
      <w:r>
        <w:rPr>
          <w:color w:val="auto"/>
          <w:sz w:val="30"/>
          <w:szCs w:val="30"/>
          <w:highlight w:val="none"/>
          <w:vertAlign w:val="superscript"/>
        </w:rPr>
        <w:t>3</w:t>
      </w:r>
      <w:r>
        <w:rPr>
          <w:color w:val="auto"/>
          <w:sz w:val="30"/>
          <w:szCs w:val="30"/>
          <w:highlight w:val="none"/>
        </w:rPr>
        <w:t>/s以上的超额洪水</w:t>
      </w:r>
      <w:r>
        <w:rPr>
          <w:rFonts w:hint="eastAsia"/>
          <w:color w:val="auto"/>
          <w:sz w:val="30"/>
          <w:szCs w:val="30"/>
          <w:highlight w:val="none"/>
          <w:lang w:eastAsia="zh-CN"/>
        </w:rPr>
        <w:t>，</w:t>
      </w:r>
      <w:r>
        <w:rPr>
          <w:rFonts w:hint="eastAsia"/>
          <w:color w:val="auto"/>
          <w:sz w:val="30"/>
          <w:szCs w:val="30"/>
          <w:highlight w:val="none"/>
          <w:lang w:val="en-US" w:eastAsia="zh-CN"/>
        </w:rPr>
        <w:t>防洪标准提高到20年一遇</w:t>
      </w:r>
      <w:r>
        <w:rPr>
          <w:color w:val="auto"/>
          <w:sz w:val="30"/>
          <w:szCs w:val="30"/>
          <w:highlight w:val="none"/>
        </w:rPr>
        <w:t>。</w:t>
      </w:r>
    </w:p>
    <w:p>
      <w:pPr>
        <w:pStyle w:val="154"/>
        <w:ind w:firstLine="578"/>
        <w:rPr>
          <w:rFonts w:hint="eastAsia" w:ascii="楷体_GB2312" w:hAnsi="楷体_GB2312" w:eastAsia="楷体_GB2312" w:cs="楷体_GB2312"/>
          <w:color w:val="auto"/>
          <w:sz w:val="30"/>
          <w:szCs w:val="30"/>
          <w:highlight w:val="none"/>
          <w:lang w:val="en-US" w:eastAsia="zh-CN"/>
        </w:rPr>
      </w:pPr>
      <w:r>
        <w:rPr>
          <w:rFonts w:hint="eastAsia" w:ascii="楷体_GB2312" w:hAnsi="楷体_GB2312" w:eastAsia="楷体_GB2312" w:cs="楷体_GB2312"/>
          <w:color w:val="auto"/>
          <w:sz w:val="30"/>
          <w:szCs w:val="30"/>
          <w:highlight w:val="none"/>
        </w:rPr>
        <w:t>（二）</w:t>
      </w:r>
      <w:r>
        <w:rPr>
          <w:rFonts w:hint="eastAsia" w:ascii="楷体_GB2312" w:hAnsi="楷体_GB2312" w:eastAsia="楷体_GB2312" w:cs="楷体_GB2312"/>
          <w:color w:val="auto"/>
          <w:sz w:val="30"/>
          <w:szCs w:val="30"/>
          <w:highlight w:val="none"/>
          <w:lang w:val="en-US" w:eastAsia="zh-CN"/>
        </w:rPr>
        <w:t>远景防洪方案</w:t>
      </w:r>
    </w:p>
    <w:p>
      <w:pPr>
        <w:pStyle w:val="154"/>
        <w:ind w:firstLine="578"/>
        <w:rPr>
          <w:rFonts w:hint="eastAsia"/>
          <w:color w:val="auto"/>
          <w:sz w:val="30"/>
          <w:szCs w:val="30"/>
          <w:highlight w:val="none"/>
          <w:lang w:eastAsia="zh-CN"/>
        </w:rPr>
      </w:pPr>
      <w:r>
        <w:rPr>
          <w:color w:val="auto"/>
          <w:sz w:val="30"/>
          <w:szCs w:val="30"/>
          <w:highlight w:val="none"/>
        </w:rPr>
        <w:t>规划在综合分析</w:t>
      </w:r>
      <w:r>
        <w:rPr>
          <w:rFonts w:hint="eastAsia"/>
          <w:color w:val="auto"/>
          <w:sz w:val="30"/>
          <w:szCs w:val="30"/>
          <w:highlight w:val="none"/>
          <w:lang w:eastAsia="zh-CN"/>
        </w:rPr>
        <w:t>“</w:t>
      </w:r>
      <w:r>
        <w:rPr>
          <w:color w:val="auto"/>
          <w:sz w:val="30"/>
          <w:szCs w:val="30"/>
          <w:highlight w:val="none"/>
        </w:rPr>
        <w:t>上蓄、侧分、中防、下排</w:t>
      </w:r>
      <w:r>
        <w:rPr>
          <w:rFonts w:hint="eastAsia"/>
          <w:color w:val="auto"/>
          <w:sz w:val="30"/>
          <w:szCs w:val="30"/>
          <w:highlight w:val="none"/>
          <w:lang w:eastAsia="zh-CN"/>
        </w:rPr>
        <w:t>”</w:t>
      </w:r>
      <w:r>
        <w:rPr>
          <w:color w:val="auto"/>
          <w:sz w:val="30"/>
          <w:szCs w:val="30"/>
          <w:highlight w:val="none"/>
        </w:rPr>
        <w:t>各项应对洪水的工程措施以及其可行性和防洪效果的基础上，研究了进一步提高金堂县城防洪标准的措施，形成</w:t>
      </w:r>
      <w:r>
        <w:rPr>
          <w:rFonts w:hint="eastAsia"/>
          <w:color w:val="auto"/>
          <w:sz w:val="30"/>
          <w:szCs w:val="30"/>
          <w:highlight w:val="none"/>
          <w:lang w:val="en-US" w:eastAsia="zh-CN"/>
        </w:rPr>
        <w:t>4</w:t>
      </w:r>
      <w:r>
        <w:rPr>
          <w:color w:val="auto"/>
          <w:sz w:val="30"/>
          <w:szCs w:val="30"/>
          <w:highlight w:val="none"/>
        </w:rPr>
        <w:t>个</w:t>
      </w:r>
      <w:r>
        <w:rPr>
          <w:rFonts w:hint="eastAsia"/>
          <w:color w:val="auto"/>
          <w:sz w:val="30"/>
          <w:szCs w:val="30"/>
          <w:highlight w:val="none"/>
          <w:lang w:val="en-US" w:eastAsia="zh-CN"/>
        </w:rPr>
        <w:t>防洪</w:t>
      </w:r>
      <w:r>
        <w:rPr>
          <w:color w:val="auto"/>
          <w:sz w:val="30"/>
          <w:szCs w:val="30"/>
          <w:highlight w:val="none"/>
        </w:rPr>
        <w:t>方案</w:t>
      </w:r>
      <w:r>
        <w:rPr>
          <w:rFonts w:hint="eastAsia"/>
          <w:color w:val="auto"/>
          <w:sz w:val="30"/>
          <w:szCs w:val="30"/>
          <w:highlight w:val="none"/>
          <w:lang w:eastAsia="zh-CN"/>
        </w:rPr>
        <w:t>。</w:t>
      </w:r>
    </w:p>
    <w:p>
      <w:pPr>
        <w:pStyle w:val="154"/>
        <w:ind w:firstLine="578"/>
        <w:rPr>
          <w:color w:val="auto"/>
          <w:sz w:val="30"/>
          <w:szCs w:val="30"/>
        </w:rPr>
      </w:pPr>
      <w:r>
        <w:rPr>
          <w:color w:val="auto"/>
          <w:sz w:val="30"/>
          <w:szCs w:val="30"/>
        </w:rPr>
        <w:t>方案一</w:t>
      </w:r>
      <w:r>
        <w:rPr>
          <w:rFonts w:hint="eastAsia"/>
          <w:color w:val="auto"/>
          <w:sz w:val="30"/>
          <w:szCs w:val="30"/>
          <w:lang w:eastAsia="zh-CN"/>
        </w:rPr>
        <w:t>：</w:t>
      </w:r>
      <w:r>
        <w:rPr>
          <w:rFonts w:hint="eastAsia"/>
          <w:color w:val="auto"/>
          <w:sz w:val="30"/>
          <w:szCs w:val="30"/>
          <w:lang w:val="en-US" w:eastAsia="zh-CN"/>
        </w:rPr>
        <w:t>县城</w:t>
      </w:r>
      <w:r>
        <w:rPr>
          <w:color w:val="auto"/>
          <w:sz w:val="30"/>
          <w:szCs w:val="30"/>
        </w:rPr>
        <w:t>疏解方案</w:t>
      </w:r>
      <w:r>
        <w:rPr>
          <w:rFonts w:hint="eastAsia"/>
          <w:color w:val="auto"/>
          <w:sz w:val="30"/>
          <w:szCs w:val="30"/>
          <w:lang w:eastAsia="zh-CN"/>
        </w:rPr>
        <w:t>。</w:t>
      </w:r>
      <w:r>
        <w:rPr>
          <w:color w:val="auto"/>
          <w:sz w:val="30"/>
          <w:szCs w:val="30"/>
        </w:rPr>
        <w:t>将现有</w:t>
      </w:r>
      <w:r>
        <w:rPr>
          <w:rFonts w:hint="eastAsia"/>
          <w:color w:val="auto"/>
          <w:sz w:val="30"/>
          <w:szCs w:val="30"/>
          <w:lang w:val="en-US" w:eastAsia="zh-CN"/>
        </w:rPr>
        <w:t>城区</w:t>
      </w:r>
      <w:r>
        <w:rPr>
          <w:color w:val="auto"/>
          <w:sz w:val="30"/>
          <w:szCs w:val="30"/>
        </w:rPr>
        <w:t>50年一遇洪水淹没线下的人口和重要设施逐步向安全处搬迁，初步考虑将地势低洼的北河与中河之间的赵镇街道</w:t>
      </w:r>
      <w:r>
        <w:rPr>
          <w:rFonts w:hint="eastAsia"/>
          <w:color w:val="auto"/>
          <w:sz w:val="30"/>
          <w:szCs w:val="30"/>
          <w:lang w:eastAsia="zh-CN"/>
        </w:rPr>
        <w:t>（</w:t>
      </w:r>
      <w:r>
        <w:rPr>
          <w:rFonts w:hint="eastAsia"/>
          <w:color w:val="auto"/>
          <w:sz w:val="30"/>
          <w:szCs w:val="30"/>
          <w:lang w:val="en-US" w:eastAsia="zh-CN"/>
        </w:rPr>
        <w:t>面积约</w:t>
      </w:r>
      <w:r>
        <w:rPr>
          <w:color w:val="auto"/>
          <w:sz w:val="30"/>
          <w:szCs w:val="30"/>
        </w:rPr>
        <w:t>3400亩</w:t>
      </w:r>
      <w:r>
        <w:rPr>
          <w:rFonts w:hint="eastAsia"/>
          <w:color w:val="auto"/>
          <w:sz w:val="30"/>
          <w:szCs w:val="30"/>
          <w:lang w:eastAsia="zh-CN"/>
        </w:rPr>
        <w:t>）</w:t>
      </w:r>
      <w:r>
        <w:rPr>
          <w:color w:val="auto"/>
          <w:sz w:val="30"/>
          <w:szCs w:val="30"/>
        </w:rPr>
        <w:t>城</w:t>
      </w:r>
      <w:r>
        <w:rPr>
          <w:rFonts w:hint="eastAsia"/>
          <w:color w:val="auto"/>
          <w:sz w:val="30"/>
          <w:szCs w:val="30"/>
          <w:lang w:val="en-US" w:eastAsia="zh-CN"/>
        </w:rPr>
        <w:t>区</w:t>
      </w:r>
      <w:r>
        <w:rPr>
          <w:color w:val="auto"/>
          <w:sz w:val="30"/>
          <w:szCs w:val="30"/>
        </w:rPr>
        <w:t>，整体搬迁安置到毗河以南龙泉山以北的较高区域，腾出河道</w:t>
      </w:r>
      <w:r>
        <w:rPr>
          <w:rFonts w:hint="eastAsia"/>
          <w:color w:val="auto"/>
          <w:sz w:val="30"/>
          <w:szCs w:val="30"/>
          <w:lang w:val="en-US" w:eastAsia="zh-CN"/>
        </w:rPr>
        <w:t>行洪</w:t>
      </w:r>
      <w:r>
        <w:rPr>
          <w:color w:val="auto"/>
          <w:sz w:val="30"/>
          <w:szCs w:val="30"/>
        </w:rPr>
        <w:t>空间后</w:t>
      </w:r>
      <w:r>
        <w:rPr>
          <w:rFonts w:hint="eastAsia"/>
          <w:color w:val="auto"/>
          <w:sz w:val="30"/>
          <w:szCs w:val="30"/>
          <w:lang w:eastAsia="zh-CN"/>
        </w:rPr>
        <w:t>，</w:t>
      </w:r>
      <w:r>
        <w:rPr>
          <w:color w:val="auto"/>
          <w:sz w:val="30"/>
          <w:szCs w:val="30"/>
        </w:rPr>
        <w:t>沿中河右岸、北河左岸及毗河两岸建设生态</w:t>
      </w:r>
      <w:r>
        <w:rPr>
          <w:rFonts w:hint="eastAsia"/>
          <w:color w:val="auto"/>
          <w:sz w:val="30"/>
          <w:szCs w:val="30"/>
          <w:lang w:val="en-US" w:eastAsia="zh-CN"/>
        </w:rPr>
        <w:t>堤防</w:t>
      </w:r>
      <w:r>
        <w:rPr>
          <w:color w:val="auto"/>
          <w:sz w:val="30"/>
          <w:szCs w:val="30"/>
        </w:rPr>
        <w:t>。初步测算，总</w:t>
      </w:r>
      <w:r>
        <w:rPr>
          <w:rFonts w:hint="eastAsia"/>
          <w:color w:val="auto"/>
          <w:sz w:val="30"/>
          <w:szCs w:val="30"/>
          <w:lang w:val="en-US" w:eastAsia="zh-CN"/>
        </w:rPr>
        <w:t>投资</w:t>
      </w:r>
      <w:r>
        <w:rPr>
          <w:color w:val="auto"/>
          <w:sz w:val="30"/>
          <w:szCs w:val="30"/>
        </w:rPr>
        <w:t>约295亿元</w:t>
      </w:r>
      <w:r>
        <w:rPr>
          <w:rFonts w:hint="eastAsia"/>
          <w:color w:val="auto"/>
          <w:sz w:val="30"/>
          <w:szCs w:val="30"/>
          <w:lang w:eastAsia="zh-CN"/>
        </w:rPr>
        <w:t>，</w:t>
      </w:r>
      <w:r>
        <w:rPr>
          <w:color w:val="auto"/>
          <w:sz w:val="30"/>
          <w:szCs w:val="30"/>
        </w:rPr>
        <w:t>其中现有居民、商业、工矿企业、政府、学校、医院等拆迁安置补偿</w:t>
      </w:r>
      <w:r>
        <w:rPr>
          <w:rFonts w:hint="eastAsia"/>
          <w:color w:val="auto"/>
          <w:sz w:val="30"/>
          <w:szCs w:val="30"/>
          <w:lang w:val="en-US" w:eastAsia="zh-CN"/>
        </w:rPr>
        <w:t>投资</w:t>
      </w:r>
      <w:r>
        <w:rPr>
          <w:color w:val="auto"/>
          <w:sz w:val="30"/>
          <w:szCs w:val="30"/>
        </w:rPr>
        <w:t>约280亿元</w:t>
      </w:r>
      <w:r>
        <w:rPr>
          <w:rFonts w:hint="eastAsia"/>
          <w:color w:val="auto"/>
          <w:sz w:val="30"/>
          <w:szCs w:val="30"/>
          <w:lang w:eastAsia="zh-CN"/>
        </w:rPr>
        <w:t>，</w:t>
      </w:r>
      <w:r>
        <w:rPr>
          <w:color w:val="auto"/>
          <w:sz w:val="30"/>
          <w:szCs w:val="30"/>
        </w:rPr>
        <w:t>安置区</w:t>
      </w:r>
      <w:r>
        <w:rPr>
          <w:rFonts w:hint="eastAsia"/>
          <w:color w:val="auto"/>
          <w:sz w:val="30"/>
          <w:szCs w:val="30"/>
          <w:lang w:eastAsia="zh-CN"/>
        </w:rPr>
        <w:t>（</w:t>
      </w:r>
      <w:r>
        <w:rPr>
          <w:color w:val="auto"/>
          <w:sz w:val="30"/>
          <w:szCs w:val="30"/>
        </w:rPr>
        <w:t>面积</w:t>
      </w:r>
      <w:r>
        <w:rPr>
          <w:rFonts w:hint="eastAsia"/>
          <w:color w:val="auto"/>
          <w:sz w:val="30"/>
          <w:szCs w:val="30"/>
          <w:lang w:val="en-US" w:eastAsia="zh-CN"/>
        </w:rPr>
        <w:t>约</w:t>
      </w:r>
      <w:r>
        <w:rPr>
          <w:color w:val="auto"/>
          <w:sz w:val="30"/>
          <w:szCs w:val="30"/>
        </w:rPr>
        <w:t>1300亩</w:t>
      </w:r>
      <w:r>
        <w:rPr>
          <w:rFonts w:hint="eastAsia"/>
          <w:color w:val="auto"/>
          <w:sz w:val="30"/>
          <w:szCs w:val="30"/>
          <w:lang w:eastAsia="zh-CN"/>
        </w:rPr>
        <w:t>）</w:t>
      </w:r>
      <w:r>
        <w:rPr>
          <w:color w:val="auto"/>
          <w:sz w:val="30"/>
          <w:szCs w:val="30"/>
        </w:rPr>
        <w:t>配套基础设施建设</w:t>
      </w:r>
      <w:r>
        <w:rPr>
          <w:rFonts w:hint="eastAsia"/>
          <w:color w:val="auto"/>
          <w:sz w:val="30"/>
          <w:szCs w:val="30"/>
          <w:lang w:val="en-US" w:eastAsia="zh-CN"/>
        </w:rPr>
        <w:t>投资</w:t>
      </w:r>
      <w:r>
        <w:rPr>
          <w:color w:val="auto"/>
          <w:sz w:val="30"/>
          <w:szCs w:val="30"/>
        </w:rPr>
        <w:t>约5亿元</w:t>
      </w:r>
      <w:r>
        <w:rPr>
          <w:rFonts w:hint="eastAsia"/>
          <w:color w:val="auto"/>
          <w:sz w:val="30"/>
          <w:szCs w:val="30"/>
          <w:lang w:eastAsia="zh-CN"/>
        </w:rPr>
        <w:t>，</w:t>
      </w:r>
      <w:r>
        <w:rPr>
          <w:rFonts w:hint="eastAsia"/>
          <w:color w:val="auto"/>
          <w:sz w:val="30"/>
          <w:szCs w:val="30"/>
          <w:lang w:val="en-US" w:eastAsia="zh-CN"/>
        </w:rPr>
        <w:t>原</w:t>
      </w:r>
      <w:r>
        <w:rPr>
          <w:color w:val="auto"/>
          <w:sz w:val="30"/>
          <w:szCs w:val="30"/>
        </w:rPr>
        <w:t>城区地表建筑物拆迁及土地复垦</w:t>
      </w:r>
      <w:r>
        <w:rPr>
          <w:rFonts w:hint="eastAsia"/>
          <w:color w:val="auto"/>
          <w:sz w:val="30"/>
          <w:szCs w:val="30"/>
          <w:lang w:val="en-US" w:eastAsia="zh-CN"/>
        </w:rPr>
        <w:t>投资</w:t>
      </w:r>
      <w:r>
        <w:rPr>
          <w:color w:val="auto"/>
          <w:sz w:val="30"/>
          <w:szCs w:val="30"/>
        </w:rPr>
        <w:t>约7亿元</w:t>
      </w:r>
      <w:r>
        <w:rPr>
          <w:rFonts w:hint="eastAsia"/>
          <w:color w:val="auto"/>
          <w:sz w:val="30"/>
          <w:szCs w:val="30"/>
          <w:lang w:eastAsia="zh-CN"/>
        </w:rPr>
        <w:t>，</w:t>
      </w:r>
      <w:r>
        <w:rPr>
          <w:color w:val="auto"/>
          <w:sz w:val="30"/>
          <w:szCs w:val="30"/>
        </w:rPr>
        <w:t>新建堤防</w:t>
      </w:r>
      <w:r>
        <w:rPr>
          <w:rFonts w:hint="eastAsia"/>
          <w:color w:val="auto"/>
          <w:sz w:val="30"/>
          <w:szCs w:val="30"/>
          <w:lang w:eastAsia="zh-CN"/>
        </w:rPr>
        <w:t>（</w:t>
      </w:r>
      <w:r>
        <w:rPr>
          <w:rFonts w:hint="eastAsia"/>
          <w:color w:val="auto"/>
          <w:sz w:val="30"/>
          <w:szCs w:val="30"/>
          <w:lang w:val="en-US" w:eastAsia="zh-CN"/>
        </w:rPr>
        <w:t>约</w:t>
      </w:r>
      <w:r>
        <w:rPr>
          <w:color w:val="auto"/>
          <w:sz w:val="30"/>
          <w:szCs w:val="30"/>
        </w:rPr>
        <w:t>26.8km</w:t>
      </w:r>
      <w:r>
        <w:rPr>
          <w:rFonts w:hint="eastAsia"/>
          <w:color w:val="auto"/>
          <w:sz w:val="30"/>
          <w:szCs w:val="30"/>
          <w:lang w:eastAsia="zh-CN"/>
        </w:rPr>
        <w:t>）</w:t>
      </w:r>
      <w:r>
        <w:rPr>
          <w:rFonts w:hint="eastAsia"/>
          <w:color w:val="auto"/>
          <w:sz w:val="30"/>
          <w:szCs w:val="30"/>
          <w:lang w:val="en-US" w:eastAsia="zh-CN"/>
        </w:rPr>
        <w:t>投资</w:t>
      </w:r>
      <w:r>
        <w:rPr>
          <w:color w:val="auto"/>
          <w:sz w:val="30"/>
          <w:szCs w:val="30"/>
        </w:rPr>
        <w:t>约3亿元。</w:t>
      </w:r>
    </w:p>
    <w:p>
      <w:pPr>
        <w:pStyle w:val="154"/>
        <w:ind w:firstLine="578"/>
        <w:rPr>
          <w:color w:val="auto"/>
          <w:sz w:val="30"/>
          <w:szCs w:val="30"/>
        </w:rPr>
      </w:pPr>
      <w:r>
        <w:rPr>
          <w:color w:val="auto"/>
          <w:sz w:val="30"/>
          <w:szCs w:val="30"/>
        </w:rPr>
        <w:t>方案二</w:t>
      </w:r>
      <w:r>
        <w:rPr>
          <w:rFonts w:hint="eastAsia"/>
          <w:color w:val="auto"/>
          <w:sz w:val="30"/>
          <w:szCs w:val="30"/>
          <w:lang w:eastAsia="zh-CN"/>
        </w:rPr>
        <w:t>：</w:t>
      </w:r>
      <w:r>
        <w:rPr>
          <w:rFonts w:hint="eastAsia"/>
          <w:color w:val="auto"/>
          <w:sz w:val="30"/>
          <w:szCs w:val="30"/>
          <w:lang w:val="en-US" w:eastAsia="zh-CN"/>
        </w:rPr>
        <w:t>分蓄洪工程+</w:t>
      </w:r>
      <w:r>
        <w:rPr>
          <w:color w:val="auto"/>
          <w:sz w:val="30"/>
          <w:szCs w:val="30"/>
        </w:rPr>
        <w:t>泄洪洞工程</w:t>
      </w:r>
      <w:r>
        <w:rPr>
          <w:rFonts w:hint="eastAsia"/>
          <w:color w:val="auto"/>
          <w:sz w:val="30"/>
          <w:szCs w:val="30"/>
          <w:lang w:val="en-US" w:eastAsia="zh-CN"/>
        </w:rPr>
        <w:t>方案</w:t>
      </w:r>
      <w:r>
        <w:rPr>
          <w:rFonts w:hint="eastAsia"/>
          <w:color w:val="auto"/>
          <w:sz w:val="30"/>
          <w:szCs w:val="30"/>
          <w:lang w:eastAsia="zh-CN"/>
        </w:rPr>
        <w:t>。</w:t>
      </w:r>
      <w:r>
        <w:rPr>
          <w:color w:val="auto"/>
          <w:sz w:val="30"/>
          <w:szCs w:val="30"/>
        </w:rPr>
        <w:t>在20年一遇防洪</w:t>
      </w:r>
      <w:r>
        <w:rPr>
          <w:rFonts w:hint="eastAsia"/>
          <w:color w:val="auto"/>
          <w:sz w:val="30"/>
          <w:szCs w:val="30"/>
          <w:lang w:val="en-US" w:eastAsia="zh-CN"/>
        </w:rPr>
        <w:t>标准的</w:t>
      </w:r>
      <w:r>
        <w:rPr>
          <w:rFonts w:hint="eastAsia"/>
          <w:color w:val="auto"/>
          <w:sz w:val="30"/>
          <w:szCs w:val="30"/>
          <w:lang w:eastAsia="zh-CN"/>
        </w:rPr>
        <w:t>工程</w:t>
      </w:r>
      <w:r>
        <w:rPr>
          <w:color w:val="auto"/>
          <w:sz w:val="30"/>
          <w:szCs w:val="30"/>
        </w:rPr>
        <w:t>布局基础上，建设中河蓄滞洪工程和沱江左岸泄洪洞，沱江左岸泄洪洞分泄1250m</w:t>
      </w:r>
      <w:r>
        <w:rPr>
          <w:color w:val="auto"/>
          <w:sz w:val="30"/>
          <w:szCs w:val="30"/>
          <w:vertAlign w:val="superscript"/>
        </w:rPr>
        <w:t>3</w:t>
      </w:r>
      <w:r>
        <w:rPr>
          <w:color w:val="auto"/>
          <w:sz w:val="30"/>
          <w:szCs w:val="30"/>
        </w:rPr>
        <w:t>/s（泄洪入库位于三河汇口下游3.5km，水位下降等效三河汇口分洪1000m</w:t>
      </w:r>
      <w:r>
        <w:rPr>
          <w:color w:val="auto"/>
          <w:sz w:val="30"/>
          <w:szCs w:val="30"/>
          <w:vertAlign w:val="superscript"/>
        </w:rPr>
        <w:t>3</w:t>
      </w:r>
      <w:r>
        <w:rPr>
          <w:color w:val="auto"/>
          <w:sz w:val="30"/>
          <w:szCs w:val="30"/>
        </w:rPr>
        <w:t>/s），毗河分蓄洪工程分蓄洪水250m</w:t>
      </w:r>
      <w:r>
        <w:rPr>
          <w:color w:val="auto"/>
          <w:sz w:val="30"/>
          <w:szCs w:val="30"/>
          <w:vertAlign w:val="superscript"/>
        </w:rPr>
        <w:t>3</w:t>
      </w:r>
      <w:r>
        <w:rPr>
          <w:color w:val="auto"/>
          <w:sz w:val="30"/>
          <w:szCs w:val="30"/>
        </w:rPr>
        <w:t>/s、洪量1200万m</w:t>
      </w:r>
      <w:r>
        <w:rPr>
          <w:color w:val="auto"/>
          <w:sz w:val="30"/>
          <w:szCs w:val="30"/>
          <w:vertAlign w:val="superscript"/>
        </w:rPr>
        <w:t>3</w:t>
      </w:r>
      <w:r>
        <w:rPr>
          <w:color w:val="auto"/>
          <w:sz w:val="30"/>
          <w:szCs w:val="30"/>
        </w:rPr>
        <w:t>，中河蓄滞洪工程分蓄峰尖段洪水530m</w:t>
      </w:r>
      <w:r>
        <w:rPr>
          <w:color w:val="auto"/>
          <w:sz w:val="30"/>
          <w:szCs w:val="30"/>
          <w:vertAlign w:val="superscript"/>
        </w:rPr>
        <w:t>3</w:t>
      </w:r>
      <w:r>
        <w:rPr>
          <w:color w:val="auto"/>
          <w:sz w:val="30"/>
          <w:szCs w:val="30"/>
        </w:rPr>
        <w:t>/s、洪量1200万m</w:t>
      </w:r>
      <w:r>
        <w:rPr>
          <w:color w:val="auto"/>
          <w:sz w:val="30"/>
          <w:szCs w:val="30"/>
          <w:vertAlign w:val="superscript"/>
        </w:rPr>
        <w:t>3</w:t>
      </w:r>
      <w:r>
        <w:rPr>
          <w:color w:val="auto"/>
          <w:sz w:val="30"/>
          <w:szCs w:val="30"/>
        </w:rPr>
        <w:t>。</w:t>
      </w:r>
      <w:r>
        <w:rPr>
          <w:rFonts w:hint="eastAsia"/>
          <w:color w:val="auto"/>
          <w:sz w:val="30"/>
          <w:szCs w:val="30"/>
          <w:lang w:eastAsia="zh-CN"/>
        </w:rPr>
        <w:t>该</w:t>
      </w:r>
      <w:r>
        <w:rPr>
          <w:color w:val="auto"/>
          <w:sz w:val="30"/>
          <w:szCs w:val="30"/>
        </w:rPr>
        <w:t>方案总投资</w:t>
      </w:r>
      <w:r>
        <w:rPr>
          <w:rFonts w:hint="eastAsia"/>
          <w:color w:val="auto"/>
          <w:sz w:val="30"/>
          <w:szCs w:val="30"/>
          <w:lang w:val="en-US" w:eastAsia="zh-CN"/>
        </w:rPr>
        <w:t>约</w:t>
      </w:r>
      <w:r>
        <w:rPr>
          <w:color w:val="auto"/>
          <w:sz w:val="30"/>
          <w:szCs w:val="30"/>
        </w:rPr>
        <w:t>19</w:t>
      </w:r>
      <w:r>
        <w:rPr>
          <w:rFonts w:hint="eastAsia"/>
          <w:color w:val="auto"/>
          <w:sz w:val="30"/>
          <w:szCs w:val="30"/>
          <w:lang w:val="en-US" w:eastAsia="zh-CN"/>
        </w:rPr>
        <w:t>5</w:t>
      </w:r>
      <w:r>
        <w:rPr>
          <w:color w:val="auto"/>
          <w:sz w:val="30"/>
          <w:szCs w:val="30"/>
        </w:rPr>
        <w:t>亿元。</w:t>
      </w:r>
    </w:p>
    <w:p>
      <w:pPr>
        <w:pStyle w:val="154"/>
        <w:ind w:firstLine="578"/>
        <w:rPr>
          <w:color w:val="auto"/>
          <w:sz w:val="30"/>
          <w:szCs w:val="30"/>
        </w:rPr>
      </w:pPr>
      <w:r>
        <w:rPr>
          <w:color w:val="auto"/>
          <w:sz w:val="30"/>
          <w:szCs w:val="30"/>
        </w:rPr>
        <w:t>方案三</w:t>
      </w:r>
      <w:r>
        <w:rPr>
          <w:rFonts w:hint="eastAsia"/>
          <w:color w:val="auto"/>
          <w:sz w:val="30"/>
          <w:szCs w:val="30"/>
          <w:lang w:eastAsia="zh-CN"/>
        </w:rPr>
        <w:t>：</w:t>
      </w:r>
      <w:r>
        <w:rPr>
          <w:rFonts w:hint="eastAsia"/>
          <w:color w:val="auto"/>
          <w:sz w:val="30"/>
          <w:szCs w:val="30"/>
          <w:lang w:val="en-US" w:eastAsia="zh-CN"/>
        </w:rPr>
        <w:t>团结水库方案。</w:t>
      </w:r>
      <w:r>
        <w:rPr>
          <w:color w:val="auto"/>
          <w:sz w:val="30"/>
          <w:szCs w:val="30"/>
        </w:rPr>
        <w:t>在20年一遇</w:t>
      </w:r>
      <w:r>
        <w:rPr>
          <w:rFonts w:hint="eastAsia"/>
          <w:color w:val="auto"/>
          <w:sz w:val="30"/>
          <w:szCs w:val="30"/>
          <w:lang w:val="en-US" w:eastAsia="zh-CN"/>
        </w:rPr>
        <w:t>标准的</w:t>
      </w:r>
      <w:r>
        <w:rPr>
          <w:color w:val="auto"/>
          <w:sz w:val="30"/>
          <w:szCs w:val="30"/>
        </w:rPr>
        <w:t>防洪</w:t>
      </w:r>
      <w:r>
        <w:rPr>
          <w:rFonts w:hint="eastAsia"/>
          <w:color w:val="auto"/>
          <w:sz w:val="30"/>
          <w:szCs w:val="30"/>
          <w:lang w:eastAsia="zh-CN"/>
        </w:rPr>
        <w:t>工程</w:t>
      </w:r>
      <w:r>
        <w:rPr>
          <w:color w:val="auto"/>
          <w:sz w:val="30"/>
          <w:szCs w:val="30"/>
        </w:rPr>
        <w:t>布局基础上，研究利用团结水库工程</w:t>
      </w:r>
      <w:r>
        <w:rPr>
          <w:rFonts w:hint="eastAsia"/>
          <w:color w:val="auto"/>
          <w:sz w:val="30"/>
          <w:szCs w:val="30"/>
          <w:lang w:val="en-US" w:eastAsia="zh-CN"/>
        </w:rPr>
        <w:t>防洪</w:t>
      </w:r>
      <w:r>
        <w:rPr>
          <w:color w:val="auto"/>
          <w:sz w:val="30"/>
          <w:szCs w:val="30"/>
        </w:rPr>
        <w:t>的可行性。团结水库工程已列入《抽水蓄能中长期发展规划</w:t>
      </w:r>
      <w:r>
        <w:rPr>
          <w:rFonts w:hint="eastAsia"/>
          <w:color w:val="auto"/>
          <w:sz w:val="30"/>
          <w:szCs w:val="30"/>
          <w:lang w:eastAsia="zh-CN"/>
        </w:rPr>
        <w:t>（</w:t>
      </w:r>
      <w:r>
        <w:rPr>
          <w:color w:val="auto"/>
          <w:sz w:val="30"/>
          <w:szCs w:val="30"/>
        </w:rPr>
        <w:t>2021</w:t>
      </w:r>
      <w:r>
        <w:rPr>
          <w:rFonts w:hint="eastAsia"/>
          <w:color w:val="auto"/>
          <w:sz w:val="30"/>
          <w:szCs w:val="30"/>
          <w:lang w:eastAsia="zh-CN"/>
        </w:rPr>
        <w:t>—</w:t>
      </w:r>
      <w:r>
        <w:rPr>
          <w:color w:val="auto"/>
          <w:sz w:val="30"/>
          <w:szCs w:val="30"/>
        </w:rPr>
        <w:t>2035年</w:t>
      </w:r>
      <w:r>
        <w:rPr>
          <w:rFonts w:hint="eastAsia"/>
          <w:color w:val="auto"/>
          <w:sz w:val="30"/>
          <w:szCs w:val="30"/>
          <w:lang w:eastAsia="zh-CN"/>
        </w:rPr>
        <w:t>）</w:t>
      </w:r>
      <w:r>
        <w:rPr>
          <w:color w:val="auto"/>
          <w:sz w:val="30"/>
          <w:szCs w:val="30"/>
        </w:rPr>
        <w:t>》《四川省电源电网发展规划</w:t>
      </w:r>
      <w:r>
        <w:rPr>
          <w:rFonts w:hint="eastAsia"/>
          <w:color w:val="auto"/>
          <w:sz w:val="30"/>
          <w:szCs w:val="30"/>
          <w:lang w:eastAsia="zh-CN"/>
        </w:rPr>
        <w:t>（</w:t>
      </w:r>
      <w:r>
        <w:rPr>
          <w:color w:val="auto"/>
          <w:sz w:val="30"/>
          <w:szCs w:val="30"/>
        </w:rPr>
        <w:t>2022</w:t>
      </w:r>
      <w:r>
        <w:rPr>
          <w:rFonts w:hint="eastAsia"/>
          <w:color w:val="auto"/>
          <w:sz w:val="30"/>
          <w:szCs w:val="30"/>
          <w:lang w:eastAsia="zh-CN"/>
        </w:rPr>
        <w:t>—</w:t>
      </w:r>
      <w:r>
        <w:rPr>
          <w:color w:val="auto"/>
          <w:sz w:val="30"/>
          <w:szCs w:val="30"/>
        </w:rPr>
        <w:t>2025年</w:t>
      </w:r>
      <w:r>
        <w:rPr>
          <w:rFonts w:hint="eastAsia"/>
          <w:color w:val="auto"/>
          <w:sz w:val="30"/>
          <w:szCs w:val="30"/>
          <w:lang w:eastAsia="zh-CN"/>
        </w:rPr>
        <w:t>）</w:t>
      </w:r>
      <w:r>
        <w:rPr>
          <w:color w:val="auto"/>
          <w:sz w:val="30"/>
          <w:szCs w:val="30"/>
        </w:rPr>
        <w:t>》。团结水库工程（含毗河分蓄洪工程）分蓄洪水流量1250m</w:t>
      </w:r>
      <w:r>
        <w:rPr>
          <w:color w:val="auto"/>
          <w:sz w:val="30"/>
          <w:szCs w:val="30"/>
          <w:vertAlign w:val="superscript"/>
        </w:rPr>
        <w:t>3</w:t>
      </w:r>
      <w:r>
        <w:rPr>
          <w:color w:val="auto"/>
          <w:sz w:val="30"/>
          <w:szCs w:val="30"/>
        </w:rPr>
        <w:t>/s、洪量8800万m</w:t>
      </w:r>
      <w:r>
        <w:rPr>
          <w:color w:val="auto"/>
          <w:sz w:val="30"/>
          <w:szCs w:val="30"/>
          <w:vertAlign w:val="superscript"/>
        </w:rPr>
        <w:t>3</w:t>
      </w:r>
      <w:r>
        <w:rPr>
          <w:color w:val="auto"/>
          <w:sz w:val="30"/>
          <w:szCs w:val="30"/>
        </w:rPr>
        <w:t>。</w:t>
      </w:r>
      <w:r>
        <w:rPr>
          <w:rFonts w:hint="eastAsia"/>
          <w:color w:val="auto"/>
          <w:sz w:val="30"/>
          <w:szCs w:val="30"/>
          <w:lang w:val="en-US" w:eastAsia="zh-CN"/>
        </w:rPr>
        <w:t>该</w:t>
      </w:r>
      <w:r>
        <w:rPr>
          <w:color w:val="auto"/>
          <w:sz w:val="30"/>
          <w:szCs w:val="30"/>
        </w:rPr>
        <w:t>方案总投资</w:t>
      </w:r>
      <w:r>
        <w:rPr>
          <w:rFonts w:hint="eastAsia"/>
          <w:color w:val="auto"/>
          <w:sz w:val="30"/>
          <w:szCs w:val="30"/>
          <w:lang w:val="en-US" w:eastAsia="zh-CN"/>
        </w:rPr>
        <w:t>约</w:t>
      </w:r>
      <w:r>
        <w:rPr>
          <w:color w:val="auto"/>
          <w:sz w:val="30"/>
          <w:szCs w:val="30"/>
        </w:rPr>
        <w:t>1</w:t>
      </w:r>
      <w:r>
        <w:rPr>
          <w:rFonts w:hint="eastAsia"/>
          <w:color w:val="auto"/>
          <w:sz w:val="30"/>
          <w:szCs w:val="30"/>
          <w:lang w:val="en-US" w:eastAsia="zh-CN"/>
        </w:rPr>
        <w:t>40</w:t>
      </w:r>
      <w:r>
        <w:rPr>
          <w:color w:val="auto"/>
          <w:sz w:val="30"/>
          <w:szCs w:val="30"/>
        </w:rPr>
        <w:t>亿元。</w:t>
      </w:r>
    </w:p>
    <w:p>
      <w:pPr>
        <w:pStyle w:val="154"/>
        <w:ind w:firstLine="578"/>
        <w:rPr>
          <w:rFonts w:hint="eastAsia"/>
          <w:color w:val="auto"/>
          <w:sz w:val="30"/>
          <w:szCs w:val="30"/>
          <w:highlight w:val="none"/>
          <w:lang w:eastAsia="zh-CN"/>
        </w:rPr>
      </w:pPr>
      <w:r>
        <w:rPr>
          <w:color w:val="auto"/>
          <w:sz w:val="30"/>
          <w:szCs w:val="30"/>
        </w:rPr>
        <w:t>方案四</w:t>
      </w:r>
      <w:r>
        <w:rPr>
          <w:rFonts w:hint="eastAsia"/>
          <w:color w:val="auto"/>
          <w:sz w:val="30"/>
          <w:szCs w:val="30"/>
          <w:lang w:eastAsia="zh-CN"/>
        </w:rPr>
        <w:t>：</w:t>
      </w:r>
      <w:r>
        <w:rPr>
          <w:rFonts w:hint="eastAsia"/>
          <w:color w:val="auto"/>
          <w:sz w:val="30"/>
          <w:szCs w:val="30"/>
          <w:lang w:val="en-US" w:eastAsia="zh-CN"/>
        </w:rPr>
        <w:t>全堤防工程方案。</w:t>
      </w:r>
      <w:r>
        <w:rPr>
          <w:color w:val="auto"/>
          <w:sz w:val="30"/>
          <w:szCs w:val="30"/>
        </w:rPr>
        <w:t>在现状基础上，按50年一遇洪水水面线建设堤防，不另行建设分蓄洪工程，洪水全部经由河道下泄。金堂县城区范围内需新建堤防41km，其中沱江干流1</w:t>
      </w:r>
      <w:r>
        <w:rPr>
          <w:rFonts w:hint="eastAsia"/>
          <w:color w:val="auto"/>
          <w:sz w:val="30"/>
          <w:szCs w:val="30"/>
          <w:lang w:val="en-US" w:eastAsia="zh-CN"/>
        </w:rPr>
        <w:t>2</w:t>
      </w:r>
      <w:r>
        <w:rPr>
          <w:color w:val="auto"/>
          <w:sz w:val="30"/>
          <w:szCs w:val="30"/>
        </w:rPr>
        <w:t>km、中河1</w:t>
      </w:r>
      <w:r>
        <w:rPr>
          <w:rFonts w:hint="eastAsia"/>
          <w:color w:val="auto"/>
          <w:sz w:val="30"/>
          <w:szCs w:val="30"/>
          <w:lang w:val="en-US" w:eastAsia="zh-CN"/>
        </w:rPr>
        <w:t>2</w:t>
      </w:r>
      <w:r>
        <w:rPr>
          <w:color w:val="auto"/>
          <w:sz w:val="30"/>
          <w:szCs w:val="30"/>
        </w:rPr>
        <w:t>km、毗河1</w:t>
      </w:r>
      <w:r>
        <w:rPr>
          <w:rFonts w:hint="eastAsia"/>
          <w:color w:val="auto"/>
          <w:sz w:val="30"/>
          <w:szCs w:val="30"/>
          <w:lang w:val="en-US" w:eastAsia="zh-CN"/>
        </w:rPr>
        <w:t>7</w:t>
      </w:r>
      <w:r>
        <w:rPr>
          <w:color w:val="auto"/>
          <w:sz w:val="30"/>
          <w:szCs w:val="30"/>
        </w:rPr>
        <w:t>km</w:t>
      </w:r>
      <w:r>
        <w:rPr>
          <w:rFonts w:hint="eastAsia"/>
          <w:color w:val="auto"/>
          <w:sz w:val="30"/>
          <w:szCs w:val="30"/>
          <w:lang w:eastAsia="zh-CN"/>
        </w:rPr>
        <w:t>，</w:t>
      </w:r>
      <w:r>
        <w:rPr>
          <w:color w:val="auto"/>
          <w:sz w:val="30"/>
          <w:szCs w:val="30"/>
        </w:rPr>
        <w:t>主要涉及金堂县赵镇街道和栖贤街道</w:t>
      </w:r>
      <w:r>
        <w:rPr>
          <w:rFonts w:hint="eastAsia"/>
          <w:color w:val="auto"/>
          <w:sz w:val="30"/>
          <w:szCs w:val="30"/>
          <w:lang w:eastAsia="zh-CN"/>
        </w:rPr>
        <w:t>、</w:t>
      </w:r>
      <w:r>
        <w:rPr>
          <w:color w:val="auto"/>
          <w:sz w:val="30"/>
          <w:szCs w:val="30"/>
        </w:rPr>
        <w:t>青白江区城厢镇3个镇（街道）15个社区，建设征地面积</w:t>
      </w:r>
      <w:r>
        <w:rPr>
          <w:rFonts w:hint="eastAsia"/>
          <w:color w:val="auto"/>
          <w:sz w:val="30"/>
          <w:szCs w:val="30"/>
          <w:lang w:val="en-US" w:eastAsia="zh-CN"/>
        </w:rPr>
        <w:t>约</w:t>
      </w:r>
      <w:r>
        <w:rPr>
          <w:color w:val="auto"/>
          <w:sz w:val="30"/>
          <w:szCs w:val="30"/>
        </w:rPr>
        <w:t>8150亩</w:t>
      </w:r>
      <w:r>
        <w:rPr>
          <w:rFonts w:hint="eastAsia"/>
          <w:color w:val="auto"/>
          <w:sz w:val="30"/>
          <w:szCs w:val="30"/>
          <w:lang w:eastAsia="zh-CN"/>
        </w:rPr>
        <w:t>，</w:t>
      </w:r>
      <w:r>
        <w:rPr>
          <w:color w:val="auto"/>
          <w:sz w:val="30"/>
          <w:szCs w:val="30"/>
        </w:rPr>
        <w:t>总投资</w:t>
      </w:r>
      <w:r>
        <w:rPr>
          <w:rFonts w:hint="eastAsia"/>
          <w:color w:val="auto"/>
          <w:sz w:val="30"/>
          <w:szCs w:val="30"/>
          <w:lang w:val="en-US" w:eastAsia="zh-CN"/>
        </w:rPr>
        <w:t>约</w:t>
      </w:r>
      <w:r>
        <w:rPr>
          <w:color w:val="auto"/>
          <w:sz w:val="30"/>
          <w:szCs w:val="30"/>
        </w:rPr>
        <w:t>169亿元。</w:t>
      </w:r>
      <w:r>
        <w:rPr>
          <w:rFonts w:hint="eastAsia"/>
          <w:color w:val="auto"/>
          <w:sz w:val="30"/>
          <w:szCs w:val="30"/>
          <w:lang w:val="en-US" w:eastAsia="zh-CN"/>
        </w:rPr>
        <w:t>根据</w:t>
      </w:r>
      <w:r>
        <w:rPr>
          <w:color w:val="auto"/>
          <w:sz w:val="30"/>
          <w:szCs w:val="30"/>
        </w:rPr>
        <w:t>2022年5月</w:t>
      </w:r>
      <w:r>
        <w:rPr>
          <w:rFonts w:hint="eastAsia"/>
          <w:color w:val="auto"/>
          <w:sz w:val="30"/>
          <w:szCs w:val="30"/>
          <w:lang w:eastAsia="zh-CN"/>
        </w:rPr>
        <w:t>水利部</w:t>
      </w:r>
      <w:r>
        <w:rPr>
          <w:color w:val="auto"/>
          <w:sz w:val="30"/>
          <w:szCs w:val="30"/>
        </w:rPr>
        <w:t>水规总院对《金堂县城防洪总体方案及沱江流域</w:t>
      </w:r>
      <w:r>
        <w:rPr>
          <w:rFonts w:hint="eastAsia"/>
          <w:color w:val="auto"/>
          <w:sz w:val="30"/>
          <w:szCs w:val="30"/>
          <w:lang w:eastAsia="zh-CN"/>
        </w:rPr>
        <w:t>（</w:t>
      </w:r>
      <w:r>
        <w:rPr>
          <w:color w:val="auto"/>
          <w:sz w:val="30"/>
          <w:szCs w:val="30"/>
        </w:rPr>
        <w:t>成都</w:t>
      </w:r>
      <w:r>
        <w:rPr>
          <w:rFonts w:hint="eastAsia"/>
          <w:color w:val="auto"/>
          <w:sz w:val="30"/>
          <w:szCs w:val="30"/>
          <w:lang w:eastAsia="zh-CN"/>
        </w:rPr>
        <w:t>）</w:t>
      </w:r>
      <w:r>
        <w:rPr>
          <w:color w:val="auto"/>
          <w:sz w:val="30"/>
          <w:szCs w:val="30"/>
        </w:rPr>
        <w:t>骨干工程规划论证报告》</w:t>
      </w:r>
      <w:r>
        <w:rPr>
          <w:rFonts w:hint="eastAsia"/>
          <w:color w:val="auto"/>
          <w:sz w:val="30"/>
          <w:szCs w:val="30"/>
          <w:lang w:eastAsia="zh-CN"/>
        </w:rPr>
        <w:t>的</w:t>
      </w:r>
      <w:r>
        <w:rPr>
          <w:color w:val="auto"/>
          <w:sz w:val="30"/>
          <w:szCs w:val="30"/>
        </w:rPr>
        <w:t>咨询</w:t>
      </w:r>
      <w:r>
        <w:rPr>
          <w:rFonts w:hint="eastAsia"/>
          <w:color w:val="auto"/>
          <w:sz w:val="30"/>
          <w:szCs w:val="30"/>
          <w:lang w:val="en-US" w:eastAsia="zh-CN"/>
        </w:rPr>
        <w:t>意见</w:t>
      </w:r>
      <w:r>
        <w:rPr>
          <w:color w:val="auto"/>
          <w:sz w:val="30"/>
          <w:szCs w:val="30"/>
        </w:rPr>
        <w:t>，</w:t>
      </w:r>
      <w:r>
        <w:rPr>
          <w:rFonts w:hint="eastAsia"/>
          <w:color w:val="auto"/>
          <w:sz w:val="30"/>
          <w:szCs w:val="30"/>
          <w:lang w:val="en-US" w:eastAsia="zh-CN"/>
        </w:rPr>
        <w:t>全</w:t>
      </w:r>
      <w:r>
        <w:rPr>
          <w:color w:val="auto"/>
          <w:sz w:val="30"/>
          <w:szCs w:val="30"/>
        </w:rPr>
        <w:t>堤防</w:t>
      </w:r>
      <w:r>
        <w:rPr>
          <w:rFonts w:hint="eastAsia"/>
          <w:color w:val="auto"/>
          <w:sz w:val="30"/>
          <w:szCs w:val="30"/>
          <w:lang w:val="en-US" w:eastAsia="zh-CN"/>
        </w:rPr>
        <w:t>工程</w:t>
      </w:r>
      <w:r>
        <w:rPr>
          <w:color w:val="auto"/>
          <w:sz w:val="30"/>
          <w:szCs w:val="30"/>
        </w:rPr>
        <w:t>方案存在砂卵石堤基防渗困难、防洪保护圈封闭困难、堤防突兀，破坏亲水性等问题，可行性较低。</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以上四个方案各有优缺点</w:t>
      </w:r>
      <w:r>
        <w:rPr>
          <w:rFonts w:hint="eastAsia"/>
          <w:color w:val="auto"/>
          <w:sz w:val="30"/>
          <w:szCs w:val="30"/>
          <w:highlight w:val="none"/>
        </w:rPr>
        <w:t>。</w:t>
      </w:r>
      <w:r>
        <w:rPr>
          <w:rFonts w:hint="eastAsia" w:eastAsia="仿宋_GB2312"/>
          <w:color w:val="auto"/>
          <w:spacing w:val="4"/>
          <w:sz w:val="30"/>
          <w:szCs w:val="30"/>
          <w:highlight w:val="none"/>
        </w:rPr>
        <w:t>远景</w:t>
      </w:r>
      <w:r>
        <w:rPr>
          <w:rFonts w:hint="eastAsia"/>
          <w:color w:val="auto"/>
          <w:spacing w:val="4"/>
          <w:sz w:val="30"/>
          <w:szCs w:val="30"/>
          <w:highlight w:val="none"/>
          <w:lang w:val="en-US" w:eastAsia="zh-CN"/>
        </w:rPr>
        <w:t>需</w:t>
      </w:r>
      <w:r>
        <w:rPr>
          <w:rFonts w:hint="eastAsia" w:eastAsia="仿宋_GB2312"/>
          <w:color w:val="auto"/>
          <w:spacing w:val="4"/>
          <w:sz w:val="30"/>
          <w:szCs w:val="30"/>
          <w:highlight w:val="none"/>
        </w:rPr>
        <w:t>进一步研究沱江左岸泄洪洞和团结水库工程</w:t>
      </w:r>
      <w:r>
        <w:rPr>
          <w:rFonts w:hint="eastAsia"/>
          <w:color w:val="auto"/>
          <w:spacing w:val="4"/>
          <w:sz w:val="30"/>
          <w:szCs w:val="30"/>
          <w:highlight w:val="none"/>
          <w:lang w:val="en-US" w:eastAsia="zh-CN"/>
        </w:rPr>
        <w:t>建设的</w:t>
      </w:r>
      <w:r>
        <w:rPr>
          <w:rFonts w:hint="eastAsia" w:eastAsia="仿宋_GB2312"/>
          <w:color w:val="auto"/>
          <w:spacing w:val="4"/>
          <w:sz w:val="30"/>
          <w:szCs w:val="30"/>
          <w:highlight w:val="none"/>
        </w:rPr>
        <w:t>合理性和可</w:t>
      </w:r>
      <w:r>
        <w:rPr>
          <w:rFonts w:hint="eastAsia"/>
          <w:color w:val="auto"/>
          <w:spacing w:val="4"/>
          <w:sz w:val="30"/>
          <w:szCs w:val="30"/>
          <w:highlight w:val="none"/>
          <w:lang w:val="en-US" w:eastAsia="zh-CN"/>
        </w:rPr>
        <w:t>行</w:t>
      </w:r>
      <w:r>
        <w:rPr>
          <w:rFonts w:hint="eastAsia" w:eastAsia="仿宋_GB2312"/>
          <w:color w:val="auto"/>
          <w:spacing w:val="4"/>
          <w:sz w:val="30"/>
          <w:szCs w:val="30"/>
          <w:highlight w:val="none"/>
        </w:rPr>
        <w:t>性，</w:t>
      </w:r>
      <w:r>
        <w:rPr>
          <w:rFonts w:hint="eastAsia"/>
          <w:color w:val="auto"/>
          <w:spacing w:val="4"/>
          <w:sz w:val="30"/>
          <w:szCs w:val="30"/>
          <w:highlight w:val="none"/>
          <w:lang w:val="en-US" w:eastAsia="zh-CN"/>
        </w:rPr>
        <w:t>研究</w:t>
      </w:r>
      <w:r>
        <w:rPr>
          <w:rFonts w:hint="eastAsia" w:eastAsia="仿宋_GB2312"/>
          <w:color w:val="auto"/>
          <w:spacing w:val="4"/>
          <w:sz w:val="30"/>
          <w:szCs w:val="30"/>
          <w:highlight w:val="none"/>
        </w:rPr>
        <w:t>论证防洪治理与建设</w:t>
      </w:r>
      <w:r>
        <w:rPr>
          <w:rFonts w:hint="eastAsia"/>
          <w:color w:val="auto"/>
          <w:spacing w:val="4"/>
          <w:sz w:val="30"/>
          <w:szCs w:val="30"/>
          <w:highlight w:val="none"/>
          <w:lang w:eastAsia="zh-CN"/>
        </w:rPr>
        <w:t>“</w:t>
      </w:r>
      <w:r>
        <w:rPr>
          <w:rFonts w:hint="eastAsia" w:eastAsia="仿宋_GB2312"/>
          <w:color w:val="auto"/>
          <w:spacing w:val="4"/>
          <w:sz w:val="30"/>
          <w:szCs w:val="30"/>
          <w:highlight w:val="none"/>
        </w:rPr>
        <w:t>韧性城市</w:t>
      </w:r>
      <w:r>
        <w:rPr>
          <w:rFonts w:hint="eastAsia"/>
          <w:color w:val="auto"/>
          <w:spacing w:val="4"/>
          <w:sz w:val="30"/>
          <w:szCs w:val="30"/>
          <w:highlight w:val="none"/>
          <w:lang w:eastAsia="zh-CN"/>
        </w:rPr>
        <w:t>”</w:t>
      </w:r>
      <w:r>
        <w:rPr>
          <w:rFonts w:hint="eastAsia" w:eastAsia="仿宋_GB2312"/>
          <w:color w:val="auto"/>
          <w:spacing w:val="4"/>
          <w:sz w:val="30"/>
          <w:szCs w:val="30"/>
          <w:highlight w:val="none"/>
        </w:rPr>
        <w:t>相结</w:t>
      </w:r>
      <w:r>
        <w:rPr>
          <w:color w:val="auto"/>
          <w:sz w:val="30"/>
          <w:szCs w:val="30"/>
          <w:highlight w:val="none"/>
        </w:rPr>
        <w:t>合</w:t>
      </w:r>
      <w:r>
        <w:rPr>
          <w:rFonts w:hint="eastAsia"/>
          <w:color w:val="auto"/>
          <w:sz w:val="30"/>
          <w:szCs w:val="30"/>
          <w:highlight w:val="none"/>
        </w:rPr>
        <w:t>方案</w:t>
      </w:r>
      <w:r>
        <w:rPr>
          <w:color w:val="auto"/>
          <w:sz w:val="30"/>
          <w:szCs w:val="30"/>
          <w:highlight w:val="none"/>
        </w:rPr>
        <w:t>，</w:t>
      </w:r>
      <w:r>
        <w:rPr>
          <w:rFonts w:hint="eastAsia"/>
          <w:color w:val="auto"/>
          <w:sz w:val="30"/>
          <w:szCs w:val="30"/>
          <w:highlight w:val="none"/>
          <w:lang w:val="en-US" w:eastAsia="zh-CN"/>
        </w:rPr>
        <w:t>统筹考虑</w:t>
      </w:r>
      <w:r>
        <w:rPr>
          <w:color w:val="auto"/>
          <w:sz w:val="30"/>
          <w:szCs w:val="30"/>
          <w:highlight w:val="none"/>
        </w:rPr>
        <w:t>防洪效果、超标准洪水安排、工程防洪调度、工程占地与投资等因素，合理确定金堂县城防洪总体方案。</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四、简阳市城区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简阳市位于四川盆地西部，龙泉山东麓，</w:t>
      </w:r>
      <w:r>
        <w:rPr>
          <w:rFonts w:hint="eastAsia"/>
          <w:color w:val="auto"/>
          <w:sz w:val="30"/>
          <w:szCs w:val="30"/>
          <w:highlight w:val="none"/>
          <w:lang w:val="en-US" w:eastAsia="zh-CN"/>
        </w:rPr>
        <w:t>地处</w:t>
      </w:r>
      <w:r>
        <w:rPr>
          <w:color w:val="auto"/>
          <w:sz w:val="30"/>
          <w:szCs w:val="30"/>
          <w:highlight w:val="none"/>
        </w:rPr>
        <w:t>沱江中游，西</w:t>
      </w:r>
      <w:r>
        <w:rPr>
          <w:rFonts w:hint="eastAsia"/>
          <w:color w:val="auto"/>
          <w:sz w:val="30"/>
          <w:szCs w:val="30"/>
          <w:highlight w:val="none"/>
          <w:lang w:eastAsia="zh-CN"/>
        </w:rPr>
        <w:t>邻</w:t>
      </w:r>
      <w:r>
        <w:rPr>
          <w:color w:val="auto"/>
          <w:sz w:val="30"/>
          <w:szCs w:val="30"/>
          <w:highlight w:val="none"/>
        </w:rPr>
        <w:t>成都市双流</w:t>
      </w:r>
      <w:r>
        <w:rPr>
          <w:rFonts w:hint="eastAsia"/>
          <w:color w:val="auto"/>
          <w:sz w:val="30"/>
          <w:szCs w:val="30"/>
          <w:highlight w:val="none"/>
          <w:lang w:val="en-US" w:eastAsia="zh-CN"/>
        </w:rPr>
        <w:t>区</w:t>
      </w:r>
      <w:r>
        <w:rPr>
          <w:color w:val="auto"/>
          <w:sz w:val="30"/>
          <w:szCs w:val="30"/>
          <w:highlight w:val="none"/>
        </w:rPr>
        <w:t>和眉山市仁寿县，北</w:t>
      </w:r>
      <w:r>
        <w:rPr>
          <w:rFonts w:hint="eastAsia"/>
          <w:color w:val="auto"/>
          <w:sz w:val="30"/>
          <w:szCs w:val="30"/>
          <w:highlight w:val="none"/>
          <w:lang w:val="en-US" w:eastAsia="zh-CN"/>
        </w:rPr>
        <w:t>连</w:t>
      </w:r>
      <w:r>
        <w:rPr>
          <w:color w:val="auto"/>
          <w:sz w:val="30"/>
          <w:szCs w:val="30"/>
          <w:highlight w:val="none"/>
        </w:rPr>
        <w:t>成都市龙泉驿区和金堂县，南</w:t>
      </w:r>
      <w:r>
        <w:rPr>
          <w:rFonts w:hint="eastAsia"/>
          <w:color w:val="auto"/>
          <w:sz w:val="30"/>
          <w:szCs w:val="30"/>
          <w:highlight w:val="none"/>
          <w:lang w:val="en-US" w:eastAsia="zh-CN"/>
        </w:rPr>
        <w:t>界</w:t>
      </w:r>
      <w:r>
        <w:rPr>
          <w:color w:val="auto"/>
          <w:sz w:val="30"/>
          <w:szCs w:val="30"/>
          <w:highlight w:val="none"/>
        </w:rPr>
        <w:t>资阳市雁江区，东</w:t>
      </w:r>
      <w:r>
        <w:rPr>
          <w:rFonts w:hint="eastAsia"/>
          <w:color w:val="auto"/>
          <w:sz w:val="30"/>
          <w:szCs w:val="30"/>
          <w:highlight w:val="none"/>
          <w:lang w:val="en-US" w:eastAsia="zh-CN"/>
        </w:rPr>
        <w:t>接</w:t>
      </w:r>
      <w:r>
        <w:rPr>
          <w:color w:val="auto"/>
          <w:sz w:val="30"/>
          <w:szCs w:val="30"/>
          <w:highlight w:val="none"/>
        </w:rPr>
        <w:t>资阳</w:t>
      </w:r>
      <w:r>
        <w:rPr>
          <w:rFonts w:hint="eastAsia"/>
          <w:color w:val="auto"/>
          <w:sz w:val="30"/>
          <w:szCs w:val="30"/>
          <w:highlight w:val="none"/>
          <w:lang w:val="en-US" w:eastAsia="zh-CN"/>
        </w:rPr>
        <w:t>市</w:t>
      </w:r>
      <w:r>
        <w:rPr>
          <w:color w:val="auto"/>
          <w:sz w:val="30"/>
          <w:szCs w:val="30"/>
          <w:highlight w:val="none"/>
        </w:rPr>
        <w:t>乐至县，素有</w:t>
      </w:r>
      <w:r>
        <w:rPr>
          <w:rFonts w:hint="eastAsia"/>
          <w:color w:val="auto"/>
          <w:sz w:val="30"/>
          <w:szCs w:val="30"/>
          <w:highlight w:val="none"/>
          <w:lang w:eastAsia="zh-CN"/>
        </w:rPr>
        <w:t>“</w:t>
      </w:r>
      <w:r>
        <w:rPr>
          <w:color w:val="auto"/>
          <w:sz w:val="30"/>
          <w:szCs w:val="30"/>
          <w:highlight w:val="none"/>
        </w:rPr>
        <w:t>天府雄州</w:t>
      </w:r>
      <w:r>
        <w:rPr>
          <w:rFonts w:hint="eastAsia"/>
          <w:color w:val="auto"/>
          <w:sz w:val="30"/>
          <w:szCs w:val="30"/>
          <w:highlight w:val="none"/>
          <w:lang w:eastAsia="zh-CN"/>
        </w:rPr>
        <w:t>”“</w:t>
      </w:r>
      <w:r>
        <w:rPr>
          <w:color w:val="auto"/>
          <w:sz w:val="30"/>
          <w:szCs w:val="30"/>
          <w:highlight w:val="none"/>
        </w:rPr>
        <w:t>成都东大门</w:t>
      </w:r>
      <w:r>
        <w:rPr>
          <w:rFonts w:hint="eastAsia"/>
          <w:color w:val="auto"/>
          <w:sz w:val="30"/>
          <w:szCs w:val="30"/>
          <w:highlight w:val="none"/>
          <w:lang w:eastAsia="zh-CN"/>
        </w:rPr>
        <w:t>”</w:t>
      </w:r>
      <w:r>
        <w:rPr>
          <w:color w:val="auto"/>
          <w:sz w:val="30"/>
          <w:szCs w:val="30"/>
          <w:highlight w:val="none"/>
        </w:rPr>
        <w:t>之美誉。</w:t>
      </w:r>
      <w:r>
        <w:rPr>
          <w:rFonts w:hint="eastAsia"/>
          <w:color w:val="auto"/>
          <w:sz w:val="30"/>
          <w:szCs w:val="30"/>
          <w:highlight w:val="none"/>
          <w:lang w:val="en-US" w:eastAsia="zh-CN"/>
        </w:rPr>
        <w:t>防洪保护范围为简阳市城区</w:t>
      </w:r>
      <w:r>
        <w:rPr>
          <w:rFonts w:hint="eastAsia"/>
          <w:color w:val="auto"/>
          <w:sz w:val="30"/>
          <w:szCs w:val="30"/>
          <w:highlight w:val="none"/>
          <w:lang w:eastAsia="zh-CN"/>
        </w:rPr>
        <w:t>，</w:t>
      </w:r>
      <w:r>
        <w:rPr>
          <w:rFonts w:hint="eastAsia"/>
          <w:color w:val="auto"/>
          <w:sz w:val="30"/>
          <w:szCs w:val="30"/>
          <w:highlight w:val="none"/>
          <w:lang w:val="en-US" w:eastAsia="zh-CN"/>
        </w:rPr>
        <w:t>保护区面积20km</w:t>
      </w:r>
      <w:r>
        <w:rPr>
          <w:rFonts w:hint="eastAsia"/>
          <w:color w:val="auto"/>
          <w:sz w:val="30"/>
          <w:szCs w:val="30"/>
          <w:highlight w:val="none"/>
          <w:vertAlign w:val="superscript"/>
          <w:lang w:val="en-US" w:eastAsia="zh-CN"/>
        </w:rPr>
        <w:t>2</w:t>
      </w:r>
      <w:r>
        <w:rPr>
          <w:rFonts w:hint="eastAsia"/>
          <w:color w:val="auto"/>
          <w:sz w:val="30"/>
          <w:szCs w:val="30"/>
          <w:highlight w:val="no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21</w:t>
      </w:r>
      <w:r>
        <w:rPr>
          <w:color w:val="auto"/>
          <w:sz w:val="30"/>
          <w:szCs w:val="30"/>
          <w:highlight w:val="none"/>
        </w:rPr>
        <w:t>万人。规划简阳城区防洪标准为50年一遇，排涝标准为20年一遇。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根据简阳</w:t>
      </w:r>
      <w:r>
        <w:rPr>
          <w:rFonts w:hint="eastAsia"/>
          <w:color w:val="auto"/>
          <w:sz w:val="30"/>
          <w:szCs w:val="30"/>
          <w:highlight w:val="none"/>
          <w:lang w:val="en-US" w:eastAsia="zh-CN"/>
        </w:rPr>
        <w:t>市</w:t>
      </w:r>
      <w:r>
        <w:rPr>
          <w:color w:val="auto"/>
          <w:sz w:val="30"/>
          <w:szCs w:val="30"/>
          <w:highlight w:val="none"/>
        </w:rPr>
        <w:t>城区所在</w:t>
      </w:r>
      <w:r>
        <w:rPr>
          <w:rFonts w:hint="eastAsia"/>
          <w:color w:val="auto"/>
          <w:sz w:val="30"/>
          <w:szCs w:val="30"/>
          <w:highlight w:val="none"/>
          <w:lang w:val="en-US" w:eastAsia="zh-CN"/>
        </w:rPr>
        <w:t>区域</w:t>
      </w:r>
      <w:r>
        <w:rPr>
          <w:color w:val="auto"/>
          <w:sz w:val="30"/>
          <w:szCs w:val="30"/>
          <w:highlight w:val="none"/>
        </w:rPr>
        <w:t>的流域特征和洪水特性，城区防洪</w:t>
      </w:r>
      <w:r>
        <w:rPr>
          <w:rFonts w:hint="eastAsia"/>
          <w:color w:val="auto"/>
          <w:sz w:val="30"/>
          <w:szCs w:val="30"/>
          <w:highlight w:val="none"/>
          <w:lang w:val="en-US" w:eastAsia="zh-CN"/>
        </w:rPr>
        <w:t>以</w:t>
      </w:r>
      <w:r>
        <w:rPr>
          <w:color w:val="auto"/>
          <w:sz w:val="30"/>
          <w:szCs w:val="30"/>
          <w:highlight w:val="none"/>
        </w:rPr>
        <w:t>建设堤防</w:t>
      </w:r>
      <w:r>
        <w:rPr>
          <w:rFonts w:hint="eastAsia"/>
          <w:color w:val="auto"/>
          <w:sz w:val="30"/>
          <w:szCs w:val="30"/>
          <w:highlight w:val="none"/>
          <w:lang w:val="en-US" w:eastAsia="zh-CN"/>
        </w:rPr>
        <w:t>工程为主</w:t>
      </w:r>
      <w:r>
        <w:rPr>
          <w:color w:val="auto"/>
          <w:sz w:val="30"/>
          <w:szCs w:val="30"/>
          <w:highlight w:val="none"/>
        </w:rPr>
        <w:t>；对部分江心洲坝及河漫滩发育河段，采取清障疏浚措施，增大河道行洪断面，降低洪水位，减少洪水淹没损失；</w:t>
      </w:r>
      <w:r>
        <w:rPr>
          <w:rFonts w:hint="eastAsia"/>
          <w:color w:val="auto"/>
          <w:sz w:val="30"/>
          <w:szCs w:val="30"/>
          <w:highlight w:val="none"/>
          <w:lang w:val="en-US" w:eastAsia="zh-CN"/>
        </w:rPr>
        <w:t>同时，结合水土流失治理和</w:t>
      </w:r>
      <w:r>
        <w:rPr>
          <w:color w:val="auto"/>
          <w:sz w:val="30"/>
          <w:szCs w:val="30"/>
          <w:highlight w:val="none"/>
        </w:rPr>
        <w:t>非工程措施，提升城市整体防洪能力。</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五、资阳市城区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ascii="Times New Roman" w:hAnsi="Times New Roman"/>
          <w:b w:val="0"/>
          <w:bCs/>
          <w:color w:val="auto"/>
          <w:highlight w:val="none"/>
        </w:rPr>
      </w:pPr>
      <w:r>
        <w:rPr>
          <w:color w:val="auto"/>
          <w:sz w:val="30"/>
          <w:szCs w:val="30"/>
          <w:highlight w:val="none"/>
        </w:rPr>
        <w:t>资阳市</w:t>
      </w:r>
      <w:r>
        <w:rPr>
          <w:rFonts w:hint="eastAsia"/>
          <w:color w:val="auto"/>
          <w:sz w:val="30"/>
          <w:szCs w:val="30"/>
          <w:highlight w:val="none"/>
          <w:lang w:val="en-US" w:eastAsia="zh-CN"/>
        </w:rPr>
        <w:t>位于四川盆地腹心地带，地处</w:t>
      </w:r>
      <w:r>
        <w:rPr>
          <w:color w:val="auto"/>
          <w:sz w:val="30"/>
          <w:szCs w:val="30"/>
          <w:highlight w:val="none"/>
        </w:rPr>
        <w:t>沱江干流</w:t>
      </w:r>
      <w:r>
        <w:rPr>
          <w:rFonts w:hint="eastAsia"/>
          <w:color w:val="auto"/>
          <w:sz w:val="30"/>
          <w:szCs w:val="30"/>
          <w:highlight w:val="none"/>
          <w:lang w:val="en-US" w:eastAsia="zh-CN"/>
        </w:rPr>
        <w:t>一</w:t>
      </w:r>
      <w:r>
        <w:rPr>
          <w:color w:val="auto"/>
          <w:sz w:val="30"/>
          <w:szCs w:val="30"/>
          <w:highlight w:val="none"/>
        </w:rPr>
        <w:t>级阶地</w:t>
      </w:r>
      <w:r>
        <w:rPr>
          <w:rFonts w:hint="eastAsia"/>
          <w:color w:val="auto"/>
          <w:sz w:val="30"/>
          <w:szCs w:val="30"/>
          <w:highlight w:val="none"/>
          <w:lang w:eastAsia="zh-CN"/>
        </w:rPr>
        <w:t>，</w:t>
      </w:r>
      <w:r>
        <w:rPr>
          <w:rFonts w:hint="eastAsia"/>
          <w:color w:val="auto"/>
          <w:sz w:val="30"/>
          <w:szCs w:val="30"/>
          <w:highlight w:val="none"/>
        </w:rPr>
        <w:t>是连接成都和重庆</w:t>
      </w:r>
      <w:r>
        <w:rPr>
          <w:rFonts w:hint="eastAsia"/>
          <w:color w:val="auto"/>
          <w:sz w:val="30"/>
          <w:szCs w:val="30"/>
          <w:highlight w:val="none"/>
          <w:lang w:eastAsia="zh-CN"/>
        </w:rPr>
        <w:t>“</w:t>
      </w:r>
      <w:r>
        <w:rPr>
          <w:rFonts w:hint="eastAsia"/>
          <w:color w:val="auto"/>
          <w:sz w:val="30"/>
          <w:szCs w:val="30"/>
          <w:highlight w:val="none"/>
        </w:rPr>
        <w:t>双核</w:t>
      </w:r>
      <w:r>
        <w:rPr>
          <w:rFonts w:hint="eastAsia"/>
          <w:color w:val="auto"/>
          <w:sz w:val="30"/>
          <w:szCs w:val="30"/>
          <w:highlight w:val="none"/>
          <w:lang w:eastAsia="zh-CN"/>
        </w:rPr>
        <w:t>”</w:t>
      </w:r>
      <w:r>
        <w:rPr>
          <w:rFonts w:hint="eastAsia"/>
          <w:color w:val="auto"/>
          <w:sz w:val="30"/>
          <w:szCs w:val="30"/>
          <w:highlight w:val="none"/>
        </w:rPr>
        <w:t>的城市。</w:t>
      </w:r>
      <w:r>
        <w:rPr>
          <w:rFonts w:hint="eastAsia"/>
          <w:color w:val="auto"/>
          <w:sz w:val="30"/>
          <w:szCs w:val="30"/>
          <w:highlight w:val="none"/>
          <w:lang w:val="en-US" w:eastAsia="zh-CN"/>
        </w:rPr>
        <w:t>防洪保护范围为资阳市城区，保护区面积17km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6</w:t>
      </w:r>
      <w:r>
        <w:rPr>
          <w:color w:val="auto"/>
          <w:sz w:val="30"/>
          <w:szCs w:val="30"/>
          <w:highlight w:val="none"/>
        </w:rPr>
        <w:t>万人。规划资阳</w:t>
      </w:r>
      <w:r>
        <w:rPr>
          <w:rFonts w:hint="eastAsia"/>
          <w:color w:val="auto"/>
          <w:sz w:val="30"/>
          <w:szCs w:val="30"/>
          <w:highlight w:val="none"/>
          <w:lang w:val="en-US" w:eastAsia="zh-CN"/>
        </w:rPr>
        <w:t>市</w:t>
      </w:r>
      <w:r>
        <w:rPr>
          <w:color w:val="auto"/>
          <w:sz w:val="30"/>
          <w:szCs w:val="30"/>
          <w:highlight w:val="none"/>
        </w:rPr>
        <w:t>城区宝台段、侯家坪段防洪标准</w:t>
      </w:r>
      <w:r>
        <w:rPr>
          <w:rFonts w:hint="eastAsia"/>
          <w:color w:val="auto"/>
          <w:sz w:val="30"/>
          <w:szCs w:val="30"/>
          <w:highlight w:val="none"/>
          <w:lang w:val="en-US" w:eastAsia="zh-CN"/>
        </w:rPr>
        <w:t>为</w:t>
      </w:r>
      <w:r>
        <w:rPr>
          <w:color w:val="auto"/>
          <w:sz w:val="30"/>
          <w:szCs w:val="30"/>
          <w:highlight w:val="none"/>
        </w:rPr>
        <w:t>50年一遇，排涝标准</w:t>
      </w:r>
      <w:r>
        <w:rPr>
          <w:rFonts w:hint="eastAsia"/>
          <w:color w:val="auto"/>
          <w:sz w:val="30"/>
          <w:szCs w:val="30"/>
          <w:highlight w:val="none"/>
          <w:lang w:val="en-US" w:eastAsia="zh-CN"/>
        </w:rPr>
        <w:t>为</w:t>
      </w:r>
      <w:r>
        <w:rPr>
          <w:color w:val="auto"/>
          <w:sz w:val="30"/>
          <w:szCs w:val="30"/>
          <w:highlight w:val="none"/>
        </w:rPr>
        <w:t>20年一遇；墨池坝段、李家坝段、董家坝段、南津驿段防洪标准</w:t>
      </w:r>
      <w:r>
        <w:rPr>
          <w:rFonts w:hint="eastAsia"/>
          <w:color w:val="auto"/>
          <w:sz w:val="30"/>
          <w:szCs w:val="30"/>
          <w:highlight w:val="none"/>
          <w:lang w:val="en-US" w:eastAsia="zh-CN"/>
        </w:rPr>
        <w:t>为</w:t>
      </w:r>
      <w:r>
        <w:rPr>
          <w:color w:val="auto"/>
          <w:sz w:val="30"/>
          <w:szCs w:val="30"/>
          <w:highlight w:val="none"/>
        </w:rPr>
        <w:t>20年一遇，排涝标准</w:t>
      </w:r>
      <w:r>
        <w:rPr>
          <w:rFonts w:hint="eastAsia"/>
          <w:color w:val="auto"/>
          <w:sz w:val="30"/>
          <w:szCs w:val="30"/>
          <w:highlight w:val="none"/>
          <w:lang w:val="en-US" w:eastAsia="zh-CN"/>
        </w:rPr>
        <w:t>为</w:t>
      </w:r>
      <w:r>
        <w:rPr>
          <w:color w:val="auto"/>
          <w:sz w:val="30"/>
          <w:szCs w:val="30"/>
          <w:highlight w:val="none"/>
        </w:rPr>
        <w:t>10年一遇；其余堤段防洪标准</w:t>
      </w:r>
      <w:r>
        <w:rPr>
          <w:rFonts w:hint="eastAsia"/>
          <w:color w:val="auto"/>
          <w:sz w:val="30"/>
          <w:szCs w:val="30"/>
          <w:highlight w:val="none"/>
          <w:lang w:val="en-US" w:eastAsia="zh-CN"/>
        </w:rPr>
        <w:t>为</w:t>
      </w:r>
      <w:r>
        <w:rPr>
          <w:color w:val="auto"/>
          <w:sz w:val="30"/>
          <w:szCs w:val="30"/>
          <w:highlight w:val="none"/>
        </w:rPr>
        <w:t>10年一遇，排涝标准</w:t>
      </w:r>
      <w:r>
        <w:rPr>
          <w:rFonts w:hint="eastAsia"/>
          <w:color w:val="auto"/>
          <w:sz w:val="30"/>
          <w:szCs w:val="30"/>
          <w:highlight w:val="none"/>
          <w:lang w:val="en-US" w:eastAsia="zh-CN"/>
        </w:rPr>
        <w:t>为</w:t>
      </w:r>
      <w:r>
        <w:rPr>
          <w:color w:val="auto"/>
          <w:sz w:val="30"/>
          <w:szCs w:val="30"/>
          <w:highlight w:val="none"/>
        </w:rPr>
        <w:t>5年一遇。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rStyle w:val="550"/>
          <w:rFonts w:ascii="Times New Roman" w:hAnsi="Times New Roman"/>
          <w:b w:val="0"/>
          <w:bCs w:val="0"/>
          <w:color w:val="auto"/>
          <w:spacing w:val="4"/>
          <w:kern w:val="2"/>
          <w:highlight w:val="none"/>
        </w:rPr>
      </w:pPr>
      <w:r>
        <w:rPr>
          <w:rFonts w:hint="eastAsia"/>
          <w:b w:val="0"/>
          <w:bCs w:val="0"/>
          <w:color w:val="auto"/>
          <w:sz w:val="30"/>
          <w:szCs w:val="30"/>
          <w:highlight w:val="none"/>
          <w:lang w:val="en-US" w:eastAsia="zh-CN"/>
        </w:rPr>
        <w:t>城区</w:t>
      </w:r>
      <w:r>
        <w:rPr>
          <w:rFonts w:ascii="Times New Roman" w:hAnsi="Times New Roman"/>
          <w:b w:val="0"/>
          <w:bCs w:val="0"/>
          <w:color w:val="auto"/>
          <w:sz w:val="30"/>
          <w:szCs w:val="30"/>
          <w:highlight w:val="none"/>
        </w:rPr>
        <w:t>防洪以建设堤防为主</w:t>
      </w:r>
      <w:r>
        <w:rPr>
          <w:rFonts w:hint="eastAsia"/>
          <w:b w:val="0"/>
          <w:bCs w:val="0"/>
          <w:color w:val="auto"/>
          <w:sz w:val="30"/>
          <w:szCs w:val="30"/>
          <w:highlight w:val="none"/>
          <w:lang w:eastAsia="zh-CN"/>
        </w:rPr>
        <w:t>，</w:t>
      </w:r>
      <w:r>
        <w:rPr>
          <w:rFonts w:hint="eastAsia"/>
          <w:b w:val="0"/>
          <w:bCs w:val="0"/>
          <w:color w:val="auto"/>
          <w:sz w:val="30"/>
          <w:szCs w:val="30"/>
          <w:highlight w:val="none"/>
          <w:lang w:val="en-US" w:eastAsia="zh-CN"/>
        </w:rPr>
        <w:t>结合河道清障疏浚、水土流失治理等，采取工程措施和非工程措施相结合，提升城市防洪能力</w:t>
      </w:r>
      <w:r>
        <w:rPr>
          <w:rFonts w:ascii="Times New Roman" w:hAnsi="Times New Roman"/>
          <w:b w:val="0"/>
          <w:bCs w:val="0"/>
          <w:color w:val="auto"/>
          <w:sz w:val="30"/>
          <w:szCs w:val="30"/>
          <w:highlight w:val="none"/>
        </w:rPr>
        <w:t>。沱江支流资阳段防洪工程以护岸为主，结合丘陵区发展要求，在支流阳化河上新建钟家湾水库，解决支流保和镇、老君镇、资阳</w:t>
      </w:r>
      <w:r>
        <w:rPr>
          <w:rFonts w:hint="eastAsia"/>
          <w:b w:val="0"/>
          <w:bCs w:val="0"/>
          <w:color w:val="auto"/>
          <w:sz w:val="30"/>
          <w:szCs w:val="30"/>
          <w:highlight w:val="none"/>
          <w:lang w:val="en-US" w:eastAsia="zh-CN"/>
        </w:rPr>
        <w:t>市</w:t>
      </w:r>
      <w:r>
        <w:rPr>
          <w:rFonts w:ascii="Times New Roman" w:hAnsi="Times New Roman"/>
          <w:b w:val="0"/>
          <w:bCs w:val="0"/>
          <w:color w:val="auto"/>
          <w:sz w:val="30"/>
          <w:szCs w:val="30"/>
          <w:highlight w:val="none"/>
        </w:rPr>
        <w:t>城区防洪问题。</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六、内江市城区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内江市位于沱江中游河段，地处成都、重庆两特大城市中间，是成渝铁路、</w:t>
      </w:r>
      <w:r>
        <w:rPr>
          <w:rFonts w:hint="eastAsia"/>
          <w:color w:val="auto"/>
          <w:sz w:val="30"/>
          <w:szCs w:val="30"/>
          <w:highlight w:val="none"/>
        </w:rPr>
        <w:t>G76成渝高速</w:t>
      </w:r>
      <w:r>
        <w:rPr>
          <w:color w:val="auto"/>
          <w:sz w:val="30"/>
          <w:szCs w:val="30"/>
          <w:highlight w:val="none"/>
        </w:rPr>
        <w:t>、</w:t>
      </w:r>
      <w:r>
        <w:rPr>
          <w:rFonts w:hint="eastAsia"/>
          <w:color w:val="auto"/>
          <w:sz w:val="30"/>
          <w:szCs w:val="30"/>
          <w:highlight w:val="none"/>
        </w:rPr>
        <w:t>国道G321</w:t>
      </w:r>
      <w:r>
        <w:rPr>
          <w:color w:val="auto"/>
          <w:sz w:val="30"/>
          <w:szCs w:val="30"/>
          <w:highlight w:val="none"/>
        </w:rPr>
        <w:t>与内昆铁路、</w:t>
      </w:r>
      <w:r>
        <w:rPr>
          <w:rFonts w:hint="eastAsia"/>
          <w:color w:val="auto"/>
          <w:sz w:val="30"/>
          <w:szCs w:val="30"/>
          <w:highlight w:val="none"/>
        </w:rPr>
        <w:t>G85内宜高速</w:t>
      </w:r>
      <w:r>
        <w:rPr>
          <w:color w:val="auto"/>
          <w:sz w:val="30"/>
          <w:szCs w:val="30"/>
          <w:highlight w:val="none"/>
        </w:rPr>
        <w:t>交汇处，有着突出的区位优势和交通优势</w:t>
      </w:r>
      <w:r>
        <w:rPr>
          <w:rFonts w:hint="eastAsia"/>
          <w:color w:val="auto"/>
          <w:sz w:val="30"/>
          <w:szCs w:val="30"/>
          <w:highlight w:val="none"/>
          <w:lang w:eastAsia="zh-CN"/>
        </w:rPr>
        <w:t>。</w:t>
      </w:r>
      <w:r>
        <w:rPr>
          <w:rFonts w:hint="eastAsia"/>
          <w:color w:val="auto"/>
          <w:sz w:val="30"/>
          <w:szCs w:val="30"/>
          <w:highlight w:val="none"/>
          <w:lang w:val="en-US" w:eastAsia="zh-CN"/>
        </w:rPr>
        <w:t>防洪保护范围为内江市城区，保护区面积11km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12</w:t>
      </w:r>
      <w:r>
        <w:rPr>
          <w:color w:val="auto"/>
          <w:sz w:val="30"/>
          <w:szCs w:val="30"/>
          <w:highlight w:val="none"/>
        </w:rPr>
        <w:t>万人。规划内江市城区右岸防洪标准为50年一遇，排涝标准</w:t>
      </w:r>
      <w:r>
        <w:rPr>
          <w:rFonts w:hint="eastAsia"/>
          <w:color w:val="auto"/>
          <w:sz w:val="30"/>
          <w:szCs w:val="30"/>
          <w:highlight w:val="none"/>
          <w:lang w:val="en-US" w:eastAsia="zh-CN"/>
        </w:rPr>
        <w:t>为</w:t>
      </w:r>
      <w:r>
        <w:rPr>
          <w:color w:val="auto"/>
          <w:sz w:val="30"/>
          <w:szCs w:val="30"/>
          <w:highlight w:val="none"/>
        </w:rPr>
        <w:t>20年一遇；左岸及各组团堤防建设防洪标准</w:t>
      </w:r>
      <w:r>
        <w:rPr>
          <w:rFonts w:hint="eastAsia"/>
          <w:color w:val="auto"/>
          <w:sz w:val="30"/>
          <w:szCs w:val="30"/>
          <w:highlight w:val="none"/>
          <w:lang w:val="en-US" w:eastAsia="zh-CN"/>
        </w:rPr>
        <w:t>为</w:t>
      </w:r>
      <w:r>
        <w:rPr>
          <w:color w:val="auto"/>
          <w:sz w:val="30"/>
          <w:szCs w:val="30"/>
          <w:highlight w:val="none"/>
        </w:rPr>
        <w:t>20年一遇，并采取临时拦挡、辅以预警疏散等措施将内江</w:t>
      </w:r>
      <w:r>
        <w:rPr>
          <w:rFonts w:hint="eastAsia"/>
          <w:color w:val="auto"/>
          <w:sz w:val="30"/>
          <w:szCs w:val="30"/>
          <w:highlight w:val="none"/>
          <w:lang w:val="en-US" w:eastAsia="zh-CN"/>
        </w:rPr>
        <w:t>市</w:t>
      </w:r>
      <w:r>
        <w:rPr>
          <w:color w:val="auto"/>
          <w:sz w:val="30"/>
          <w:szCs w:val="30"/>
          <w:highlight w:val="none"/>
        </w:rPr>
        <w:t>城区左岸防洪标准提高至50年一遇</w:t>
      </w:r>
      <w:r>
        <w:rPr>
          <w:rFonts w:hint="eastAsia"/>
          <w:color w:val="auto"/>
          <w:sz w:val="30"/>
          <w:szCs w:val="30"/>
          <w:highlight w:val="none"/>
          <w:lang w:eastAsia="zh-CN"/>
        </w:rPr>
        <w:t>，</w:t>
      </w:r>
      <w:r>
        <w:rPr>
          <w:color w:val="auto"/>
          <w:sz w:val="30"/>
          <w:szCs w:val="30"/>
          <w:highlight w:val="none"/>
        </w:rPr>
        <w:t>排涝标准</w:t>
      </w:r>
      <w:r>
        <w:rPr>
          <w:rFonts w:hint="eastAsia"/>
          <w:color w:val="auto"/>
          <w:sz w:val="30"/>
          <w:szCs w:val="30"/>
          <w:highlight w:val="none"/>
          <w:lang w:val="en-US" w:eastAsia="zh-CN"/>
        </w:rPr>
        <w:t>为</w:t>
      </w:r>
      <w:r>
        <w:rPr>
          <w:color w:val="auto"/>
          <w:sz w:val="30"/>
          <w:szCs w:val="30"/>
          <w:highlight w:val="none"/>
        </w:rPr>
        <w:t>10年一遇。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城区防洪拟采取工程措施与非工程措施相结合，主要通过新建堤防护岸</w:t>
      </w:r>
      <w:r>
        <w:rPr>
          <w:rFonts w:hint="eastAsia"/>
          <w:color w:val="auto"/>
          <w:sz w:val="30"/>
          <w:szCs w:val="30"/>
          <w:highlight w:val="none"/>
          <w:lang w:val="en-US" w:eastAsia="zh-CN"/>
        </w:rPr>
        <w:t>工程</w:t>
      </w:r>
      <w:r>
        <w:rPr>
          <w:color w:val="auto"/>
          <w:sz w:val="30"/>
          <w:szCs w:val="30"/>
          <w:highlight w:val="none"/>
        </w:rPr>
        <w:t>，封闭城区防洪保护圈，结合干流上游防洪水库调蓄洪水，完善城区主要排涝通道，形成较完善的城区防洪排涝综合治理体系。</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七、资中县城区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资中县位于四川盆地腹心，</w:t>
      </w:r>
      <w:r>
        <w:rPr>
          <w:rFonts w:hint="eastAsia"/>
          <w:color w:val="auto"/>
          <w:sz w:val="30"/>
          <w:szCs w:val="30"/>
          <w:highlight w:val="none"/>
          <w:lang w:val="en-US" w:eastAsia="zh-CN"/>
        </w:rPr>
        <w:t>地处</w:t>
      </w:r>
      <w:r>
        <w:rPr>
          <w:color w:val="auto"/>
          <w:sz w:val="30"/>
          <w:szCs w:val="30"/>
          <w:highlight w:val="none"/>
        </w:rPr>
        <w:t>沱江中游，城区沿沱江两岸一级阶地分布，地理位置优越、经济发达、人口密布、交通便利。</w:t>
      </w:r>
      <w:r>
        <w:rPr>
          <w:rFonts w:hint="eastAsia"/>
          <w:color w:val="auto"/>
          <w:sz w:val="30"/>
          <w:szCs w:val="30"/>
          <w:highlight w:val="none"/>
          <w:lang w:val="en-US" w:eastAsia="zh-CN"/>
        </w:rPr>
        <w:t>防洪保护范围为资中县城区，保护区面积4km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3</w:t>
      </w:r>
      <w:r>
        <w:rPr>
          <w:color w:val="auto"/>
          <w:sz w:val="30"/>
          <w:szCs w:val="30"/>
          <w:highlight w:val="none"/>
        </w:rPr>
        <w:t>万人。规划资中县城区防洪标准</w:t>
      </w:r>
      <w:r>
        <w:rPr>
          <w:rFonts w:hint="eastAsia"/>
          <w:color w:val="auto"/>
          <w:sz w:val="30"/>
          <w:szCs w:val="30"/>
          <w:highlight w:val="none"/>
          <w:lang w:val="en-US" w:eastAsia="zh-CN"/>
        </w:rPr>
        <w:t>为</w:t>
      </w:r>
      <w:r>
        <w:rPr>
          <w:color w:val="auto"/>
          <w:sz w:val="30"/>
          <w:szCs w:val="30"/>
          <w:highlight w:val="none"/>
        </w:rPr>
        <w:t>20年一遇</w:t>
      </w:r>
      <w:r>
        <w:rPr>
          <w:rFonts w:hint="eastAsia"/>
          <w:color w:val="auto"/>
          <w:sz w:val="30"/>
          <w:szCs w:val="30"/>
          <w:highlight w:val="none"/>
          <w:lang w:eastAsia="zh-CN"/>
        </w:rPr>
        <w:t>，</w:t>
      </w:r>
      <w:r>
        <w:rPr>
          <w:color w:val="auto"/>
          <w:sz w:val="30"/>
          <w:szCs w:val="30"/>
          <w:highlight w:val="none"/>
        </w:rPr>
        <w:t>排涝标准</w:t>
      </w:r>
      <w:r>
        <w:rPr>
          <w:rFonts w:hint="eastAsia"/>
          <w:color w:val="auto"/>
          <w:sz w:val="30"/>
          <w:szCs w:val="30"/>
          <w:highlight w:val="none"/>
          <w:lang w:val="en-US" w:eastAsia="zh-CN"/>
        </w:rPr>
        <w:t>为</w:t>
      </w:r>
      <w:r>
        <w:rPr>
          <w:color w:val="auto"/>
          <w:sz w:val="30"/>
          <w:szCs w:val="30"/>
          <w:highlight w:val="none"/>
        </w:rPr>
        <w:t>10年一遇。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城区防洪主要通过新建堤防护岸</w:t>
      </w:r>
      <w:r>
        <w:rPr>
          <w:rFonts w:hint="eastAsia"/>
          <w:color w:val="auto"/>
          <w:sz w:val="30"/>
          <w:szCs w:val="30"/>
          <w:highlight w:val="none"/>
          <w:lang w:val="en-US" w:eastAsia="zh-CN"/>
        </w:rPr>
        <w:t>工程</w:t>
      </w:r>
      <w:r>
        <w:rPr>
          <w:color w:val="auto"/>
          <w:sz w:val="30"/>
          <w:szCs w:val="30"/>
          <w:highlight w:val="none"/>
        </w:rPr>
        <w:t>，完善城区防洪封闭保护圈，结合干流上游防洪水库调蓄洪水，畅通城区主要排涝通道，形成较完善的城区防洪</w:t>
      </w:r>
      <w:r>
        <w:rPr>
          <w:rFonts w:hint="eastAsia"/>
          <w:color w:val="auto"/>
          <w:sz w:val="30"/>
          <w:szCs w:val="30"/>
          <w:highlight w:val="none"/>
          <w:lang w:val="en-US" w:eastAsia="zh-CN"/>
        </w:rPr>
        <w:t>排</w:t>
      </w:r>
      <w:r>
        <w:rPr>
          <w:color w:val="auto"/>
          <w:sz w:val="30"/>
          <w:szCs w:val="30"/>
          <w:highlight w:val="none"/>
        </w:rPr>
        <w:t>涝综合治理体系。</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八、自贡市城区</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自贡市</w:t>
      </w:r>
      <w:r>
        <w:rPr>
          <w:rFonts w:hint="eastAsia"/>
          <w:color w:val="auto"/>
          <w:sz w:val="30"/>
          <w:szCs w:val="30"/>
          <w:highlight w:val="none"/>
          <w:lang w:val="en-US" w:eastAsia="zh-CN"/>
        </w:rPr>
        <w:t>位</w:t>
      </w:r>
      <w:r>
        <w:rPr>
          <w:color w:val="auto"/>
          <w:sz w:val="30"/>
          <w:szCs w:val="30"/>
          <w:highlight w:val="none"/>
        </w:rPr>
        <w:t>于沱江中下游，辖自流井区、贡井区、大安区、沿滩区4个区。</w:t>
      </w:r>
      <w:r>
        <w:rPr>
          <w:rFonts w:hint="eastAsia"/>
          <w:color w:val="auto"/>
          <w:sz w:val="30"/>
          <w:szCs w:val="30"/>
          <w:highlight w:val="none"/>
          <w:lang w:val="en-US" w:eastAsia="zh-CN"/>
        </w:rPr>
        <w:t>防洪保护范围为自贡市城区，保护区面积57km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45</w:t>
      </w:r>
      <w:r>
        <w:rPr>
          <w:color w:val="auto"/>
          <w:sz w:val="30"/>
          <w:szCs w:val="30"/>
          <w:highlight w:val="none"/>
        </w:rPr>
        <w:t>万人。规划</w:t>
      </w:r>
      <w:r>
        <w:rPr>
          <w:rFonts w:hint="eastAsia"/>
          <w:color w:val="auto"/>
          <w:sz w:val="30"/>
          <w:szCs w:val="30"/>
          <w:highlight w:val="none"/>
          <w:lang w:val="en-US" w:eastAsia="zh-CN"/>
        </w:rPr>
        <w:t>自贡市城区防洪标准为50年一遇，</w:t>
      </w:r>
      <w:r>
        <w:rPr>
          <w:color w:val="auto"/>
          <w:sz w:val="30"/>
          <w:szCs w:val="30"/>
          <w:highlight w:val="none"/>
        </w:rPr>
        <w:t>一般场镇防洪标准为10年一遇。排涝标准</w:t>
      </w:r>
      <w:r>
        <w:rPr>
          <w:rFonts w:hint="eastAsia"/>
          <w:color w:val="auto"/>
          <w:sz w:val="30"/>
          <w:szCs w:val="30"/>
          <w:highlight w:val="none"/>
          <w:lang w:val="en-US" w:eastAsia="zh-CN"/>
        </w:rPr>
        <w:t>为</w:t>
      </w:r>
      <w:r>
        <w:rPr>
          <w:color w:val="auto"/>
          <w:sz w:val="30"/>
          <w:szCs w:val="30"/>
          <w:highlight w:val="none"/>
        </w:rPr>
        <w:t>10</w:t>
      </w:r>
      <w:r>
        <w:rPr>
          <w:rFonts w:hint="eastAsia"/>
          <w:color w:val="auto"/>
          <w:sz w:val="30"/>
          <w:szCs w:val="30"/>
          <w:highlight w:val="none"/>
          <w:lang w:eastAsia="zh-CN"/>
        </w:rPr>
        <w:t>～</w:t>
      </w:r>
      <w:r>
        <w:rPr>
          <w:color w:val="auto"/>
          <w:sz w:val="30"/>
          <w:szCs w:val="30"/>
          <w:highlight w:val="none"/>
        </w:rPr>
        <w:t>20年一遇。</w:t>
      </w:r>
    </w:p>
    <w:p>
      <w:pPr>
        <w:pStyle w:val="154"/>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城区防洪</w:t>
      </w:r>
      <w:r>
        <w:rPr>
          <w:rFonts w:hint="eastAsia"/>
          <w:color w:val="auto"/>
          <w:sz w:val="30"/>
          <w:szCs w:val="30"/>
          <w:highlight w:val="none"/>
          <w:lang w:val="en-US" w:eastAsia="zh-CN"/>
        </w:rPr>
        <w:t>采取</w:t>
      </w:r>
      <w:r>
        <w:rPr>
          <w:color w:val="auto"/>
          <w:sz w:val="30"/>
          <w:szCs w:val="30"/>
          <w:highlight w:val="none"/>
        </w:rPr>
        <w:t>工程措施与非工程措施结合、整治</w:t>
      </w:r>
      <w:r>
        <w:rPr>
          <w:rFonts w:hint="eastAsia"/>
          <w:color w:val="auto"/>
          <w:sz w:val="30"/>
          <w:szCs w:val="30"/>
          <w:highlight w:val="none"/>
          <w:lang w:val="en-US" w:eastAsia="zh-CN"/>
        </w:rPr>
        <w:t>河道</w:t>
      </w:r>
      <w:r>
        <w:rPr>
          <w:color w:val="auto"/>
          <w:sz w:val="30"/>
          <w:szCs w:val="30"/>
          <w:highlight w:val="none"/>
        </w:rPr>
        <w:t>与综合利用结合原则，釜溪河流域涉及的自</w:t>
      </w:r>
      <w:r>
        <w:rPr>
          <w:rFonts w:hint="eastAsia"/>
          <w:color w:val="auto"/>
          <w:sz w:val="30"/>
          <w:szCs w:val="30"/>
          <w:highlight w:val="none"/>
          <w:lang w:val="en-US" w:eastAsia="zh-CN"/>
        </w:rPr>
        <w:t>流</w:t>
      </w:r>
      <w:r>
        <w:rPr>
          <w:color w:val="auto"/>
          <w:sz w:val="30"/>
          <w:szCs w:val="30"/>
          <w:highlight w:val="none"/>
        </w:rPr>
        <w:t>井区、沿滩区、大安</w:t>
      </w:r>
      <w:r>
        <w:rPr>
          <w:rFonts w:hint="eastAsia"/>
          <w:color w:val="auto"/>
          <w:sz w:val="30"/>
          <w:szCs w:val="30"/>
          <w:highlight w:val="none"/>
          <w:lang w:val="en-US" w:eastAsia="zh-CN"/>
        </w:rPr>
        <w:t>区和</w:t>
      </w:r>
      <w:r>
        <w:rPr>
          <w:color w:val="auto"/>
          <w:sz w:val="30"/>
          <w:szCs w:val="30"/>
          <w:highlight w:val="none"/>
        </w:rPr>
        <w:t>贡井</w:t>
      </w:r>
      <w:r>
        <w:rPr>
          <w:rFonts w:hint="eastAsia"/>
          <w:color w:val="auto"/>
          <w:sz w:val="30"/>
          <w:szCs w:val="30"/>
          <w:highlight w:val="none"/>
          <w:lang w:val="en-US" w:eastAsia="zh-CN"/>
        </w:rPr>
        <w:t>区及</w:t>
      </w:r>
      <w:r>
        <w:rPr>
          <w:color w:val="auto"/>
          <w:sz w:val="30"/>
          <w:szCs w:val="30"/>
          <w:highlight w:val="none"/>
        </w:rPr>
        <w:t>沱江干流涉及的大安区</w:t>
      </w:r>
      <w:r>
        <w:rPr>
          <w:rFonts w:hint="eastAsia"/>
          <w:color w:val="auto"/>
          <w:sz w:val="30"/>
          <w:szCs w:val="30"/>
          <w:highlight w:val="none"/>
          <w:lang w:val="en-US" w:eastAsia="zh-CN"/>
        </w:rPr>
        <w:t>采用</w:t>
      </w:r>
      <w:r>
        <w:rPr>
          <w:color w:val="auto"/>
          <w:sz w:val="30"/>
          <w:szCs w:val="30"/>
          <w:highlight w:val="none"/>
        </w:rPr>
        <w:t>分段</w:t>
      </w:r>
      <w:r>
        <w:rPr>
          <w:rFonts w:hint="eastAsia"/>
          <w:color w:val="auto"/>
          <w:sz w:val="30"/>
          <w:szCs w:val="30"/>
          <w:highlight w:val="none"/>
          <w:lang w:val="en-US" w:eastAsia="zh-CN"/>
        </w:rPr>
        <w:t>建设</w:t>
      </w:r>
      <w:r>
        <w:rPr>
          <w:color w:val="auto"/>
          <w:sz w:val="30"/>
          <w:szCs w:val="30"/>
          <w:highlight w:val="none"/>
        </w:rPr>
        <w:t>堤防护岸等</w:t>
      </w:r>
      <w:r>
        <w:rPr>
          <w:rFonts w:hint="eastAsia"/>
          <w:color w:val="auto"/>
          <w:sz w:val="30"/>
          <w:szCs w:val="30"/>
          <w:highlight w:val="none"/>
          <w:lang w:val="en-US" w:eastAsia="zh-CN"/>
        </w:rPr>
        <w:t>措施</w:t>
      </w:r>
      <w:r>
        <w:rPr>
          <w:color w:val="auto"/>
          <w:sz w:val="30"/>
          <w:szCs w:val="30"/>
          <w:highlight w:val="none"/>
        </w:rPr>
        <w:t>。</w:t>
      </w:r>
      <w:r>
        <w:rPr>
          <w:rFonts w:hint="eastAsia"/>
          <w:color w:val="auto"/>
          <w:sz w:val="30"/>
          <w:szCs w:val="30"/>
          <w:highlight w:val="none"/>
          <w:lang w:val="en-US" w:eastAsia="zh-CN"/>
        </w:rPr>
        <w:t>近期规划</w:t>
      </w:r>
      <w:r>
        <w:rPr>
          <w:color w:val="auto"/>
          <w:sz w:val="30"/>
          <w:szCs w:val="30"/>
          <w:highlight w:val="none"/>
        </w:rPr>
        <w:t>城</w:t>
      </w:r>
      <w:r>
        <w:rPr>
          <w:rFonts w:hint="eastAsia"/>
          <w:color w:val="auto"/>
          <w:sz w:val="30"/>
          <w:szCs w:val="30"/>
          <w:highlight w:val="none"/>
          <w:lang w:val="en-US" w:eastAsia="zh-CN"/>
        </w:rPr>
        <w:t>区</w:t>
      </w:r>
      <w:r>
        <w:rPr>
          <w:color w:val="auto"/>
          <w:sz w:val="30"/>
          <w:szCs w:val="30"/>
          <w:highlight w:val="none"/>
        </w:rPr>
        <w:t>防洪以堤防建设</w:t>
      </w:r>
      <w:r>
        <w:rPr>
          <w:rFonts w:hint="eastAsia"/>
          <w:color w:val="auto"/>
          <w:sz w:val="30"/>
          <w:szCs w:val="30"/>
          <w:highlight w:val="none"/>
          <w:lang w:eastAsia="zh-CN"/>
        </w:rPr>
        <w:t>、</w:t>
      </w:r>
      <w:r>
        <w:rPr>
          <w:rFonts w:hint="eastAsia"/>
          <w:color w:val="auto"/>
          <w:sz w:val="30"/>
          <w:szCs w:val="30"/>
          <w:highlight w:val="none"/>
          <w:lang w:val="en-US" w:eastAsia="zh-CN"/>
        </w:rPr>
        <w:t>泄洪</w:t>
      </w:r>
      <w:r>
        <w:rPr>
          <w:color w:val="auto"/>
          <w:sz w:val="30"/>
          <w:szCs w:val="30"/>
          <w:highlight w:val="none"/>
        </w:rPr>
        <w:t>为主，远景规划在威远河上建设麻柳湾</w:t>
      </w:r>
      <w:r>
        <w:rPr>
          <w:rFonts w:hint="eastAsia"/>
          <w:color w:val="auto"/>
          <w:sz w:val="30"/>
          <w:szCs w:val="30"/>
          <w:highlight w:val="none"/>
        </w:rPr>
        <w:t>分蓄洪工程</w:t>
      </w:r>
      <w:r>
        <w:rPr>
          <w:color w:val="auto"/>
          <w:sz w:val="30"/>
          <w:szCs w:val="30"/>
          <w:highlight w:val="none"/>
        </w:rPr>
        <w:t>削减城区洪水，防洪标准</w:t>
      </w:r>
      <w:r>
        <w:rPr>
          <w:rFonts w:hint="eastAsia"/>
          <w:color w:val="auto"/>
          <w:sz w:val="30"/>
          <w:szCs w:val="30"/>
          <w:highlight w:val="none"/>
          <w:lang w:val="en-US" w:eastAsia="zh-CN"/>
        </w:rPr>
        <w:t>提高</w:t>
      </w:r>
      <w:r>
        <w:rPr>
          <w:color w:val="auto"/>
          <w:sz w:val="30"/>
          <w:szCs w:val="30"/>
          <w:highlight w:val="none"/>
        </w:rPr>
        <w:t>到50年一遇。</w:t>
      </w:r>
    </w:p>
    <w:p>
      <w:pPr>
        <w:pStyle w:val="5"/>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九、富顺县城区</w:t>
      </w:r>
    </w:p>
    <w:p>
      <w:pPr>
        <w:pStyle w:val="154"/>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color w:val="auto"/>
          <w:sz w:val="30"/>
          <w:szCs w:val="30"/>
          <w:highlight w:val="none"/>
          <w:lang w:val="en-US" w:eastAsia="zh-CN"/>
        </w:rPr>
        <w:t>富顺县位于四川盆地南沿，</w:t>
      </w:r>
      <w:r>
        <w:rPr>
          <w:color w:val="auto"/>
          <w:sz w:val="30"/>
          <w:szCs w:val="30"/>
          <w:highlight w:val="none"/>
        </w:rPr>
        <w:t>沱江由北向南在富顺县境内穿过</w:t>
      </w:r>
      <w:r>
        <w:rPr>
          <w:rFonts w:hint="eastAsia"/>
          <w:color w:val="auto"/>
          <w:sz w:val="30"/>
          <w:szCs w:val="30"/>
          <w:highlight w:val="none"/>
          <w:lang w:eastAsia="zh-CN"/>
        </w:rPr>
        <w:t>。</w:t>
      </w:r>
      <w:r>
        <w:rPr>
          <w:rFonts w:hint="eastAsia"/>
          <w:color w:val="auto"/>
          <w:sz w:val="30"/>
          <w:szCs w:val="30"/>
          <w:highlight w:val="none"/>
          <w:lang w:val="en-US" w:eastAsia="zh-CN"/>
        </w:rPr>
        <w:t>防洪保护范围为富顺县城区，保护区面积4km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4</w:t>
      </w:r>
      <w:r>
        <w:rPr>
          <w:color w:val="auto"/>
          <w:sz w:val="30"/>
          <w:szCs w:val="30"/>
          <w:highlight w:val="none"/>
        </w:rPr>
        <w:t>万人。规划富顺县城区防洪标准为20年一遇</w:t>
      </w:r>
      <w:r>
        <w:rPr>
          <w:rFonts w:hint="eastAsia"/>
          <w:color w:val="auto"/>
          <w:sz w:val="30"/>
          <w:szCs w:val="30"/>
          <w:highlight w:val="none"/>
          <w:lang w:eastAsia="zh-CN"/>
        </w:rPr>
        <w:t>，</w:t>
      </w:r>
      <w:r>
        <w:rPr>
          <w:color w:val="auto"/>
          <w:sz w:val="30"/>
          <w:szCs w:val="30"/>
          <w:highlight w:val="none"/>
        </w:rPr>
        <w:t>排涝标准</w:t>
      </w:r>
      <w:r>
        <w:rPr>
          <w:rFonts w:hint="eastAsia"/>
          <w:color w:val="auto"/>
          <w:sz w:val="30"/>
          <w:szCs w:val="30"/>
          <w:highlight w:val="none"/>
          <w:lang w:val="en-US" w:eastAsia="zh-CN"/>
        </w:rPr>
        <w:t>为</w:t>
      </w:r>
      <w:r>
        <w:rPr>
          <w:color w:val="auto"/>
          <w:sz w:val="30"/>
          <w:szCs w:val="30"/>
          <w:highlight w:val="none"/>
        </w:rPr>
        <w:t>10年一遇。</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城</w:t>
      </w:r>
      <w:r>
        <w:rPr>
          <w:rFonts w:hint="eastAsia"/>
          <w:color w:val="auto"/>
          <w:sz w:val="30"/>
          <w:szCs w:val="30"/>
          <w:highlight w:val="none"/>
          <w:lang w:val="en-US" w:eastAsia="zh-CN"/>
        </w:rPr>
        <w:t>区</w:t>
      </w:r>
      <w:r>
        <w:rPr>
          <w:color w:val="auto"/>
          <w:sz w:val="30"/>
          <w:szCs w:val="30"/>
          <w:highlight w:val="none"/>
        </w:rPr>
        <w:t>防洪以堤防建设</w:t>
      </w:r>
      <w:r>
        <w:rPr>
          <w:rFonts w:hint="eastAsia"/>
          <w:color w:val="auto"/>
          <w:sz w:val="30"/>
          <w:szCs w:val="30"/>
          <w:highlight w:val="none"/>
          <w:lang w:eastAsia="zh-CN"/>
        </w:rPr>
        <w:t>、</w:t>
      </w:r>
      <w:r>
        <w:rPr>
          <w:rFonts w:hint="eastAsia"/>
          <w:color w:val="auto"/>
          <w:sz w:val="30"/>
          <w:szCs w:val="30"/>
          <w:highlight w:val="none"/>
          <w:lang w:val="en-US" w:eastAsia="zh-CN"/>
        </w:rPr>
        <w:t>泄洪</w:t>
      </w:r>
      <w:r>
        <w:rPr>
          <w:color w:val="auto"/>
          <w:sz w:val="30"/>
          <w:szCs w:val="30"/>
          <w:highlight w:val="none"/>
        </w:rPr>
        <w:t>为主，对沱江干流富顺县段采用分段</w:t>
      </w:r>
      <w:r>
        <w:rPr>
          <w:rFonts w:hint="eastAsia"/>
          <w:color w:val="auto"/>
          <w:sz w:val="30"/>
          <w:szCs w:val="30"/>
          <w:highlight w:val="none"/>
          <w:lang w:val="en-US" w:eastAsia="zh-CN"/>
        </w:rPr>
        <w:t>建设</w:t>
      </w:r>
      <w:r>
        <w:rPr>
          <w:color w:val="auto"/>
          <w:sz w:val="30"/>
          <w:szCs w:val="30"/>
          <w:highlight w:val="none"/>
        </w:rPr>
        <w:t>堤防护岸等</w:t>
      </w:r>
      <w:r>
        <w:rPr>
          <w:rFonts w:hint="eastAsia"/>
          <w:color w:val="auto"/>
          <w:sz w:val="30"/>
          <w:szCs w:val="30"/>
          <w:highlight w:val="none"/>
          <w:lang w:val="en-US" w:eastAsia="zh-CN"/>
        </w:rPr>
        <w:t>措施</w:t>
      </w:r>
      <w:r>
        <w:rPr>
          <w:color w:val="auto"/>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十、泸州市城区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泸州市</w:t>
      </w:r>
      <w:r>
        <w:rPr>
          <w:rFonts w:hint="eastAsia"/>
          <w:color w:val="auto"/>
          <w:sz w:val="30"/>
          <w:szCs w:val="30"/>
          <w:highlight w:val="none"/>
          <w:lang w:val="en-US" w:eastAsia="zh-CN"/>
        </w:rPr>
        <w:t>位于四川省东南，地处</w:t>
      </w:r>
      <w:r>
        <w:rPr>
          <w:color w:val="auto"/>
          <w:sz w:val="30"/>
          <w:szCs w:val="30"/>
          <w:highlight w:val="none"/>
        </w:rPr>
        <w:t>长江和沱江交汇区域</w:t>
      </w:r>
      <w:r>
        <w:rPr>
          <w:rFonts w:hint="eastAsia"/>
          <w:color w:val="auto"/>
          <w:sz w:val="30"/>
          <w:szCs w:val="30"/>
          <w:highlight w:val="none"/>
          <w:lang w:val="en-US" w:eastAsia="zh-CN"/>
        </w:rPr>
        <w:t>，</w:t>
      </w:r>
      <w:r>
        <w:rPr>
          <w:color w:val="auto"/>
          <w:sz w:val="30"/>
          <w:szCs w:val="30"/>
          <w:highlight w:val="none"/>
        </w:rPr>
        <w:t>是长江经济带和南丝绸之路的重要交汇点</w:t>
      </w:r>
      <w:r>
        <w:rPr>
          <w:rFonts w:hint="eastAsia"/>
          <w:color w:val="auto"/>
          <w:sz w:val="30"/>
          <w:szCs w:val="30"/>
          <w:highlight w:val="none"/>
          <w:lang w:eastAsia="zh-CN"/>
        </w:rPr>
        <w:t>、</w:t>
      </w:r>
      <w:r>
        <w:rPr>
          <w:color w:val="auto"/>
          <w:sz w:val="30"/>
          <w:szCs w:val="30"/>
          <w:highlight w:val="none"/>
        </w:rPr>
        <w:t>乌蒙山片区区域发展与扶贫攻坚区域的重要叠合区，是重要的滨江城市。</w:t>
      </w:r>
      <w:r>
        <w:rPr>
          <w:rFonts w:hint="eastAsia"/>
          <w:color w:val="auto"/>
          <w:sz w:val="30"/>
          <w:szCs w:val="30"/>
          <w:highlight w:val="none"/>
          <w:lang w:val="en-US" w:eastAsia="zh-CN"/>
        </w:rPr>
        <w:t>防洪保护范围为泸州市城区，保护区面积3km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2</w:t>
      </w:r>
      <w:r>
        <w:rPr>
          <w:color w:val="auto"/>
          <w:sz w:val="30"/>
          <w:szCs w:val="30"/>
          <w:highlight w:val="none"/>
        </w:rPr>
        <w:t>万人</w:t>
      </w:r>
      <w:r>
        <w:rPr>
          <w:rFonts w:hint="eastAsia"/>
          <w:color w:val="auto"/>
          <w:sz w:val="30"/>
          <w:szCs w:val="30"/>
          <w:highlight w:val="none"/>
          <w:lang w:eastAsia="zh-CN"/>
        </w:rPr>
        <w:t>。</w:t>
      </w:r>
      <w:r>
        <w:rPr>
          <w:rFonts w:hint="eastAsia"/>
          <w:color w:val="auto"/>
          <w:sz w:val="30"/>
          <w:szCs w:val="30"/>
          <w:highlight w:val="none"/>
          <w:lang w:val="en-US" w:eastAsia="zh-CN"/>
        </w:rPr>
        <w:t>规划</w:t>
      </w:r>
      <w:r>
        <w:rPr>
          <w:color w:val="auto"/>
          <w:sz w:val="30"/>
          <w:szCs w:val="30"/>
          <w:highlight w:val="none"/>
        </w:rPr>
        <w:t>沱江流域城区左岸G76高速路桥到小市王爷庙</w:t>
      </w:r>
      <w:r>
        <w:rPr>
          <w:rFonts w:hint="eastAsia"/>
          <w:color w:val="auto"/>
          <w:sz w:val="30"/>
          <w:szCs w:val="30"/>
          <w:highlight w:val="none"/>
          <w:lang w:val="en-US" w:eastAsia="zh-CN"/>
        </w:rPr>
        <w:t>段</w:t>
      </w:r>
      <w:r>
        <w:rPr>
          <w:color w:val="auto"/>
          <w:sz w:val="30"/>
          <w:szCs w:val="30"/>
          <w:highlight w:val="none"/>
        </w:rPr>
        <w:t>防洪标准为20年一遇，右岸G76高速路桥到北城街道管驿嘴</w:t>
      </w:r>
      <w:r>
        <w:rPr>
          <w:rFonts w:hint="eastAsia"/>
          <w:color w:val="auto"/>
          <w:sz w:val="30"/>
          <w:szCs w:val="30"/>
          <w:highlight w:val="none"/>
          <w:lang w:val="en-US" w:eastAsia="zh-CN"/>
        </w:rPr>
        <w:t>段</w:t>
      </w:r>
      <w:r>
        <w:rPr>
          <w:color w:val="auto"/>
          <w:sz w:val="30"/>
          <w:szCs w:val="30"/>
          <w:highlight w:val="none"/>
        </w:rPr>
        <w:t>防洪标准为50年一遇。</w:t>
      </w:r>
      <w:r>
        <w:rPr>
          <w:rFonts w:hint="eastAsia"/>
          <w:color w:val="auto"/>
          <w:sz w:val="30"/>
          <w:szCs w:val="30"/>
          <w:highlight w:val="none"/>
          <w:lang w:val="en-US" w:eastAsia="zh-CN"/>
        </w:rPr>
        <w:t>泸州市城区</w:t>
      </w:r>
      <w:r>
        <w:rPr>
          <w:color w:val="auto"/>
          <w:sz w:val="30"/>
          <w:szCs w:val="30"/>
          <w:highlight w:val="none"/>
        </w:rPr>
        <w:t>排涝标准为10年一遇。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城区防洪</w:t>
      </w:r>
      <w:r>
        <w:rPr>
          <w:color w:val="auto"/>
          <w:sz w:val="30"/>
          <w:szCs w:val="30"/>
          <w:highlight w:val="none"/>
        </w:rPr>
        <w:t>以</w:t>
      </w:r>
      <w:r>
        <w:rPr>
          <w:rFonts w:hint="eastAsia"/>
          <w:color w:val="auto"/>
          <w:sz w:val="30"/>
          <w:szCs w:val="30"/>
          <w:highlight w:val="none"/>
          <w:lang w:val="en-US" w:eastAsia="zh-CN"/>
        </w:rPr>
        <w:t>建设</w:t>
      </w:r>
      <w:r>
        <w:rPr>
          <w:color w:val="auto"/>
          <w:sz w:val="30"/>
          <w:szCs w:val="30"/>
          <w:highlight w:val="none"/>
        </w:rPr>
        <w:t>堤防护岸工程为主，</w:t>
      </w:r>
      <w:r>
        <w:rPr>
          <w:rFonts w:hint="eastAsia"/>
          <w:color w:val="auto"/>
          <w:sz w:val="30"/>
          <w:szCs w:val="30"/>
          <w:highlight w:val="none"/>
          <w:lang w:val="en-US" w:eastAsia="zh-CN"/>
        </w:rPr>
        <w:t>结合</w:t>
      </w:r>
      <w:r>
        <w:rPr>
          <w:color w:val="auto"/>
          <w:sz w:val="30"/>
          <w:szCs w:val="30"/>
          <w:highlight w:val="none"/>
        </w:rPr>
        <w:t>河道疏浚，提高河道行洪能力</w:t>
      </w:r>
      <w:r>
        <w:rPr>
          <w:rFonts w:hint="eastAsia"/>
          <w:color w:val="auto"/>
          <w:sz w:val="30"/>
          <w:szCs w:val="30"/>
          <w:highlight w:val="none"/>
          <w:lang w:eastAsia="zh-CN"/>
        </w:rPr>
        <w:t>；</w:t>
      </w:r>
      <w:r>
        <w:rPr>
          <w:color w:val="auto"/>
          <w:sz w:val="30"/>
          <w:szCs w:val="30"/>
          <w:highlight w:val="none"/>
        </w:rPr>
        <w:t>对</w:t>
      </w:r>
      <w:r>
        <w:rPr>
          <w:rFonts w:hint="eastAsia"/>
          <w:color w:val="auto"/>
          <w:sz w:val="30"/>
          <w:szCs w:val="30"/>
          <w:highlight w:val="none"/>
          <w:lang w:val="en-US" w:eastAsia="zh-CN"/>
        </w:rPr>
        <w:t>未达标</w:t>
      </w:r>
      <w:r>
        <w:rPr>
          <w:color w:val="auto"/>
          <w:sz w:val="30"/>
          <w:szCs w:val="30"/>
          <w:highlight w:val="none"/>
        </w:rPr>
        <w:t>堤防</w:t>
      </w:r>
      <w:r>
        <w:rPr>
          <w:rFonts w:hint="eastAsia"/>
          <w:color w:val="auto"/>
          <w:sz w:val="30"/>
          <w:szCs w:val="30"/>
          <w:highlight w:val="none"/>
          <w:lang w:val="en-US" w:eastAsia="zh-CN"/>
        </w:rPr>
        <w:t>进行达标建设</w:t>
      </w:r>
      <w:r>
        <w:rPr>
          <w:color w:val="auto"/>
          <w:sz w:val="30"/>
          <w:szCs w:val="30"/>
          <w:highlight w:val="none"/>
        </w:rPr>
        <w:t>，对险工险段</w:t>
      </w:r>
      <w:r>
        <w:rPr>
          <w:rFonts w:hint="eastAsia"/>
          <w:color w:val="auto"/>
          <w:sz w:val="30"/>
          <w:szCs w:val="30"/>
          <w:highlight w:val="none"/>
          <w:lang w:val="en-US" w:eastAsia="zh-CN"/>
        </w:rPr>
        <w:t>进行整治</w:t>
      </w:r>
      <w:r>
        <w:rPr>
          <w:color w:val="auto"/>
          <w:sz w:val="30"/>
          <w:szCs w:val="30"/>
          <w:highlight w:val="none"/>
        </w:rPr>
        <w:t>，达到防洪</w:t>
      </w:r>
      <w:r>
        <w:rPr>
          <w:rFonts w:hint="eastAsia"/>
          <w:color w:val="auto"/>
          <w:sz w:val="30"/>
          <w:szCs w:val="30"/>
          <w:highlight w:val="none"/>
          <w:lang w:val="en-US" w:eastAsia="zh-CN"/>
        </w:rPr>
        <w:t>标准</w:t>
      </w:r>
      <w:r>
        <w:rPr>
          <w:color w:val="auto"/>
          <w:sz w:val="30"/>
          <w:szCs w:val="30"/>
          <w:highlight w:val="none"/>
        </w:rPr>
        <w:t>。</w:t>
      </w:r>
      <w:r>
        <w:rPr>
          <w:rFonts w:hint="eastAsia"/>
          <w:color w:val="auto"/>
          <w:sz w:val="30"/>
          <w:szCs w:val="30"/>
          <w:highlight w:val="none"/>
          <w:lang w:val="en-US" w:eastAsia="zh-CN"/>
        </w:rPr>
        <w:t>同时，结合</w:t>
      </w:r>
      <w:r>
        <w:rPr>
          <w:color w:val="auto"/>
          <w:sz w:val="30"/>
          <w:szCs w:val="30"/>
          <w:highlight w:val="none"/>
        </w:rPr>
        <w:t>溪洛渡、向家坝等电站水库和永宁水库</w:t>
      </w:r>
      <w:r>
        <w:rPr>
          <w:rFonts w:hint="eastAsia"/>
          <w:color w:val="auto"/>
          <w:sz w:val="30"/>
          <w:szCs w:val="30"/>
          <w:highlight w:val="none"/>
          <w:lang w:val="en-US" w:eastAsia="zh-CN"/>
        </w:rPr>
        <w:t>防洪调度</w:t>
      </w:r>
      <w:r>
        <w:rPr>
          <w:color w:val="auto"/>
          <w:sz w:val="30"/>
          <w:szCs w:val="30"/>
          <w:highlight w:val="none"/>
        </w:rPr>
        <w:t>，进一步提高城市防洪</w:t>
      </w:r>
      <w:r>
        <w:rPr>
          <w:rFonts w:hint="eastAsia"/>
          <w:color w:val="auto"/>
          <w:sz w:val="30"/>
          <w:szCs w:val="30"/>
          <w:highlight w:val="none"/>
          <w:lang w:val="en-US" w:eastAsia="zh-CN"/>
        </w:rPr>
        <w:t>能力</w:t>
      </w:r>
      <w:r>
        <w:rPr>
          <w:color w:val="auto"/>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十</w:t>
      </w:r>
      <w:r>
        <w:rPr>
          <w:rStyle w:val="550"/>
          <w:rFonts w:hint="eastAsia" w:ascii="黑体" w:hAnsi="黑体" w:eastAsia="黑体" w:cs="黑体"/>
          <w:b w:val="0"/>
          <w:bCs/>
          <w:color w:val="auto"/>
          <w:highlight w:val="none"/>
          <w:lang w:val="en-US" w:eastAsia="zh-CN"/>
        </w:rPr>
        <w:t>一</w:t>
      </w:r>
      <w:r>
        <w:rPr>
          <w:rStyle w:val="550"/>
          <w:rFonts w:hint="eastAsia" w:ascii="黑体" w:hAnsi="黑体" w:eastAsia="黑体" w:cs="黑体"/>
          <w:b w:val="0"/>
          <w:bCs/>
          <w:color w:val="auto"/>
          <w:highlight w:val="none"/>
        </w:rPr>
        <w:t>、泸县城区</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泸县</w:t>
      </w:r>
      <w:r>
        <w:rPr>
          <w:rFonts w:hint="eastAsia"/>
          <w:color w:val="auto"/>
          <w:sz w:val="30"/>
          <w:szCs w:val="30"/>
          <w:highlight w:val="none"/>
          <w:lang w:val="en-US" w:eastAsia="zh-CN"/>
        </w:rPr>
        <w:t>位于四川盆地南部，地处</w:t>
      </w:r>
      <w:r>
        <w:rPr>
          <w:color w:val="auto"/>
          <w:sz w:val="30"/>
          <w:szCs w:val="30"/>
          <w:highlight w:val="none"/>
        </w:rPr>
        <w:t>濑溪河与龙市河汇</w:t>
      </w:r>
      <w:r>
        <w:rPr>
          <w:rFonts w:hint="eastAsia"/>
          <w:color w:val="auto"/>
          <w:sz w:val="30"/>
          <w:szCs w:val="30"/>
          <w:highlight w:val="none"/>
          <w:lang w:val="en-US" w:eastAsia="zh-CN"/>
        </w:rPr>
        <w:t>合</w:t>
      </w:r>
      <w:r>
        <w:rPr>
          <w:color w:val="auto"/>
          <w:sz w:val="30"/>
          <w:szCs w:val="30"/>
          <w:highlight w:val="none"/>
        </w:rPr>
        <w:t>处，是泸州市首批</w:t>
      </w:r>
      <w:r>
        <w:rPr>
          <w:rFonts w:hint="eastAsia"/>
          <w:color w:val="auto"/>
          <w:sz w:val="30"/>
          <w:szCs w:val="30"/>
          <w:highlight w:val="none"/>
          <w:lang w:eastAsia="zh-CN"/>
        </w:rPr>
        <w:t>“</w:t>
      </w:r>
      <w:r>
        <w:rPr>
          <w:color w:val="auto"/>
          <w:sz w:val="30"/>
          <w:szCs w:val="30"/>
          <w:highlight w:val="none"/>
        </w:rPr>
        <w:t>小康乡镇</w:t>
      </w:r>
      <w:r>
        <w:rPr>
          <w:rFonts w:hint="eastAsia"/>
          <w:color w:val="auto"/>
          <w:sz w:val="30"/>
          <w:szCs w:val="30"/>
          <w:highlight w:val="none"/>
          <w:lang w:eastAsia="zh-CN"/>
        </w:rPr>
        <w:t>”“</w:t>
      </w:r>
      <w:r>
        <w:rPr>
          <w:color w:val="auto"/>
          <w:sz w:val="30"/>
          <w:szCs w:val="30"/>
          <w:highlight w:val="none"/>
        </w:rPr>
        <w:t>十强乡镇</w:t>
      </w:r>
      <w:r>
        <w:rPr>
          <w:rFonts w:hint="eastAsia"/>
          <w:color w:val="auto"/>
          <w:sz w:val="30"/>
          <w:szCs w:val="30"/>
          <w:highlight w:val="none"/>
          <w:lang w:eastAsia="zh-CN"/>
        </w:rPr>
        <w:t>”</w:t>
      </w:r>
      <w:r>
        <w:rPr>
          <w:color w:val="auto"/>
          <w:sz w:val="30"/>
          <w:szCs w:val="30"/>
          <w:highlight w:val="none"/>
        </w:rPr>
        <w:t>。</w:t>
      </w:r>
      <w:r>
        <w:rPr>
          <w:rFonts w:hint="eastAsia"/>
          <w:color w:val="auto"/>
          <w:sz w:val="30"/>
          <w:szCs w:val="30"/>
          <w:highlight w:val="none"/>
          <w:lang w:val="en-US" w:eastAsia="zh-CN"/>
        </w:rPr>
        <w:t>防洪保护范围为泸县城区，保护区面积2km</w:t>
      </w:r>
      <w:r>
        <w:rPr>
          <w:rFonts w:hint="eastAsia"/>
          <w:color w:val="auto"/>
          <w:sz w:val="30"/>
          <w:szCs w:val="30"/>
          <w:highlight w:val="none"/>
          <w:vertAlign w:val="superscript"/>
          <w:lang w:val="en-US" w:eastAsia="zh-CN"/>
        </w:rPr>
        <w:t>2</w:t>
      </w:r>
      <w:r>
        <w:rPr>
          <w:rFonts w:hint="eastAsia"/>
          <w:color w:val="auto"/>
          <w:sz w:val="30"/>
          <w:szCs w:val="30"/>
          <w:highlight w:val="none"/>
          <w:vertAlign w:val="baseline"/>
          <w:lang w:val="en-US" w:eastAsia="zh-CN"/>
        </w:rPr>
        <w:t>，</w:t>
      </w:r>
      <w:r>
        <w:rPr>
          <w:color w:val="auto"/>
          <w:sz w:val="30"/>
          <w:szCs w:val="30"/>
          <w:highlight w:val="none"/>
        </w:rPr>
        <w:t>2020年</w:t>
      </w:r>
      <w:r>
        <w:rPr>
          <w:rFonts w:hint="eastAsia"/>
          <w:color w:val="auto"/>
          <w:sz w:val="30"/>
          <w:szCs w:val="30"/>
          <w:highlight w:val="none"/>
          <w:lang w:val="en-US" w:eastAsia="zh-CN"/>
        </w:rPr>
        <w:t>常住</w:t>
      </w:r>
      <w:r>
        <w:rPr>
          <w:color w:val="auto"/>
          <w:sz w:val="30"/>
          <w:szCs w:val="30"/>
          <w:highlight w:val="none"/>
        </w:rPr>
        <w:t>人口</w:t>
      </w:r>
      <w:r>
        <w:rPr>
          <w:rFonts w:hint="eastAsia"/>
          <w:color w:val="auto"/>
          <w:sz w:val="30"/>
          <w:szCs w:val="30"/>
          <w:highlight w:val="none"/>
          <w:lang w:val="en-US" w:eastAsia="zh-CN"/>
        </w:rPr>
        <w:t>2</w:t>
      </w:r>
      <w:r>
        <w:rPr>
          <w:color w:val="auto"/>
          <w:sz w:val="30"/>
          <w:szCs w:val="30"/>
          <w:highlight w:val="none"/>
        </w:rPr>
        <w:t>万人</w:t>
      </w:r>
      <w:r>
        <w:rPr>
          <w:rFonts w:hint="eastAsia"/>
          <w:color w:val="auto"/>
          <w:sz w:val="30"/>
          <w:szCs w:val="30"/>
          <w:highlight w:val="none"/>
          <w:lang w:eastAsia="zh-CN"/>
        </w:rPr>
        <w:t>。</w:t>
      </w:r>
      <w:r>
        <w:rPr>
          <w:color w:val="auto"/>
          <w:sz w:val="30"/>
          <w:szCs w:val="30"/>
          <w:highlight w:val="none"/>
        </w:rPr>
        <w:t>规划泸县</w:t>
      </w:r>
      <w:r>
        <w:rPr>
          <w:rFonts w:hint="eastAsia"/>
          <w:color w:val="auto"/>
          <w:sz w:val="30"/>
          <w:szCs w:val="30"/>
          <w:highlight w:val="none"/>
          <w:lang w:val="en-US" w:eastAsia="zh-CN"/>
        </w:rPr>
        <w:t>城区</w:t>
      </w:r>
      <w:r>
        <w:rPr>
          <w:color w:val="auto"/>
          <w:sz w:val="30"/>
          <w:szCs w:val="30"/>
          <w:highlight w:val="none"/>
        </w:rPr>
        <w:t>防洪标准为20年一遇</w:t>
      </w:r>
      <w:r>
        <w:rPr>
          <w:rFonts w:hint="eastAsia"/>
          <w:color w:val="auto"/>
          <w:sz w:val="30"/>
          <w:szCs w:val="30"/>
          <w:highlight w:val="none"/>
          <w:lang w:eastAsia="zh-CN"/>
        </w:rPr>
        <w:t>，</w:t>
      </w:r>
      <w:r>
        <w:rPr>
          <w:color w:val="auto"/>
          <w:sz w:val="30"/>
          <w:szCs w:val="30"/>
          <w:highlight w:val="none"/>
        </w:rPr>
        <w:t>排涝标准</w:t>
      </w:r>
      <w:r>
        <w:rPr>
          <w:rFonts w:hint="eastAsia"/>
          <w:color w:val="auto"/>
          <w:sz w:val="30"/>
          <w:szCs w:val="30"/>
          <w:highlight w:val="none"/>
          <w:lang w:val="en-US" w:eastAsia="zh-CN"/>
        </w:rPr>
        <w:t>为</w:t>
      </w:r>
      <w:r>
        <w:rPr>
          <w:color w:val="auto"/>
          <w:sz w:val="30"/>
          <w:szCs w:val="30"/>
          <w:highlight w:val="none"/>
        </w:rPr>
        <w:t>10年一遇。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sectPr>
          <w:headerReference r:id="rId13" w:type="first"/>
          <w:footerReference r:id="rId15" w:type="first"/>
          <w:headerReference r:id="rId11" w:type="default"/>
          <w:headerReference r:id="rId12" w:type="even"/>
          <w:footerReference r:id="rId14" w:type="even"/>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r>
        <w:rPr>
          <w:rFonts w:hint="eastAsia"/>
          <w:color w:val="auto"/>
          <w:sz w:val="30"/>
          <w:szCs w:val="30"/>
          <w:highlight w:val="none"/>
          <w:lang w:val="en-US" w:eastAsia="zh-CN"/>
        </w:rPr>
        <w:t>城区防洪</w:t>
      </w:r>
      <w:r>
        <w:rPr>
          <w:color w:val="auto"/>
          <w:sz w:val="30"/>
          <w:szCs w:val="30"/>
          <w:highlight w:val="none"/>
        </w:rPr>
        <w:t>以建设堤防</w:t>
      </w:r>
      <w:r>
        <w:rPr>
          <w:rFonts w:hint="eastAsia"/>
          <w:color w:val="auto"/>
          <w:sz w:val="30"/>
          <w:szCs w:val="30"/>
          <w:highlight w:val="none"/>
          <w:lang w:val="en-US" w:eastAsia="zh-CN"/>
        </w:rPr>
        <w:t>护岸工程为主</w:t>
      </w:r>
      <w:r>
        <w:rPr>
          <w:color w:val="auto"/>
          <w:sz w:val="30"/>
          <w:szCs w:val="30"/>
          <w:highlight w:val="none"/>
        </w:rPr>
        <w:t>，</w:t>
      </w:r>
      <w:r>
        <w:rPr>
          <w:rFonts w:hint="eastAsia"/>
          <w:color w:val="auto"/>
          <w:sz w:val="30"/>
          <w:szCs w:val="30"/>
          <w:highlight w:val="none"/>
          <w:lang w:val="en-US" w:eastAsia="zh-CN"/>
        </w:rPr>
        <w:t>辅以</w:t>
      </w:r>
      <w:r>
        <w:rPr>
          <w:color w:val="auto"/>
          <w:sz w:val="30"/>
          <w:szCs w:val="30"/>
          <w:highlight w:val="none"/>
        </w:rPr>
        <w:t>河道清障疏浚</w:t>
      </w:r>
      <w:r>
        <w:rPr>
          <w:rFonts w:hint="eastAsia"/>
          <w:color w:val="auto"/>
          <w:sz w:val="30"/>
          <w:szCs w:val="30"/>
          <w:highlight w:val="none"/>
          <w:lang w:eastAsia="zh-CN"/>
        </w:rPr>
        <w:t>、</w:t>
      </w:r>
      <w:r>
        <w:rPr>
          <w:color w:val="auto"/>
          <w:sz w:val="30"/>
          <w:szCs w:val="30"/>
          <w:highlight w:val="none"/>
        </w:rPr>
        <w:t>城市主要排水管网建设，</w:t>
      </w:r>
      <w:r>
        <w:rPr>
          <w:rFonts w:hint="eastAsia"/>
          <w:color w:val="auto"/>
          <w:sz w:val="30"/>
          <w:szCs w:val="30"/>
          <w:highlight w:val="none"/>
          <w:lang w:val="en-US" w:eastAsia="zh-CN"/>
        </w:rPr>
        <w:t>采取工程措施与非工程措施相结合，</w:t>
      </w:r>
      <w:r>
        <w:rPr>
          <w:color w:val="auto"/>
          <w:sz w:val="30"/>
          <w:szCs w:val="30"/>
          <w:highlight w:val="none"/>
        </w:rPr>
        <w:t>全面提高城市综合防洪能力。</w:t>
      </w:r>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70" w:name="_Toc124757342"/>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第五章  山洪灾害防治规划</w:t>
      </w:r>
      <w:bookmarkEnd w:id="70"/>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71" w:name="_Toc124757343"/>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基本情况及</w:t>
      </w:r>
      <w:bookmarkStart w:id="72" w:name="_Hlk124614251"/>
      <w:r>
        <w:rPr>
          <w:b w:val="0"/>
          <w:bCs w:val="0"/>
          <w:color w:val="auto"/>
          <w:highlight w:val="none"/>
        </w:rPr>
        <w:t>防治区划</w:t>
      </w:r>
      <w:bookmarkEnd w:id="71"/>
      <w:bookmarkEnd w:id="72"/>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一、基本情况</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沱江流域山洪灾害易发区主要</w:t>
      </w:r>
      <w:r>
        <w:rPr>
          <w:rFonts w:hint="eastAsia"/>
          <w:color w:val="auto"/>
          <w:spacing w:val="4"/>
          <w:sz w:val="30"/>
          <w:szCs w:val="30"/>
          <w:highlight w:val="none"/>
          <w:lang w:val="en-US" w:eastAsia="zh-CN"/>
        </w:rPr>
        <w:t>分布</w:t>
      </w:r>
      <w:r>
        <w:rPr>
          <w:color w:val="auto"/>
          <w:spacing w:val="4"/>
          <w:sz w:val="30"/>
          <w:szCs w:val="30"/>
          <w:highlight w:val="none"/>
        </w:rPr>
        <w:t>在上游龙门山区德阳段和沱江下游泸州段，其余</w:t>
      </w:r>
      <w:r>
        <w:rPr>
          <w:rFonts w:hint="eastAsia"/>
          <w:color w:val="auto"/>
          <w:spacing w:val="4"/>
          <w:sz w:val="30"/>
          <w:szCs w:val="30"/>
          <w:highlight w:val="none"/>
          <w:lang w:val="en-US" w:eastAsia="zh-CN"/>
        </w:rPr>
        <w:t>区域为</w:t>
      </w:r>
      <w:r>
        <w:rPr>
          <w:color w:val="auto"/>
          <w:spacing w:val="4"/>
          <w:sz w:val="30"/>
          <w:szCs w:val="30"/>
          <w:highlight w:val="none"/>
        </w:rPr>
        <w:t>山洪灾害低易发区。龙门山区主要集中在湔江、石亭江及绵远河等河流上游山区河段，以洪涝灾害和山洪诱发的滑坡、泥石流为主；泸州段以暴雨洪水为主，流域内山洪灾害主要集中在泸县。根据四川省山洪灾害调查，规划区山洪灾害防治区面积2528km</w:t>
      </w:r>
      <w:r>
        <w:rPr>
          <w:color w:val="auto"/>
          <w:spacing w:val="4"/>
          <w:sz w:val="30"/>
          <w:szCs w:val="30"/>
          <w:highlight w:val="none"/>
          <w:vertAlign w:val="superscript"/>
        </w:rPr>
        <w:t>2</w:t>
      </w:r>
      <w:r>
        <w:rPr>
          <w:color w:val="auto"/>
          <w:spacing w:val="4"/>
          <w:sz w:val="30"/>
          <w:szCs w:val="30"/>
          <w:highlight w:val="none"/>
        </w:rPr>
        <w:t>，危险区数量6122个。</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2010～2020年，我省先后在沱江流域实施了2010～2012年山洪灾害防治县级非工程措施</w:t>
      </w:r>
      <w:r>
        <w:rPr>
          <w:rFonts w:hint="eastAsia"/>
          <w:color w:val="auto"/>
          <w:spacing w:val="4"/>
          <w:sz w:val="30"/>
          <w:szCs w:val="30"/>
          <w:highlight w:val="none"/>
          <w:lang w:val="en-US" w:eastAsia="zh-CN"/>
        </w:rPr>
        <w:t>项目</w:t>
      </w:r>
      <w:r>
        <w:rPr>
          <w:color w:val="auto"/>
          <w:spacing w:val="4"/>
          <w:sz w:val="30"/>
          <w:szCs w:val="30"/>
          <w:highlight w:val="none"/>
        </w:rPr>
        <w:t>、2013～2015</w:t>
      </w:r>
      <w:r>
        <w:rPr>
          <w:rFonts w:hint="eastAsia"/>
          <w:color w:val="auto"/>
          <w:spacing w:val="4"/>
          <w:sz w:val="30"/>
          <w:szCs w:val="30"/>
          <w:highlight w:val="none"/>
          <w:lang w:val="en-US" w:eastAsia="zh-CN"/>
        </w:rPr>
        <w:t>年和</w:t>
      </w:r>
      <w:r>
        <w:rPr>
          <w:color w:val="auto"/>
          <w:spacing w:val="4"/>
          <w:sz w:val="30"/>
          <w:szCs w:val="30"/>
          <w:highlight w:val="none"/>
        </w:rPr>
        <w:t>2016～2020年山洪灾害防治项目。经过多年</w:t>
      </w:r>
      <w:r>
        <w:rPr>
          <w:rFonts w:hint="eastAsia"/>
          <w:color w:val="auto"/>
          <w:spacing w:val="4"/>
          <w:sz w:val="30"/>
          <w:szCs w:val="30"/>
          <w:highlight w:val="none"/>
          <w:lang w:val="en-US" w:eastAsia="zh-CN"/>
        </w:rPr>
        <w:t>山洪灾害防治</w:t>
      </w:r>
      <w:r>
        <w:rPr>
          <w:color w:val="auto"/>
          <w:spacing w:val="4"/>
          <w:sz w:val="30"/>
          <w:szCs w:val="30"/>
          <w:highlight w:val="none"/>
        </w:rPr>
        <w:t>，取得了较大的成效</w:t>
      </w:r>
      <w:r>
        <w:rPr>
          <w:rFonts w:hint="eastAsia"/>
          <w:color w:val="auto"/>
          <w:spacing w:val="4"/>
          <w:sz w:val="30"/>
          <w:szCs w:val="30"/>
          <w:highlight w:val="none"/>
          <w:lang w:eastAsia="zh-CN"/>
        </w:rPr>
        <w:t>。</w:t>
      </w:r>
      <w:r>
        <w:rPr>
          <w:color w:val="auto"/>
          <w:spacing w:val="4"/>
          <w:sz w:val="30"/>
          <w:szCs w:val="30"/>
          <w:highlight w:val="none"/>
        </w:rPr>
        <w:t>由于山洪灾害点多面广，特别是山区经济</w:t>
      </w:r>
      <w:r>
        <w:rPr>
          <w:rFonts w:hint="eastAsia"/>
          <w:color w:val="auto"/>
          <w:spacing w:val="4"/>
          <w:sz w:val="30"/>
          <w:szCs w:val="30"/>
          <w:highlight w:val="none"/>
          <w:lang w:val="en-US" w:eastAsia="zh-CN"/>
        </w:rPr>
        <w:t>社会</w:t>
      </w:r>
      <w:r>
        <w:rPr>
          <w:color w:val="auto"/>
          <w:spacing w:val="4"/>
          <w:sz w:val="30"/>
          <w:szCs w:val="30"/>
          <w:highlight w:val="none"/>
        </w:rPr>
        <w:t>发展相对滞后，山洪灾害防治</w:t>
      </w:r>
      <w:r>
        <w:rPr>
          <w:rFonts w:hint="eastAsia"/>
          <w:color w:val="auto"/>
          <w:spacing w:val="4"/>
          <w:sz w:val="30"/>
          <w:szCs w:val="30"/>
          <w:highlight w:val="none"/>
          <w:lang w:val="en-US" w:eastAsia="zh-CN"/>
        </w:rPr>
        <w:t>水平不高</w:t>
      </w:r>
      <w:r>
        <w:rPr>
          <w:color w:val="auto"/>
          <w:spacing w:val="4"/>
          <w:sz w:val="30"/>
          <w:szCs w:val="30"/>
          <w:highlight w:val="none"/>
        </w:rPr>
        <w:t>，山洪灾害防治任务依然较重。</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Fonts w:hint="eastAsia" w:ascii="黑体" w:hAnsi="黑体" w:eastAsia="黑体" w:cs="黑体"/>
          <w:b w:val="0"/>
          <w:bCs/>
          <w:color w:val="auto"/>
          <w:highlight w:val="none"/>
        </w:rPr>
        <w:t>防治区划</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根据《四川省山洪灾害防治规划》，沱江流域山洪灾害防治区共涉及108条山洪沟</w:t>
      </w:r>
      <w:r>
        <w:rPr>
          <w:rFonts w:hint="eastAsia"/>
          <w:color w:val="auto"/>
          <w:sz w:val="30"/>
          <w:szCs w:val="30"/>
          <w:highlight w:val="none"/>
          <w:lang w:eastAsia="zh-CN"/>
        </w:rPr>
        <w:t>。</w:t>
      </w:r>
      <w:r>
        <w:rPr>
          <w:color w:val="auto"/>
          <w:sz w:val="30"/>
          <w:szCs w:val="30"/>
          <w:highlight w:val="none"/>
        </w:rPr>
        <w:t>由于</w:t>
      </w:r>
      <w:r>
        <w:rPr>
          <w:rFonts w:hint="eastAsia"/>
          <w:color w:val="auto"/>
          <w:sz w:val="30"/>
          <w:szCs w:val="30"/>
          <w:highlight w:val="none"/>
          <w:lang w:eastAsia="zh-CN"/>
        </w:rPr>
        <w:t>“</w:t>
      </w:r>
      <w:r>
        <w:rPr>
          <w:rFonts w:hint="eastAsia"/>
          <w:color w:val="auto"/>
          <w:sz w:val="30"/>
          <w:szCs w:val="30"/>
          <w:highlight w:val="none"/>
          <w:lang w:val="en-US" w:eastAsia="zh-CN"/>
        </w:rPr>
        <w:t>5</w:t>
      </w:r>
      <w:r>
        <w:rPr>
          <w:rFonts w:hint="default" w:ascii="Times New Roman" w:hAnsi="Times New Roman" w:eastAsia="仿宋_GB2312" w:cs="Times New Roman"/>
          <w:color w:val="auto"/>
          <w:spacing w:val="0"/>
          <w:sz w:val="30"/>
          <w:szCs w:val="30"/>
          <w:highlight w:val="none"/>
          <w:lang w:val="en-US" w:eastAsia="zh-CN"/>
        </w:rPr>
        <w:t>·</w:t>
      </w:r>
      <w:r>
        <w:rPr>
          <w:rFonts w:hint="eastAsia"/>
          <w:color w:val="auto"/>
          <w:sz w:val="30"/>
          <w:szCs w:val="30"/>
          <w:highlight w:val="none"/>
          <w:lang w:val="en-US" w:eastAsia="zh-CN"/>
        </w:rPr>
        <w:t>12</w:t>
      </w:r>
      <w:r>
        <w:rPr>
          <w:rFonts w:hint="eastAsia"/>
          <w:color w:val="auto"/>
          <w:sz w:val="30"/>
          <w:szCs w:val="30"/>
          <w:highlight w:val="none"/>
          <w:lang w:eastAsia="zh-CN"/>
        </w:rPr>
        <w:t>”</w:t>
      </w:r>
      <w:r>
        <w:rPr>
          <w:color w:val="auto"/>
          <w:sz w:val="30"/>
          <w:szCs w:val="30"/>
          <w:highlight w:val="none"/>
        </w:rPr>
        <w:t>汶川地震</w:t>
      </w:r>
      <w:r>
        <w:rPr>
          <w:rFonts w:hint="eastAsia"/>
          <w:color w:val="auto"/>
          <w:sz w:val="30"/>
          <w:szCs w:val="30"/>
          <w:highlight w:val="none"/>
          <w:lang w:val="en-US" w:eastAsia="zh-CN"/>
        </w:rPr>
        <w:t>影响</w:t>
      </w:r>
      <w:r>
        <w:rPr>
          <w:color w:val="auto"/>
          <w:sz w:val="30"/>
          <w:szCs w:val="30"/>
          <w:highlight w:val="none"/>
        </w:rPr>
        <w:t>，彭州市、绵竹市、什邡市上游</w:t>
      </w:r>
      <w:r>
        <w:rPr>
          <w:rFonts w:hint="eastAsia"/>
          <w:color w:val="auto"/>
          <w:sz w:val="30"/>
          <w:szCs w:val="30"/>
          <w:highlight w:val="none"/>
          <w:lang w:val="en-US" w:eastAsia="zh-CN"/>
        </w:rPr>
        <w:t>山体破碎、地灾频发</w:t>
      </w:r>
      <w:r>
        <w:rPr>
          <w:color w:val="auto"/>
          <w:sz w:val="30"/>
          <w:szCs w:val="30"/>
          <w:highlight w:val="none"/>
        </w:rPr>
        <w:t>，沱江流域山洪沟</w:t>
      </w:r>
      <w:r>
        <w:rPr>
          <w:rFonts w:hint="eastAsia"/>
          <w:color w:val="auto"/>
          <w:sz w:val="30"/>
          <w:szCs w:val="30"/>
          <w:highlight w:val="none"/>
          <w:lang w:val="en-US" w:eastAsia="zh-CN"/>
        </w:rPr>
        <w:t>增至</w:t>
      </w:r>
      <w:r>
        <w:rPr>
          <w:color w:val="auto"/>
          <w:sz w:val="30"/>
          <w:szCs w:val="30"/>
          <w:highlight w:val="none"/>
        </w:rPr>
        <w:t>171条，其中一级重点防治区幅员面积1591km</w:t>
      </w:r>
      <w:r>
        <w:rPr>
          <w:color w:val="auto"/>
          <w:sz w:val="30"/>
          <w:szCs w:val="30"/>
          <w:highlight w:val="none"/>
          <w:vertAlign w:val="superscript"/>
        </w:rPr>
        <w:t>2</w:t>
      </w:r>
      <w:r>
        <w:rPr>
          <w:color w:val="auto"/>
          <w:sz w:val="30"/>
          <w:szCs w:val="30"/>
          <w:highlight w:val="none"/>
        </w:rPr>
        <w:t>，</w:t>
      </w:r>
      <w:r>
        <w:rPr>
          <w:rFonts w:hint="eastAsia"/>
          <w:color w:val="auto"/>
          <w:sz w:val="30"/>
          <w:szCs w:val="30"/>
          <w:highlight w:val="none"/>
          <w:lang w:val="en-US" w:eastAsia="zh-CN"/>
        </w:rPr>
        <w:t>山洪沟</w:t>
      </w:r>
      <w:r>
        <w:rPr>
          <w:color w:val="auto"/>
          <w:sz w:val="30"/>
          <w:szCs w:val="30"/>
          <w:highlight w:val="none"/>
        </w:rPr>
        <w:t>49条；二级重点防治区幅员面积2392km</w:t>
      </w:r>
      <w:r>
        <w:rPr>
          <w:color w:val="auto"/>
          <w:sz w:val="30"/>
          <w:szCs w:val="30"/>
          <w:highlight w:val="none"/>
          <w:vertAlign w:val="superscript"/>
        </w:rPr>
        <w:t>2</w:t>
      </w:r>
      <w:r>
        <w:rPr>
          <w:color w:val="auto"/>
          <w:sz w:val="30"/>
          <w:szCs w:val="30"/>
          <w:highlight w:val="none"/>
        </w:rPr>
        <w:t>，</w:t>
      </w:r>
      <w:r>
        <w:rPr>
          <w:rFonts w:hint="eastAsia"/>
          <w:color w:val="auto"/>
          <w:sz w:val="30"/>
          <w:szCs w:val="30"/>
          <w:highlight w:val="none"/>
          <w:lang w:val="en-US" w:eastAsia="zh-CN"/>
        </w:rPr>
        <w:t>山洪沟</w:t>
      </w:r>
      <w:r>
        <w:rPr>
          <w:color w:val="auto"/>
          <w:sz w:val="30"/>
          <w:szCs w:val="30"/>
          <w:highlight w:val="none"/>
        </w:rPr>
        <w:t>10条；一般防治区幅员面积13592km</w:t>
      </w:r>
      <w:r>
        <w:rPr>
          <w:color w:val="auto"/>
          <w:sz w:val="30"/>
          <w:szCs w:val="30"/>
          <w:highlight w:val="none"/>
          <w:vertAlign w:val="superscript"/>
        </w:rPr>
        <w:t>2</w:t>
      </w:r>
      <w:r>
        <w:rPr>
          <w:color w:val="auto"/>
          <w:sz w:val="30"/>
          <w:szCs w:val="30"/>
          <w:highlight w:val="none"/>
        </w:rPr>
        <w:t>，</w:t>
      </w:r>
      <w:r>
        <w:rPr>
          <w:rFonts w:hint="eastAsia"/>
          <w:color w:val="auto"/>
          <w:sz w:val="30"/>
          <w:szCs w:val="30"/>
          <w:highlight w:val="none"/>
          <w:lang w:val="en-US" w:eastAsia="zh-CN"/>
        </w:rPr>
        <w:t>山洪沟</w:t>
      </w:r>
      <w:r>
        <w:rPr>
          <w:color w:val="auto"/>
          <w:sz w:val="30"/>
          <w:szCs w:val="30"/>
          <w:highlight w:val="none"/>
        </w:rPr>
        <w:t>112条。</w:t>
      </w:r>
      <w:bookmarkStart w:id="73" w:name="_Toc124757344"/>
    </w:p>
    <w:p>
      <w:pPr>
        <w:pStyle w:val="156"/>
        <w:keepNext w:val="0"/>
        <w:keepLines w:val="0"/>
        <w:pageBreakBefore w:val="0"/>
        <w:widowControl w:val="0"/>
        <w:kinsoku/>
        <w:wordWrap/>
        <w:overflowPunct/>
        <w:topLinePunct w:val="0"/>
        <w:autoSpaceDE/>
        <w:autoSpaceDN/>
        <w:bidi w:val="0"/>
        <w:adjustRightInd/>
        <w:snapToGrid/>
        <w:spacing w:line="540" w:lineRule="exact"/>
        <w:ind w:left="0" w:leftChars="0" w:firstLine="0" w:firstLineChars="0"/>
        <w:jc w:val="center"/>
        <w:textAlignment w:val="auto"/>
        <w:rPr>
          <w:rFonts w:hint="eastAsia" w:ascii="楷体_GB2312" w:hAnsi="楷体_GB2312" w:eastAsia="楷体_GB2312" w:cs="楷体_GB2312"/>
          <w:color w:val="auto"/>
          <w:highlight w:val="none"/>
        </w:rPr>
      </w:pPr>
      <w:r>
        <w:rPr>
          <w:rFonts w:hint="eastAsia" w:ascii="楷体_GB2312" w:hAnsi="楷体_GB2312" w:eastAsia="楷体_GB2312" w:cs="楷体_GB2312"/>
          <w:color w:val="auto"/>
          <w:highlight w:val="none"/>
        </w:rPr>
        <w:t xml:space="preserve">第二节  </w:t>
      </w:r>
      <w:bookmarkStart w:id="74" w:name="_Hlk124614678"/>
      <w:r>
        <w:rPr>
          <w:rFonts w:hint="eastAsia" w:ascii="楷体_GB2312" w:hAnsi="楷体_GB2312" w:eastAsia="楷体_GB2312" w:cs="楷体_GB2312"/>
          <w:color w:val="auto"/>
          <w:highlight w:val="none"/>
        </w:rPr>
        <w:t>规划原则</w:t>
      </w:r>
      <w:bookmarkEnd w:id="74"/>
      <w:r>
        <w:rPr>
          <w:rFonts w:hint="eastAsia" w:ascii="楷体_GB2312" w:hAnsi="楷体_GB2312" w:eastAsia="楷体_GB2312" w:cs="楷体_GB2312"/>
          <w:color w:val="auto"/>
          <w:highlight w:val="none"/>
        </w:rPr>
        <w:t>及防治</w:t>
      </w:r>
      <w:bookmarkStart w:id="75" w:name="_Hlk124614689"/>
      <w:r>
        <w:rPr>
          <w:rFonts w:hint="eastAsia" w:ascii="楷体_GB2312" w:hAnsi="楷体_GB2312" w:eastAsia="楷体_GB2312" w:cs="楷体_GB2312"/>
          <w:color w:val="auto"/>
          <w:highlight w:val="none"/>
        </w:rPr>
        <w:t>目标</w:t>
      </w:r>
      <w:bookmarkEnd w:id="73"/>
      <w:bookmarkEnd w:id="75"/>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一、规划原则</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山洪灾害防治坚持</w:t>
      </w:r>
      <w:r>
        <w:rPr>
          <w:rFonts w:hint="eastAsia"/>
          <w:color w:val="auto"/>
          <w:spacing w:val="4"/>
          <w:sz w:val="30"/>
          <w:szCs w:val="30"/>
          <w:highlight w:val="none"/>
          <w:lang w:eastAsia="zh-CN"/>
        </w:rPr>
        <w:t>“</w:t>
      </w:r>
      <w:r>
        <w:rPr>
          <w:color w:val="auto"/>
          <w:spacing w:val="4"/>
          <w:sz w:val="30"/>
          <w:szCs w:val="30"/>
          <w:highlight w:val="none"/>
        </w:rPr>
        <w:t>以防为主</w:t>
      </w:r>
      <w:r>
        <w:rPr>
          <w:rFonts w:hint="eastAsia"/>
          <w:color w:val="auto"/>
          <w:spacing w:val="4"/>
          <w:sz w:val="30"/>
          <w:szCs w:val="30"/>
          <w:highlight w:val="none"/>
          <w:lang w:eastAsia="zh-CN"/>
        </w:rPr>
        <w:t>、</w:t>
      </w:r>
      <w:r>
        <w:rPr>
          <w:color w:val="auto"/>
          <w:spacing w:val="4"/>
          <w:sz w:val="30"/>
          <w:szCs w:val="30"/>
          <w:highlight w:val="none"/>
        </w:rPr>
        <w:t>防治结合</w:t>
      </w:r>
      <w:r>
        <w:rPr>
          <w:rFonts w:hint="eastAsia"/>
          <w:color w:val="auto"/>
          <w:spacing w:val="4"/>
          <w:sz w:val="30"/>
          <w:szCs w:val="30"/>
          <w:highlight w:val="none"/>
          <w:lang w:eastAsia="zh-CN"/>
        </w:rPr>
        <w:t>”“</w:t>
      </w:r>
      <w:r>
        <w:rPr>
          <w:color w:val="auto"/>
          <w:spacing w:val="4"/>
          <w:sz w:val="30"/>
          <w:szCs w:val="30"/>
          <w:highlight w:val="none"/>
        </w:rPr>
        <w:t>以非工程措施为主，非工程措施与工程措施相结合</w:t>
      </w:r>
      <w:r>
        <w:rPr>
          <w:rFonts w:hint="eastAsia"/>
          <w:color w:val="auto"/>
          <w:spacing w:val="4"/>
          <w:sz w:val="30"/>
          <w:szCs w:val="30"/>
          <w:highlight w:val="none"/>
          <w:lang w:eastAsia="zh-CN"/>
        </w:rPr>
        <w:t>”</w:t>
      </w:r>
      <w:r>
        <w:rPr>
          <w:color w:val="auto"/>
          <w:spacing w:val="4"/>
          <w:sz w:val="30"/>
          <w:szCs w:val="30"/>
          <w:highlight w:val="none"/>
        </w:rPr>
        <w:t>的原则</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按照</w:t>
      </w:r>
      <w:r>
        <w:rPr>
          <w:color w:val="auto"/>
          <w:spacing w:val="4"/>
          <w:sz w:val="30"/>
          <w:szCs w:val="30"/>
          <w:highlight w:val="none"/>
        </w:rPr>
        <w:t>山洪灾害防治规划，因地制宜，提出山洪灾害防治措施；根据各地山洪灾害风险程度，合理布局城镇和产业发展建设，通过宣传、教育</w:t>
      </w:r>
      <w:r>
        <w:rPr>
          <w:rFonts w:hint="eastAsia"/>
          <w:color w:val="auto"/>
          <w:spacing w:val="4"/>
          <w:sz w:val="30"/>
          <w:szCs w:val="30"/>
          <w:highlight w:val="none"/>
          <w:lang w:eastAsia="zh-CN"/>
        </w:rPr>
        <w:t>增强</w:t>
      </w:r>
      <w:r>
        <w:rPr>
          <w:color w:val="auto"/>
          <w:spacing w:val="4"/>
          <w:sz w:val="30"/>
          <w:szCs w:val="30"/>
          <w:highlight w:val="none"/>
        </w:rPr>
        <w:t>人们主动避灾意识，协调人与自然的关系，减缓致灾因素向不利方向演变的趋势；建立和完善防灾减灾</w:t>
      </w:r>
      <w:r>
        <w:rPr>
          <w:rFonts w:hint="eastAsia"/>
          <w:color w:val="auto"/>
          <w:spacing w:val="4"/>
          <w:sz w:val="30"/>
          <w:szCs w:val="30"/>
          <w:highlight w:val="none"/>
          <w:lang w:val="en-US" w:eastAsia="zh-CN"/>
        </w:rPr>
        <w:t>救灾</w:t>
      </w:r>
      <w:r>
        <w:rPr>
          <w:color w:val="auto"/>
          <w:spacing w:val="4"/>
          <w:sz w:val="30"/>
          <w:szCs w:val="30"/>
          <w:highlight w:val="none"/>
        </w:rPr>
        <w:t>体系，开展预防监测工作，提前预报，及时撤离危险地区，提高防御山洪灾害的能力，保障流域山丘区人口、资源、环境和经济协调发展。</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Fonts w:hint="eastAsia" w:ascii="黑体" w:hAnsi="黑体" w:eastAsia="黑体" w:cs="黑体"/>
          <w:b w:val="0"/>
          <w:bCs/>
          <w:color w:val="auto"/>
          <w:highlight w:val="none"/>
        </w:rPr>
        <w:t>防治目标</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rFonts w:hint="eastAsia"/>
          <w:color w:val="auto"/>
          <w:sz w:val="30"/>
          <w:szCs w:val="30"/>
          <w:highlight w:val="none"/>
          <w:lang w:val="en-US" w:eastAsia="zh-CN"/>
        </w:rPr>
        <w:t>近期</w:t>
      </w:r>
      <w:r>
        <w:rPr>
          <w:color w:val="auto"/>
          <w:sz w:val="30"/>
          <w:szCs w:val="30"/>
          <w:highlight w:val="none"/>
        </w:rPr>
        <w:t>目标：全面完成一级重点防治区和二级重点防治区内山洪沟治理，兼顾一般防治区，基本</w:t>
      </w:r>
      <w:r>
        <w:rPr>
          <w:rFonts w:hint="eastAsia"/>
          <w:color w:val="auto"/>
          <w:sz w:val="30"/>
          <w:szCs w:val="30"/>
          <w:highlight w:val="none"/>
          <w:lang w:val="en-US" w:eastAsia="zh-CN"/>
        </w:rPr>
        <w:t>建成</w:t>
      </w:r>
      <w:r>
        <w:rPr>
          <w:color w:val="auto"/>
          <w:sz w:val="30"/>
          <w:szCs w:val="30"/>
          <w:highlight w:val="none"/>
        </w:rPr>
        <w:t>以监测、通信、预警和群</w:t>
      </w:r>
      <w:r>
        <w:rPr>
          <w:rFonts w:hint="eastAsia"/>
          <w:color w:val="auto"/>
          <w:sz w:val="30"/>
          <w:szCs w:val="30"/>
          <w:highlight w:val="none"/>
          <w:lang w:eastAsia="zh-CN"/>
        </w:rPr>
        <w:t>测</w:t>
      </w:r>
      <w:r>
        <w:rPr>
          <w:color w:val="auto"/>
          <w:sz w:val="30"/>
          <w:szCs w:val="30"/>
          <w:highlight w:val="none"/>
        </w:rPr>
        <w:t>群防体系等非工程措施为主的防洪减灾体系。</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r>
        <w:rPr>
          <w:color w:val="auto"/>
          <w:sz w:val="30"/>
          <w:szCs w:val="30"/>
          <w:highlight w:val="none"/>
        </w:rPr>
        <w:t>远景目标：完成一般防治区山洪沟整治</w:t>
      </w:r>
      <w:r>
        <w:rPr>
          <w:rFonts w:hint="eastAsia"/>
          <w:color w:val="auto"/>
          <w:sz w:val="30"/>
          <w:szCs w:val="30"/>
          <w:highlight w:val="none"/>
          <w:lang w:eastAsia="zh-CN"/>
        </w:rPr>
        <w:t>，</w:t>
      </w:r>
      <w:r>
        <w:rPr>
          <w:color w:val="auto"/>
          <w:sz w:val="30"/>
          <w:szCs w:val="30"/>
          <w:highlight w:val="none"/>
        </w:rPr>
        <w:t>建立以非工程措施为主的防洪减灾体系，山洪灾害防御能力与山丘区经济社会高质量发展要求相适应。</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76" w:name="_Toc124757345"/>
      <w:r>
        <w:rPr>
          <w:b w:val="0"/>
          <w:bCs w:val="0"/>
          <w:color w:val="auto"/>
          <w:highlight w:val="none"/>
        </w:rPr>
        <w:t>第三节  防治措施</w:t>
      </w:r>
      <w:bookmarkEnd w:id="76"/>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一、非</w:t>
      </w:r>
      <w:bookmarkStart w:id="77" w:name="_Hlk124615340"/>
      <w:r>
        <w:rPr>
          <w:rStyle w:val="550"/>
          <w:rFonts w:hint="eastAsia" w:ascii="黑体" w:hAnsi="黑体" w:eastAsia="黑体" w:cs="黑体"/>
          <w:b w:val="0"/>
          <w:bCs w:val="0"/>
          <w:color w:val="auto"/>
          <w:highlight w:val="none"/>
        </w:rPr>
        <w:t>工程措施</w:t>
      </w:r>
      <w:bookmarkEnd w:id="77"/>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非工程措施包括山洪灾害</w:t>
      </w:r>
      <w:r>
        <w:rPr>
          <w:rFonts w:hint="eastAsia"/>
          <w:color w:val="auto"/>
          <w:spacing w:val="4"/>
          <w:sz w:val="30"/>
          <w:szCs w:val="30"/>
          <w:highlight w:val="none"/>
          <w:lang w:eastAsia="zh-CN"/>
        </w:rPr>
        <w:t>调查评价</w:t>
      </w:r>
      <w:r>
        <w:rPr>
          <w:color w:val="auto"/>
          <w:spacing w:val="4"/>
          <w:sz w:val="30"/>
          <w:szCs w:val="30"/>
          <w:highlight w:val="none"/>
        </w:rPr>
        <w:t>、监测预警系统和群</w:t>
      </w:r>
      <w:r>
        <w:rPr>
          <w:rFonts w:hint="eastAsia"/>
          <w:color w:val="auto"/>
          <w:spacing w:val="4"/>
          <w:sz w:val="30"/>
          <w:szCs w:val="30"/>
          <w:highlight w:val="none"/>
          <w:lang w:eastAsia="zh-CN"/>
        </w:rPr>
        <w:t>测</w:t>
      </w:r>
      <w:r>
        <w:rPr>
          <w:color w:val="auto"/>
          <w:spacing w:val="4"/>
          <w:sz w:val="30"/>
          <w:szCs w:val="30"/>
          <w:highlight w:val="none"/>
        </w:rPr>
        <w:t>群防体系建设。由当地政府或防汛指挥部组织，对山洪灾害影响区进行普查，确定威胁范围和程度。利用通信、计算机网络、数据库应用等技术手段，建设县级防汛指挥部门的山洪灾害防治监测预警平台，以收集山洪灾害防治区水雨情数据信息</w:t>
      </w:r>
      <w:r>
        <w:rPr>
          <w:rFonts w:hint="eastAsia"/>
          <w:color w:val="auto"/>
          <w:spacing w:val="4"/>
          <w:sz w:val="30"/>
          <w:szCs w:val="30"/>
          <w:highlight w:val="none"/>
          <w:lang w:eastAsia="zh-CN"/>
        </w:rPr>
        <w:t>以及其他</w:t>
      </w:r>
      <w:r>
        <w:rPr>
          <w:color w:val="auto"/>
          <w:spacing w:val="4"/>
          <w:sz w:val="30"/>
          <w:szCs w:val="30"/>
          <w:highlight w:val="none"/>
        </w:rPr>
        <w:t>部门的相关信息，存入数据库，并提供信息查询等服务，为山洪灾害威胁区的城镇、乡村、居民点、学校、工矿企业提供山洪灾害预防信息保障。建立县、乡（镇）、村、组、户五级山洪灾害防御</w:t>
      </w:r>
      <w:r>
        <w:rPr>
          <w:rFonts w:hint="eastAsia"/>
          <w:color w:val="auto"/>
          <w:spacing w:val="4"/>
          <w:sz w:val="30"/>
          <w:szCs w:val="30"/>
          <w:highlight w:val="none"/>
          <w:lang w:eastAsia="zh-CN"/>
        </w:rPr>
        <w:t>责任</w:t>
      </w:r>
      <w:r>
        <w:rPr>
          <w:color w:val="auto"/>
          <w:spacing w:val="4"/>
          <w:sz w:val="30"/>
          <w:szCs w:val="30"/>
          <w:highlight w:val="none"/>
        </w:rPr>
        <w:t>体系，完善群</w:t>
      </w:r>
      <w:r>
        <w:rPr>
          <w:rFonts w:hint="eastAsia"/>
          <w:color w:val="auto"/>
          <w:spacing w:val="4"/>
          <w:sz w:val="30"/>
          <w:szCs w:val="30"/>
          <w:highlight w:val="none"/>
          <w:lang w:eastAsia="zh-CN"/>
        </w:rPr>
        <w:t>测</w:t>
      </w:r>
      <w:r>
        <w:rPr>
          <w:color w:val="auto"/>
          <w:spacing w:val="4"/>
          <w:sz w:val="30"/>
          <w:szCs w:val="30"/>
          <w:highlight w:val="none"/>
        </w:rPr>
        <w:t>群防组织指挥机构。</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Fonts w:hint="eastAsia" w:ascii="黑体" w:hAnsi="黑体" w:eastAsia="黑体" w:cs="黑体"/>
          <w:b w:val="0"/>
          <w:bCs/>
          <w:color w:val="auto"/>
          <w:highlight w:val="none"/>
        </w:rPr>
        <w:t>工程措施</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Fonts w:hint="default" w:eastAsia="仿宋_GB2312"/>
          <w:color w:val="auto"/>
          <w:spacing w:val="4"/>
          <w:sz w:val="30"/>
          <w:szCs w:val="30"/>
          <w:highlight w:val="none"/>
          <w:lang w:val="en-US" w:eastAsia="zh-CN"/>
        </w:rPr>
      </w:pPr>
      <w:r>
        <w:rPr>
          <w:color w:val="auto"/>
          <w:spacing w:val="4"/>
          <w:sz w:val="30"/>
          <w:szCs w:val="30"/>
          <w:highlight w:val="none"/>
        </w:rPr>
        <w:t>根据沱江流域山洪灾害分布特点，因地制宜采取</w:t>
      </w:r>
      <w:r>
        <w:rPr>
          <w:rFonts w:hint="eastAsia"/>
          <w:color w:val="auto"/>
          <w:spacing w:val="4"/>
          <w:sz w:val="30"/>
          <w:szCs w:val="30"/>
          <w:highlight w:val="none"/>
          <w:lang w:eastAsia="zh-CN"/>
        </w:rPr>
        <w:t>护岸工程、堤防工程和河道清淤疏浚等措施</w:t>
      </w:r>
      <w:r>
        <w:rPr>
          <w:color w:val="auto"/>
          <w:spacing w:val="4"/>
          <w:sz w:val="30"/>
          <w:szCs w:val="30"/>
          <w:highlight w:val="none"/>
        </w:rPr>
        <w:t>进行综合治理。规划治理山洪沟154条，治理长度867km。</w:t>
      </w:r>
      <w:r>
        <w:rPr>
          <w:rFonts w:hint="eastAsia"/>
          <w:color w:val="auto"/>
          <w:spacing w:val="4"/>
          <w:sz w:val="30"/>
          <w:szCs w:val="30"/>
          <w:highlight w:val="none"/>
          <w:lang w:val="en-US" w:eastAsia="zh-CN"/>
        </w:rPr>
        <w:t>沱江流域山洪沟整治规划详见表5.3.1。</w:t>
      </w: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表5.3.1                  沱江流域山洪沟整治规划表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958"/>
        <w:gridCol w:w="642"/>
        <w:gridCol w:w="975"/>
        <w:gridCol w:w="853"/>
        <w:gridCol w:w="813"/>
        <w:gridCol w:w="730"/>
        <w:gridCol w:w="1058"/>
        <w:gridCol w:w="782"/>
        <w:gridCol w:w="782"/>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防治</w:t>
            </w:r>
          </w:p>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分区</w:t>
            </w:r>
          </w:p>
        </w:tc>
        <w:tc>
          <w:tcPr>
            <w:tcW w:w="958"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地级市</w:t>
            </w:r>
          </w:p>
        </w:tc>
        <w:tc>
          <w:tcPr>
            <w:tcW w:w="1617" w:type="dxa"/>
            <w:gridSpan w:val="2"/>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治理山洪沟</w:t>
            </w:r>
          </w:p>
        </w:tc>
        <w:tc>
          <w:tcPr>
            <w:tcW w:w="853"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拦沙坝</w:t>
            </w:r>
          </w:p>
        </w:tc>
        <w:tc>
          <w:tcPr>
            <w:tcW w:w="813"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滚水坝</w:t>
            </w:r>
          </w:p>
        </w:tc>
        <w:tc>
          <w:tcPr>
            <w:tcW w:w="730"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丁坝</w:t>
            </w:r>
          </w:p>
        </w:tc>
        <w:tc>
          <w:tcPr>
            <w:tcW w:w="1058"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堤防或</w:t>
            </w:r>
          </w:p>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排洪渠</w:t>
            </w:r>
          </w:p>
        </w:tc>
        <w:tc>
          <w:tcPr>
            <w:tcW w:w="782"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疏浚</w:t>
            </w:r>
          </w:p>
        </w:tc>
        <w:tc>
          <w:tcPr>
            <w:tcW w:w="782"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护岸</w:t>
            </w:r>
          </w:p>
        </w:tc>
        <w:tc>
          <w:tcPr>
            <w:tcW w:w="903"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90" w:type="dxa"/>
            <w:vMerge w:val="continue"/>
            <w:noWrap/>
            <w:vAlign w:val="center"/>
          </w:tcPr>
          <w:p>
            <w:pPr>
              <w:widowControl/>
              <w:jc w:val="left"/>
              <w:rPr>
                <w:rFonts w:eastAsia="仿宋_GB2312"/>
                <w:color w:val="auto"/>
                <w:kern w:val="0"/>
                <w:sz w:val="21"/>
                <w:szCs w:val="21"/>
                <w:highlight w:val="none"/>
              </w:rPr>
            </w:pPr>
          </w:p>
        </w:tc>
        <w:tc>
          <w:tcPr>
            <w:tcW w:w="958" w:type="dxa"/>
            <w:vMerge w:val="continue"/>
            <w:noWrap/>
            <w:vAlign w:val="center"/>
          </w:tcPr>
          <w:p>
            <w:pPr>
              <w:widowControl/>
              <w:jc w:val="left"/>
              <w:rPr>
                <w:rFonts w:eastAsia="仿宋_GB2312"/>
                <w:color w:val="auto"/>
                <w:kern w:val="0"/>
                <w:sz w:val="21"/>
                <w:szCs w:val="21"/>
                <w:highlight w:val="none"/>
              </w:rPr>
            </w:pPr>
          </w:p>
        </w:tc>
        <w:tc>
          <w:tcPr>
            <w:tcW w:w="642" w:type="dxa"/>
            <w:noWrap/>
            <w:vAlign w:val="center"/>
          </w:tcPr>
          <w:p>
            <w:pPr>
              <w:widowControl/>
              <w:jc w:val="center"/>
              <w:rPr>
                <w:rFonts w:hint="eastAsia" w:ascii="楷体" w:hAnsi="楷体" w:eastAsia="楷体" w:cs="楷体"/>
                <w:color w:val="auto"/>
                <w:kern w:val="0"/>
                <w:sz w:val="21"/>
                <w:szCs w:val="21"/>
                <w:highlight w:val="none"/>
                <w:lang w:eastAsia="zh-CN"/>
              </w:rPr>
            </w:pPr>
            <w:r>
              <w:rPr>
                <w:rFonts w:hint="eastAsia" w:ascii="楷体" w:hAnsi="楷体" w:eastAsia="楷体" w:cs="楷体"/>
                <w:color w:val="auto"/>
                <w:kern w:val="0"/>
                <w:sz w:val="21"/>
                <w:szCs w:val="21"/>
                <w:highlight w:val="none"/>
              </w:rPr>
              <w:t>数量</w:t>
            </w:r>
          </w:p>
        </w:tc>
        <w:tc>
          <w:tcPr>
            <w:tcW w:w="975"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长度</w:t>
            </w:r>
          </w:p>
        </w:tc>
        <w:tc>
          <w:tcPr>
            <w:tcW w:w="853" w:type="dxa"/>
            <w:vMerge w:val="continue"/>
            <w:noWrap/>
            <w:vAlign w:val="center"/>
          </w:tcPr>
          <w:p>
            <w:pPr>
              <w:widowControl/>
              <w:jc w:val="left"/>
              <w:rPr>
                <w:rFonts w:eastAsia="仿宋_GB2312"/>
                <w:color w:val="auto"/>
                <w:w w:val="90"/>
                <w:kern w:val="0"/>
                <w:sz w:val="21"/>
                <w:szCs w:val="21"/>
                <w:highlight w:val="none"/>
              </w:rPr>
            </w:pPr>
          </w:p>
        </w:tc>
        <w:tc>
          <w:tcPr>
            <w:tcW w:w="813" w:type="dxa"/>
            <w:vMerge w:val="continue"/>
            <w:noWrap/>
            <w:vAlign w:val="center"/>
          </w:tcPr>
          <w:p>
            <w:pPr>
              <w:widowControl/>
              <w:jc w:val="left"/>
              <w:rPr>
                <w:rFonts w:eastAsia="仿宋_GB2312"/>
                <w:color w:val="auto"/>
                <w:w w:val="90"/>
                <w:kern w:val="0"/>
                <w:sz w:val="21"/>
                <w:szCs w:val="21"/>
                <w:highlight w:val="none"/>
              </w:rPr>
            </w:pPr>
          </w:p>
        </w:tc>
        <w:tc>
          <w:tcPr>
            <w:tcW w:w="730" w:type="dxa"/>
            <w:vMerge w:val="continue"/>
            <w:noWrap/>
            <w:vAlign w:val="center"/>
          </w:tcPr>
          <w:p>
            <w:pPr>
              <w:widowControl/>
              <w:jc w:val="left"/>
              <w:rPr>
                <w:rFonts w:eastAsia="仿宋_GB2312"/>
                <w:color w:val="auto"/>
                <w:w w:val="90"/>
                <w:kern w:val="0"/>
                <w:sz w:val="21"/>
                <w:szCs w:val="21"/>
                <w:highlight w:val="none"/>
              </w:rPr>
            </w:pPr>
          </w:p>
        </w:tc>
        <w:tc>
          <w:tcPr>
            <w:tcW w:w="1058" w:type="dxa"/>
            <w:vMerge w:val="continue"/>
            <w:noWrap/>
            <w:vAlign w:val="center"/>
          </w:tcPr>
          <w:p>
            <w:pPr>
              <w:widowControl/>
              <w:jc w:val="left"/>
              <w:rPr>
                <w:rFonts w:eastAsia="仿宋_GB2312"/>
                <w:color w:val="auto"/>
                <w:w w:val="90"/>
                <w:kern w:val="0"/>
                <w:sz w:val="21"/>
                <w:szCs w:val="21"/>
                <w:highlight w:val="none"/>
              </w:rPr>
            </w:pPr>
          </w:p>
        </w:tc>
        <w:tc>
          <w:tcPr>
            <w:tcW w:w="782" w:type="dxa"/>
            <w:vMerge w:val="continue"/>
            <w:noWrap/>
            <w:vAlign w:val="center"/>
          </w:tcPr>
          <w:p>
            <w:pPr>
              <w:widowControl/>
              <w:jc w:val="left"/>
              <w:rPr>
                <w:rFonts w:eastAsia="仿宋_GB2312"/>
                <w:color w:val="auto"/>
                <w:w w:val="90"/>
                <w:kern w:val="0"/>
                <w:sz w:val="21"/>
                <w:szCs w:val="21"/>
                <w:highlight w:val="none"/>
              </w:rPr>
            </w:pPr>
          </w:p>
        </w:tc>
        <w:tc>
          <w:tcPr>
            <w:tcW w:w="782" w:type="dxa"/>
            <w:vMerge w:val="continue"/>
            <w:noWrap/>
            <w:vAlign w:val="center"/>
          </w:tcPr>
          <w:p>
            <w:pPr>
              <w:widowControl/>
              <w:jc w:val="left"/>
              <w:rPr>
                <w:rFonts w:eastAsia="仿宋_GB2312"/>
                <w:color w:val="auto"/>
                <w:w w:val="90"/>
                <w:kern w:val="0"/>
                <w:sz w:val="21"/>
                <w:szCs w:val="21"/>
                <w:highlight w:val="none"/>
              </w:rPr>
            </w:pPr>
          </w:p>
        </w:tc>
        <w:tc>
          <w:tcPr>
            <w:tcW w:w="903" w:type="dxa"/>
            <w:vMerge w:val="continue"/>
            <w:noWrap/>
            <w:vAlign w:val="center"/>
          </w:tcPr>
          <w:p>
            <w:pPr>
              <w:widowControl/>
              <w:jc w:val="center"/>
              <w:rPr>
                <w:rFonts w:eastAsia="仿宋_GB2312"/>
                <w:color w:val="auto"/>
                <w:w w:val="90"/>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90" w:type="dxa"/>
            <w:vMerge w:val="continue"/>
            <w:noWrap/>
            <w:vAlign w:val="center"/>
          </w:tcPr>
          <w:p>
            <w:pPr>
              <w:widowControl/>
              <w:jc w:val="left"/>
              <w:rPr>
                <w:rFonts w:eastAsia="仿宋_GB2312"/>
                <w:color w:val="auto"/>
                <w:kern w:val="0"/>
                <w:sz w:val="21"/>
                <w:szCs w:val="21"/>
                <w:highlight w:val="none"/>
              </w:rPr>
            </w:pPr>
          </w:p>
        </w:tc>
        <w:tc>
          <w:tcPr>
            <w:tcW w:w="958" w:type="dxa"/>
            <w:vMerge w:val="continue"/>
            <w:noWrap/>
            <w:vAlign w:val="center"/>
          </w:tcPr>
          <w:p>
            <w:pPr>
              <w:widowControl/>
              <w:jc w:val="left"/>
              <w:rPr>
                <w:rFonts w:eastAsia="仿宋_GB2312"/>
                <w:color w:val="auto"/>
                <w:kern w:val="0"/>
                <w:sz w:val="21"/>
                <w:szCs w:val="21"/>
                <w:highlight w:val="none"/>
              </w:rPr>
            </w:pPr>
          </w:p>
        </w:tc>
        <w:tc>
          <w:tcPr>
            <w:tcW w:w="642" w:type="dxa"/>
            <w:noWrap/>
            <w:vAlign w:val="center"/>
          </w:tcPr>
          <w:p>
            <w:pPr>
              <w:widowControl/>
              <w:jc w:val="center"/>
              <w:rPr>
                <w:rFonts w:hint="default" w:ascii="Times New Roman" w:hAnsi="Times New Roman" w:eastAsia="楷体" w:cs="Times New Roman"/>
                <w:color w:val="auto"/>
                <w:kern w:val="0"/>
                <w:sz w:val="21"/>
                <w:szCs w:val="21"/>
                <w:highlight w:val="none"/>
              </w:rPr>
            </w:pPr>
            <w:r>
              <w:rPr>
                <w:rFonts w:hint="default" w:ascii="Times New Roman" w:hAnsi="Times New Roman" w:eastAsia="楷体" w:cs="Times New Roman"/>
                <w:color w:val="auto"/>
                <w:kern w:val="0"/>
                <w:sz w:val="21"/>
                <w:szCs w:val="21"/>
                <w:highlight w:val="none"/>
              </w:rPr>
              <w:t>段</w:t>
            </w:r>
          </w:p>
        </w:tc>
        <w:tc>
          <w:tcPr>
            <w:tcW w:w="975" w:type="dxa"/>
            <w:noWrap/>
            <w:vAlign w:val="center"/>
          </w:tcPr>
          <w:p>
            <w:pPr>
              <w:widowControl/>
              <w:jc w:val="center"/>
              <w:rPr>
                <w:rFonts w:hint="default" w:ascii="Times New Roman" w:hAnsi="Times New Roman" w:eastAsia="楷体" w:cs="Times New Roman"/>
                <w:color w:val="auto"/>
                <w:kern w:val="0"/>
                <w:sz w:val="21"/>
                <w:szCs w:val="21"/>
                <w:highlight w:val="none"/>
              </w:rPr>
            </w:pPr>
            <w:r>
              <w:rPr>
                <w:rFonts w:hint="default" w:ascii="Times New Roman" w:hAnsi="Times New Roman" w:eastAsia="楷体" w:cs="Times New Roman"/>
                <w:color w:val="auto"/>
                <w:kern w:val="0"/>
                <w:sz w:val="21"/>
                <w:szCs w:val="21"/>
                <w:highlight w:val="none"/>
              </w:rPr>
              <w:t>km</w:t>
            </w:r>
          </w:p>
        </w:tc>
        <w:tc>
          <w:tcPr>
            <w:tcW w:w="853"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座</w:t>
            </w:r>
          </w:p>
        </w:tc>
        <w:tc>
          <w:tcPr>
            <w:tcW w:w="813"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座</w:t>
            </w:r>
          </w:p>
        </w:tc>
        <w:tc>
          <w:tcPr>
            <w:tcW w:w="730"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座</w:t>
            </w:r>
          </w:p>
        </w:tc>
        <w:tc>
          <w:tcPr>
            <w:tcW w:w="1058"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km</w:t>
            </w:r>
          </w:p>
        </w:tc>
        <w:tc>
          <w:tcPr>
            <w:tcW w:w="782"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km</w:t>
            </w:r>
          </w:p>
        </w:tc>
        <w:tc>
          <w:tcPr>
            <w:tcW w:w="782"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km</w:t>
            </w:r>
          </w:p>
        </w:tc>
        <w:tc>
          <w:tcPr>
            <w:tcW w:w="903" w:type="dxa"/>
            <w:noWrap/>
            <w:vAlign w:val="center"/>
          </w:tcPr>
          <w:p>
            <w:pPr>
              <w:widowControl/>
              <w:jc w:val="center"/>
              <w:rPr>
                <w:rFonts w:hint="default" w:ascii="Times New Roman" w:hAnsi="Times New Roman" w:eastAsia="仿宋_GB2312" w:cs="Times New Roman"/>
                <w:color w:val="auto"/>
                <w:w w:val="90"/>
                <w:kern w:val="0"/>
                <w:sz w:val="21"/>
                <w:szCs w:val="21"/>
                <w:highlight w:val="none"/>
              </w:rPr>
            </w:pPr>
            <w:r>
              <w:rPr>
                <w:rFonts w:hint="default" w:ascii="Times New Roman" w:hAnsi="Times New Roman" w:eastAsia="楷体" w:cs="Times New Roman"/>
                <w:color w:val="auto"/>
                <w:kern w:val="0"/>
                <w:sz w:val="21"/>
                <w:szCs w:val="21"/>
                <w:highlight w:val="none"/>
              </w:rPr>
              <w:t>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一级重点防治区</w:t>
            </w: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德阳市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79 </w:t>
            </w:r>
          </w:p>
        </w:tc>
        <w:tc>
          <w:tcPr>
            <w:tcW w:w="853" w:type="dxa"/>
            <w:noWrap/>
            <w:vAlign w:val="center"/>
          </w:tcPr>
          <w:p>
            <w:pPr>
              <w:jc w:val="center"/>
              <w:rPr>
                <w:rFonts w:eastAsia="仿宋_GB2312"/>
                <w:color w:val="auto"/>
                <w:kern w:val="0"/>
                <w:sz w:val="21"/>
                <w:szCs w:val="21"/>
                <w:highlight w:val="none"/>
              </w:rPr>
            </w:pP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jc w:val="center"/>
              <w:rPr>
                <w:rFonts w:eastAsia="仿宋_GB2312"/>
                <w:color w:val="auto"/>
                <w:kern w:val="0"/>
                <w:sz w:val="21"/>
                <w:szCs w:val="21"/>
                <w:highlight w:val="none"/>
              </w:rPr>
            </w:pP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79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jc w:val="center"/>
              <w:rPr>
                <w:rFonts w:eastAsia="仿宋_GB2312"/>
                <w:color w:val="auto"/>
                <w:kern w:val="0"/>
                <w:sz w:val="21"/>
                <w:szCs w:val="21"/>
                <w:highlight w:val="none"/>
              </w:rPr>
            </w:pP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成都市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975"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35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0.4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21</w:t>
            </w: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资阳市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81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3 </w:t>
            </w:r>
          </w:p>
        </w:tc>
        <w:tc>
          <w:tcPr>
            <w:tcW w:w="903" w:type="dxa"/>
            <w:noWrap/>
            <w:vAlign w:val="center"/>
          </w:tcPr>
          <w:p>
            <w:pPr>
              <w:keepNext w:val="0"/>
              <w:keepLines w:val="0"/>
              <w:widowControl/>
              <w:suppressLineNumbers w:val="0"/>
              <w:jc w:val="center"/>
              <w:textAlignment w:val="center"/>
              <w:rPr>
                <w:rFonts w:hint="eastAsia"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restart"/>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一般防治区</w:t>
            </w: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德阳市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975" w:type="dxa"/>
            <w:noWrap/>
            <w:vAlign w:val="center"/>
          </w:tcPr>
          <w:p>
            <w:pPr>
              <w:keepNext w:val="0"/>
              <w:keepLines w:val="0"/>
              <w:widowControl/>
              <w:suppressLineNumbers w:val="0"/>
              <w:jc w:val="center"/>
              <w:textAlignment w:val="center"/>
              <w:rPr>
                <w:rFonts w:hint="eastAsia" w:eastAsia="仿宋_GB2312"/>
                <w:color w:val="auto"/>
                <w:kern w:val="0"/>
                <w:sz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 xml:space="preserve">75 </w:t>
            </w:r>
          </w:p>
        </w:tc>
        <w:tc>
          <w:tcPr>
            <w:tcW w:w="853" w:type="dxa"/>
            <w:noWrap/>
            <w:vAlign w:val="center"/>
          </w:tcPr>
          <w:p>
            <w:pPr>
              <w:jc w:val="center"/>
              <w:rPr>
                <w:rFonts w:eastAsia="仿宋_GB2312"/>
                <w:color w:val="auto"/>
                <w:kern w:val="0"/>
                <w:sz w:val="21"/>
                <w:szCs w:val="21"/>
                <w:highlight w:val="none"/>
              </w:rPr>
            </w:pP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jc w:val="center"/>
              <w:rPr>
                <w:rFonts w:eastAsia="仿宋_GB2312"/>
                <w:color w:val="auto"/>
                <w:kern w:val="0"/>
                <w:sz w:val="21"/>
                <w:szCs w:val="21"/>
                <w:highlight w:val="none"/>
              </w:rPr>
            </w:pP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5.4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131</w:t>
            </w: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成都市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75"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135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135</w:t>
            </w: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058"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13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资阳市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50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81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58"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 </w:t>
            </w: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903" w:type="dxa"/>
            <w:noWrap/>
            <w:vAlign w:val="center"/>
          </w:tcPr>
          <w:p>
            <w:pPr>
              <w:keepNext w:val="0"/>
              <w:keepLines w:val="0"/>
              <w:widowControl/>
              <w:suppressLineNumbers w:val="0"/>
              <w:jc w:val="center"/>
              <w:textAlignment w:val="center"/>
              <w:rPr>
                <w:rFonts w:hint="eastAsia"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内江市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265 </w:t>
            </w:r>
          </w:p>
        </w:tc>
        <w:tc>
          <w:tcPr>
            <w:tcW w:w="853" w:type="dxa"/>
            <w:noWrap/>
            <w:vAlign w:val="center"/>
          </w:tcPr>
          <w:p>
            <w:pPr>
              <w:jc w:val="center"/>
              <w:rPr>
                <w:rFonts w:eastAsia="仿宋_GB2312"/>
                <w:color w:val="auto"/>
                <w:kern w:val="0"/>
                <w:sz w:val="21"/>
                <w:szCs w:val="21"/>
                <w:highlight w:val="none"/>
              </w:rPr>
            </w:pP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jc w:val="center"/>
              <w:rPr>
                <w:rFonts w:eastAsia="仿宋_GB2312"/>
                <w:color w:val="auto"/>
                <w:kern w:val="0"/>
                <w:sz w:val="21"/>
                <w:szCs w:val="21"/>
                <w:highlight w:val="none"/>
              </w:rPr>
            </w:pP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自贡市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19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81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0.6 </w:t>
            </w:r>
          </w:p>
        </w:tc>
        <w:tc>
          <w:tcPr>
            <w:tcW w:w="782" w:type="dxa"/>
            <w:noWrap/>
            <w:vAlign w:val="center"/>
          </w:tcPr>
          <w:p>
            <w:pPr>
              <w:jc w:val="center"/>
              <w:rPr>
                <w:rFonts w:eastAsia="仿宋_GB2312"/>
                <w:color w:val="auto"/>
                <w:kern w:val="0"/>
                <w:sz w:val="21"/>
                <w:szCs w:val="21"/>
                <w:highlight w:val="none"/>
              </w:rPr>
            </w:pPr>
          </w:p>
        </w:tc>
        <w:tc>
          <w:tcPr>
            <w:tcW w:w="782" w:type="dxa"/>
            <w:noWrap/>
            <w:vAlign w:val="center"/>
          </w:tcPr>
          <w:p>
            <w:pPr>
              <w:keepNext w:val="0"/>
              <w:keepLines w:val="0"/>
              <w:widowControl/>
              <w:suppressLineNumbers w:val="0"/>
              <w:jc w:val="center"/>
              <w:textAlignment w:val="center"/>
              <w:rPr>
                <w:rFonts w:hint="default" w:eastAsia="仿宋_GB2312"/>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4 </w:t>
            </w:r>
          </w:p>
        </w:tc>
        <w:tc>
          <w:tcPr>
            <w:tcW w:w="903" w:type="dxa"/>
            <w:noWrap/>
            <w:vAlign w:val="center"/>
          </w:tcPr>
          <w:p>
            <w:pPr>
              <w:keepNext w:val="0"/>
              <w:keepLines w:val="0"/>
              <w:widowControl/>
              <w:suppressLineNumbers w:val="0"/>
              <w:jc w:val="center"/>
              <w:textAlignment w:val="center"/>
              <w:rPr>
                <w:rFonts w:hint="eastAsia"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dxa"/>
            <w:vMerge w:val="continue"/>
            <w:noWrap/>
            <w:vAlign w:val="center"/>
          </w:tcPr>
          <w:p>
            <w:pPr>
              <w:widowControl/>
              <w:jc w:val="left"/>
              <w:rPr>
                <w:rFonts w:hint="eastAsia" w:ascii="楷体" w:hAnsi="楷体" w:eastAsia="楷体" w:cs="楷体"/>
                <w:color w:val="auto"/>
                <w:kern w:val="0"/>
                <w:sz w:val="21"/>
                <w:szCs w:val="21"/>
                <w:highlight w:val="none"/>
              </w:rPr>
            </w:pPr>
          </w:p>
        </w:tc>
        <w:tc>
          <w:tcPr>
            <w:tcW w:w="958" w:type="dxa"/>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泸州市</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193 </w:t>
            </w:r>
          </w:p>
        </w:tc>
        <w:tc>
          <w:tcPr>
            <w:tcW w:w="853" w:type="dxa"/>
            <w:noWrap/>
            <w:vAlign w:val="center"/>
          </w:tcPr>
          <w:p>
            <w:pPr>
              <w:jc w:val="center"/>
              <w:rPr>
                <w:rFonts w:eastAsia="仿宋_GB2312"/>
                <w:color w:val="auto"/>
                <w:kern w:val="0"/>
                <w:sz w:val="21"/>
                <w:szCs w:val="21"/>
                <w:highlight w:val="none"/>
              </w:rPr>
            </w:pPr>
          </w:p>
        </w:tc>
        <w:tc>
          <w:tcPr>
            <w:tcW w:w="813" w:type="dxa"/>
            <w:noWrap/>
            <w:vAlign w:val="center"/>
          </w:tcPr>
          <w:p>
            <w:pPr>
              <w:jc w:val="center"/>
              <w:rPr>
                <w:rFonts w:eastAsia="仿宋_GB2312"/>
                <w:color w:val="auto"/>
                <w:kern w:val="0"/>
                <w:sz w:val="21"/>
                <w:szCs w:val="21"/>
                <w:highlight w:val="none"/>
              </w:rPr>
            </w:pPr>
          </w:p>
        </w:tc>
        <w:tc>
          <w:tcPr>
            <w:tcW w:w="730" w:type="dxa"/>
            <w:noWrap/>
            <w:vAlign w:val="center"/>
          </w:tcPr>
          <w:p>
            <w:pPr>
              <w:jc w:val="center"/>
              <w:rPr>
                <w:rFonts w:eastAsia="仿宋_GB2312"/>
                <w:color w:val="auto"/>
                <w:kern w:val="0"/>
                <w:sz w:val="21"/>
                <w:szCs w:val="21"/>
                <w:highlight w:val="none"/>
              </w:rPr>
            </w:pP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193 </w:t>
            </w:r>
          </w:p>
        </w:tc>
        <w:tc>
          <w:tcPr>
            <w:tcW w:w="78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152 </w:t>
            </w:r>
          </w:p>
        </w:tc>
        <w:tc>
          <w:tcPr>
            <w:tcW w:w="782" w:type="dxa"/>
            <w:noWrap/>
            <w:vAlign w:val="center"/>
          </w:tcPr>
          <w:p>
            <w:pPr>
              <w:jc w:val="center"/>
              <w:rPr>
                <w:rFonts w:eastAsia="仿宋_GB2312"/>
                <w:color w:val="auto"/>
                <w:kern w:val="0"/>
                <w:sz w:val="21"/>
                <w:szCs w:val="21"/>
                <w:highlight w:val="none"/>
              </w:rPr>
            </w:pP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8" w:type="dxa"/>
            <w:gridSpan w:val="2"/>
            <w:noWrap/>
            <w:vAlign w:val="center"/>
          </w:tcPr>
          <w:p>
            <w:pPr>
              <w:widowControl/>
              <w:jc w:val="center"/>
              <w:rPr>
                <w:rFonts w:hint="eastAsia" w:ascii="楷体" w:hAnsi="楷体" w:eastAsia="楷体" w:cs="楷体"/>
                <w:color w:val="auto"/>
                <w:kern w:val="0"/>
                <w:sz w:val="21"/>
                <w:szCs w:val="21"/>
                <w:highlight w:val="none"/>
              </w:rPr>
            </w:pPr>
            <w:r>
              <w:rPr>
                <w:rFonts w:hint="eastAsia" w:ascii="楷体" w:hAnsi="楷体" w:eastAsia="楷体" w:cs="楷体"/>
                <w:color w:val="auto"/>
                <w:kern w:val="0"/>
                <w:sz w:val="21"/>
                <w:szCs w:val="21"/>
                <w:highlight w:val="none"/>
              </w:rPr>
              <w:t>合  计</w:t>
            </w:r>
          </w:p>
        </w:tc>
        <w:tc>
          <w:tcPr>
            <w:tcW w:w="64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154</w:t>
            </w:r>
          </w:p>
        </w:tc>
        <w:tc>
          <w:tcPr>
            <w:tcW w:w="975"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867 </w:t>
            </w:r>
          </w:p>
        </w:tc>
        <w:tc>
          <w:tcPr>
            <w:tcW w:w="85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199</w:t>
            </w:r>
          </w:p>
        </w:tc>
        <w:tc>
          <w:tcPr>
            <w:tcW w:w="81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730"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1058"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297 </w:t>
            </w:r>
          </w:p>
        </w:tc>
        <w:tc>
          <w:tcPr>
            <w:tcW w:w="78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153 </w:t>
            </w:r>
          </w:p>
        </w:tc>
        <w:tc>
          <w:tcPr>
            <w:tcW w:w="782"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903" w:type="dxa"/>
            <w:noWrap/>
            <w:vAlign w:val="center"/>
          </w:tcPr>
          <w:p>
            <w:pPr>
              <w:keepNext w:val="0"/>
              <w:keepLines w:val="0"/>
              <w:widowControl/>
              <w:suppressLineNumbers w:val="0"/>
              <w:jc w:val="center"/>
              <w:textAlignment w:val="center"/>
              <w:rPr>
                <w:rFonts w:eastAsia="仿宋_GB2312"/>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89.4 </w:t>
            </w:r>
          </w:p>
        </w:tc>
      </w:tr>
    </w:tbl>
    <w:p>
      <w:pPr>
        <w:pStyle w:val="154"/>
        <w:ind w:firstLine="578"/>
        <w:rPr>
          <w:color w:val="auto"/>
          <w:sz w:val="30"/>
          <w:szCs w:val="30"/>
          <w:highlight w:val="none"/>
        </w:rPr>
        <w:sectPr>
          <w:pgSz w:w="11906" w:h="16838"/>
          <w:pgMar w:top="1134" w:right="1418" w:bottom="1418" w:left="1418" w:header="851" w:footer="992" w:gutter="0"/>
          <w:pgBorders>
            <w:top w:val="none" w:sz="0" w:space="0"/>
            <w:left w:val="none" w:sz="0" w:space="0"/>
            <w:bottom w:val="none" w:sz="0" w:space="0"/>
            <w:right w:val="none" w:sz="0" w:space="0"/>
          </w:pgBorders>
          <w:pgNumType w:fmt="decimal"/>
          <w:cols w:space="720" w:num="1"/>
          <w:docGrid w:type="linesAndChars" w:linePitch="326" w:charSpace="-3871"/>
        </w:sectPr>
      </w:pPr>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bookmarkStart w:id="78" w:name="_Toc124757346"/>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rFonts w:hint="default" w:eastAsia="黑体"/>
          <w:b w:val="0"/>
          <w:bCs w:val="0"/>
          <w:color w:val="auto"/>
          <w:highlight w:val="none"/>
          <w:lang w:val="en-US" w:eastAsia="zh-CN"/>
        </w:rPr>
      </w:pPr>
      <w:r>
        <w:rPr>
          <w:b w:val="0"/>
          <w:bCs w:val="0"/>
          <w:color w:val="auto"/>
          <w:highlight w:val="none"/>
        </w:rPr>
        <w:t xml:space="preserve">第六章  </w:t>
      </w:r>
      <w:bookmarkEnd w:id="78"/>
      <w:r>
        <w:rPr>
          <w:rFonts w:hint="eastAsia"/>
          <w:b w:val="0"/>
          <w:bCs w:val="0"/>
          <w:color w:val="auto"/>
          <w:highlight w:val="none"/>
          <w:lang w:val="en-US" w:eastAsia="zh-CN"/>
        </w:rPr>
        <w:t>水土流失防治规划</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79" w:name="_Toc124757347"/>
      <w:bookmarkStart w:id="80" w:name="_Toc69810504"/>
      <w:bookmarkStart w:id="81" w:name="_Toc349908901"/>
      <w:bookmarkStart w:id="82" w:name="_Toc178796787"/>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 xml:space="preserve">第一节  </w:t>
      </w:r>
      <w:bookmarkStart w:id="83" w:name="_Hlk124619763"/>
      <w:r>
        <w:rPr>
          <w:rStyle w:val="550"/>
          <w:rFonts w:hint="default" w:ascii="Times New Roman" w:hAnsi="Times New Roman" w:eastAsia="楷体_GB2312" w:cs="Times New Roman"/>
          <w:b w:val="0"/>
          <w:bCs w:val="0"/>
          <w:color w:val="auto"/>
          <w:highlight w:val="none"/>
        </w:rPr>
        <w:t>治理</w:t>
      </w:r>
      <w:r>
        <w:rPr>
          <w:rFonts w:hint="eastAsia" w:cs="Times New Roman"/>
          <w:b w:val="0"/>
          <w:bCs w:val="0"/>
          <w:color w:val="auto"/>
          <w:highlight w:val="none"/>
          <w:lang w:val="en-US" w:eastAsia="zh-CN"/>
        </w:rPr>
        <w:t>原则</w:t>
      </w:r>
      <w:r>
        <w:rPr>
          <w:rStyle w:val="550"/>
          <w:rFonts w:hint="default"/>
          <w:b w:val="0"/>
          <w:bCs w:val="0"/>
          <w:color w:val="auto"/>
          <w:highlight w:val="none"/>
          <w:lang w:val="en-US" w:eastAsia="zh-CN"/>
        </w:rPr>
        <w:t>及任务</w:t>
      </w:r>
      <w:bookmarkEnd w:id="79"/>
      <w:bookmarkEnd w:id="80"/>
      <w:bookmarkEnd w:id="81"/>
      <w:bookmarkEnd w:id="83"/>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lang w:val="en-US" w:eastAsia="zh-CN"/>
        </w:rPr>
      </w:pPr>
      <w:r>
        <w:rPr>
          <w:rStyle w:val="550"/>
          <w:rFonts w:hint="eastAsia" w:ascii="黑体" w:hAnsi="黑体" w:eastAsia="黑体" w:cs="黑体"/>
          <w:b w:val="0"/>
          <w:bCs w:val="0"/>
          <w:color w:val="auto"/>
          <w:highlight w:val="none"/>
        </w:rPr>
        <w:t>一、</w:t>
      </w:r>
      <w:r>
        <w:rPr>
          <w:rStyle w:val="550"/>
          <w:rFonts w:hint="eastAsia" w:ascii="黑体" w:hAnsi="黑体" w:eastAsia="黑体" w:cs="黑体"/>
          <w:b w:val="0"/>
          <w:bCs w:val="0"/>
          <w:color w:val="auto"/>
          <w:highlight w:val="none"/>
          <w:lang w:val="en-US" w:eastAsia="zh-CN"/>
        </w:rPr>
        <w:t>治理原则</w:t>
      </w:r>
    </w:p>
    <w:bookmarkEnd w:id="82"/>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rFonts w:hint="eastAsia"/>
          <w:color w:val="auto"/>
          <w:spacing w:val="4"/>
          <w:sz w:val="30"/>
          <w:szCs w:val="30"/>
          <w:highlight w:val="none"/>
          <w:lang w:val="en-US" w:eastAsia="zh-CN"/>
        </w:rPr>
        <w:t>水土流失治理</w:t>
      </w:r>
      <w:r>
        <w:rPr>
          <w:color w:val="auto"/>
          <w:spacing w:val="4"/>
          <w:sz w:val="30"/>
          <w:szCs w:val="30"/>
          <w:highlight w:val="none"/>
        </w:rPr>
        <w:t>坚持</w:t>
      </w:r>
      <w:r>
        <w:rPr>
          <w:rFonts w:hint="eastAsia"/>
          <w:color w:val="auto"/>
          <w:spacing w:val="4"/>
          <w:sz w:val="30"/>
          <w:szCs w:val="30"/>
          <w:highlight w:val="none"/>
          <w:lang w:eastAsia="zh-CN"/>
        </w:rPr>
        <w:t>“</w:t>
      </w:r>
      <w:r>
        <w:rPr>
          <w:color w:val="auto"/>
          <w:spacing w:val="4"/>
          <w:sz w:val="30"/>
          <w:szCs w:val="30"/>
          <w:highlight w:val="none"/>
        </w:rPr>
        <w:t>预防为主、保护优先、全面规划、综合治理、因地制宜</w:t>
      </w:r>
      <w:r>
        <w:rPr>
          <w:rFonts w:hint="eastAsia"/>
          <w:color w:val="auto"/>
          <w:spacing w:val="4"/>
          <w:sz w:val="30"/>
          <w:szCs w:val="30"/>
          <w:highlight w:val="none"/>
          <w:lang w:val="en-US" w:eastAsia="zh-CN"/>
        </w:rPr>
        <w:t>、</w:t>
      </w:r>
      <w:r>
        <w:rPr>
          <w:color w:val="auto"/>
          <w:spacing w:val="4"/>
          <w:sz w:val="30"/>
          <w:szCs w:val="30"/>
          <w:highlight w:val="none"/>
        </w:rPr>
        <w:t>突出重点、科学管理</w:t>
      </w:r>
      <w:r>
        <w:rPr>
          <w:rFonts w:hint="eastAsia"/>
          <w:color w:val="auto"/>
          <w:spacing w:val="4"/>
          <w:sz w:val="30"/>
          <w:szCs w:val="30"/>
          <w:highlight w:val="none"/>
          <w:lang w:eastAsia="zh-CN"/>
        </w:rPr>
        <w:t>、</w:t>
      </w:r>
      <w:r>
        <w:rPr>
          <w:color w:val="auto"/>
          <w:spacing w:val="4"/>
          <w:sz w:val="30"/>
          <w:szCs w:val="30"/>
          <w:highlight w:val="none"/>
        </w:rPr>
        <w:t>注重效益</w:t>
      </w:r>
      <w:r>
        <w:rPr>
          <w:rFonts w:hint="eastAsia"/>
          <w:color w:val="auto"/>
          <w:spacing w:val="4"/>
          <w:sz w:val="30"/>
          <w:szCs w:val="30"/>
          <w:highlight w:val="none"/>
          <w:lang w:eastAsia="zh-CN"/>
        </w:rPr>
        <w:t>”</w:t>
      </w:r>
      <w:r>
        <w:rPr>
          <w:color w:val="auto"/>
          <w:spacing w:val="4"/>
          <w:sz w:val="30"/>
          <w:szCs w:val="30"/>
          <w:highlight w:val="none"/>
        </w:rPr>
        <w:t>原则，根据规划区域内水源涵养、多沙输沙区域基本情况，</w:t>
      </w:r>
      <w:r>
        <w:rPr>
          <w:rFonts w:hint="eastAsia"/>
          <w:color w:val="auto"/>
          <w:spacing w:val="4"/>
          <w:sz w:val="30"/>
          <w:szCs w:val="30"/>
          <w:highlight w:val="none"/>
          <w:lang w:val="en-US" w:eastAsia="zh-CN"/>
        </w:rPr>
        <w:t>在</w:t>
      </w:r>
      <w:r>
        <w:rPr>
          <w:color w:val="auto"/>
          <w:spacing w:val="4"/>
          <w:sz w:val="30"/>
          <w:szCs w:val="30"/>
          <w:highlight w:val="none"/>
        </w:rPr>
        <w:t>分析对防洪减灾和生态环境主要危害的基础上，进一步分析水土流失及其产沙输沙严重区域的水土流失类型分布、数量、强度、成因及特点、危害情况、水土流失防治成效及存在问题，制定防治方案。</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二、水土流失现状</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楷体_GB2312" w:hAnsi="楷体_GB2312" w:eastAsia="楷体_GB2312" w:cs="楷体_GB2312"/>
          <w:color w:val="auto"/>
          <w:sz w:val="30"/>
          <w:szCs w:val="30"/>
          <w:highlight w:val="none"/>
          <w:lang w:val="en-US" w:eastAsia="zh-CN"/>
        </w:rPr>
      </w:pPr>
      <w:r>
        <w:rPr>
          <w:rFonts w:hint="eastAsia" w:ascii="楷体_GB2312" w:hAnsi="楷体_GB2312" w:eastAsia="楷体_GB2312" w:cs="楷体_GB2312"/>
          <w:color w:val="auto"/>
          <w:sz w:val="30"/>
          <w:szCs w:val="30"/>
          <w:highlight w:val="none"/>
        </w:rPr>
        <w:t>（一）</w:t>
      </w:r>
      <w:r>
        <w:rPr>
          <w:rFonts w:hint="eastAsia" w:ascii="楷体_GB2312" w:hAnsi="楷体_GB2312" w:eastAsia="楷体_GB2312" w:cs="楷体_GB2312"/>
          <w:color w:val="auto"/>
          <w:sz w:val="30"/>
          <w:szCs w:val="30"/>
          <w:highlight w:val="none"/>
          <w:lang w:val="en-US" w:eastAsia="zh-CN"/>
        </w:rPr>
        <w:t>水土流失现状</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rPr>
        <w:t>规划区内水土流失面积7384km</w:t>
      </w:r>
      <w:r>
        <w:rPr>
          <w:rFonts w:ascii="Times New Roman"/>
          <w:color w:val="auto"/>
          <w:sz w:val="30"/>
          <w:szCs w:val="30"/>
          <w:vertAlign w:val="superscript"/>
        </w:rPr>
        <w:t>2</w:t>
      </w:r>
      <w:r>
        <w:rPr>
          <w:rFonts w:ascii="Times New Roman"/>
          <w:color w:val="auto"/>
          <w:sz w:val="30"/>
          <w:szCs w:val="30"/>
        </w:rPr>
        <w:t>，占土地总面积2.30万km</w:t>
      </w:r>
      <w:r>
        <w:rPr>
          <w:rFonts w:ascii="Times New Roman"/>
          <w:color w:val="auto"/>
          <w:sz w:val="30"/>
          <w:szCs w:val="30"/>
          <w:vertAlign w:val="superscript"/>
        </w:rPr>
        <w:t>2</w:t>
      </w:r>
      <w:r>
        <w:rPr>
          <w:rFonts w:ascii="Times New Roman"/>
          <w:color w:val="auto"/>
          <w:sz w:val="30"/>
          <w:szCs w:val="30"/>
        </w:rPr>
        <w:t>的32%</w:t>
      </w:r>
      <w:r>
        <w:rPr>
          <w:rFonts w:hint="eastAsia" w:ascii="Times New Roman"/>
          <w:color w:val="auto"/>
          <w:sz w:val="30"/>
          <w:szCs w:val="30"/>
          <w:lang w:eastAsia="zh-CN"/>
        </w:rPr>
        <w:t>，</w:t>
      </w:r>
      <w:r>
        <w:rPr>
          <w:rFonts w:hint="eastAsia" w:ascii="Times New Roman"/>
          <w:color w:val="auto"/>
          <w:sz w:val="30"/>
          <w:szCs w:val="30"/>
          <w:lang w:val="en-US" w:eastAsia="zh-CN"/>
        </w:rPr>
        <w:t>其中轻度水土流失面积4702km</w:t>
      </w:r>
      <w:r>
        <w:rPr>
          <w:rFonts w:hint="eastAsia" w:ascii="Times New Roman"/>
          <w:color w:val="auto"/>
          <w:sz w:val="30"/>
          <w:szCs w:val="30"/>
          <w:vertAlign w:val="superscript"/>
          <w:lang w:val="en-US" w:eastAsia="zh-CN"/>
        </w:rPr>
        <w:t>2</w:t>
      </w:r>
      <w:r>
        <w:rPr>
          <w:rFonts w:hint="eastAsia" w:ascii="Times New Roman"/>
          <w:color w:val="auto"/>
          <w:sz w:val="30"/>
          <w:szCs w:val="30"/>
          <w:lang w:val="en-US" w:eastAsia="zh-CN"/>
        </w:rPr>
        <w:t>，中度水土流失面积1564km</w:t>
      </w:r>
      <w:r>
        <w:rPr>
          <w:rFonts w:hint="eastAsia" w:ascii="Times New Roman"/>
          <w:color w:val="auto"/>
          <w:sz w:val="30"/>
          <w:szCs w:val="30"/>
          <w:vertAlign w:val="superscript"/>
          <w:lang w:val="en-US" w:eastAsia="zh-CN"/>
        </w:rPr>
        <w:t>2</w:t>
      </w:r>
      <w:r>
        <w:rPr>
          <w:rFonts w:hint="eastAsia" w:ascii="Times New Roman"/>
          <w:color w:val="auto"/>
          <w:sz w:val="30"/>
          <w:szCs w:val="30"/>
          <w:lang w:val="en-US" w:eastAsia="zh-CN"/>
        </w:rPr>
        <w:t>，强烈水土流失面积670km</w:t>
      </w:r>
      <w:r>
        <w:rPr>
          <w:rFonts w:hint="eastAsia" w:ascii="Times New Roman"/>
          <w:color w:val="auto"/>
          <w:sz w:val="30"/>
          <w:szCs w:val="30"/>
          <w:vertAlign w:val="superscript"/>
          <w:lang w:val="en-US" w:eastAsia="zh-CN"/>
        </w:rPr>
        <w:t>2</w:t>
      </w:r>
      <w:r>
        <w:rPr>
          <w:rFonts w:hint="eastAsia" w:ascii="Times New Roman"/>
          <w:color w:val="auto"/>
          <w:sz w:val="30"/>
          <w:szCs w:val="30"/>
          <w:lang w:val="en-US" w:eastAsia="zh-CN"/>
        </w:rPr>
        <w:t>，极强烈水土流失面积381km</w:t>
      </w:r>
      <w:r>
        <w:rPr>
          <w:rFonts w:hint="eastAsia" w:ascii="Times New Roman"/>
          <w:color w:val="auto"/>
          <w:sz w:val="30"/>
          <w:szCs w:val="30"/>
          <w:vertAlign w:val="superscript"/>
          <w:lang w:val="en-US" w:eastAsia="zh-CN"/>
        </w:rPr>
        <w:t>2</w:t>
      </w:r>
      <w:r>
        <w:rPr>
          <w:rFonts w:hint="eastAsia" w:ascii="Times New Roman"/>
          <w:color w:val="auto"/>
          <w:sz w:val="30"/>
          <w:szCs w:val="30"/>
          <w:lang w:val="en-US" w:eastAsia="zh-CN"/>
        </w:rPr>
        <w:t>，剧烈水土流失面积67km</w:t>
      </w:r>
      <w:r>
        <w:rPr>
          <w:rFonts w:hint="eastAsia" w:ascii="Times New Roman"/>
          <w:color w:val="auto"/>
          <w:sz w:val="30"/>
          <w:szCs w:val="30"/>
          <w:vertAlign w:val="superscript"/>
          <w:lang w:val="en-US" w:eastAsia="zh-CN"/>
        </w:rPr>
        <w:t>2</w:t>
      </w:r>
      <w:r>
        <w:rPr>
          <w:color w:val="auto"/>
          <w:spacing w:val="4"/>
          <w:sz w:val="30"/>
          <w:szCs w:val="30"/>
        </w:rPr>
        <w:t>。</w:t>
      </w:r>
      <w:bookmarkStart w:id="84" w:name="_Toc109320873"/>
      <w:bookmarkStart w:id="85" w:name="_Toc101193352"/>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w:t>
      </w:r>
      <w:r>
        <w:rPr>
          <w:rFonts w:hint="eastAsia" w:ascii="楷体_GB2312" w:hAnsi="楷体_GB2312" w:eastAsia="楷体_GB2312" w:cs="楷体_GB2312"/>
          <w:color w:val="auto"/>
          <w:sz w:val="30"/>
          <w:szCs w:val="30"/>
          <w:highlight w:val="none"/>
          <w:lang w:val="en-US" w:eastAsia="zh-CN"/>
        </w:rPr>
        <w:t>二</w:t>
      </w:r>
      <w:r>
        <w:rPr>
          <w:rFonts w:hint="eastAsia" w:ascii="楷体_GB2312" w:hAnsi="楷体_GB2312" w:eastAsia="楷体_GB2312" w:cs="楷体_GB2312"/>
          <w:color w:val="auto"/>
          <w:sz w:val="30"/>
          <w:szCs w:val="30"/>
          <w:highlight w:val="none"/>
        </w:rPr>
        <w:t>）水土流失治理成效及存在问题</w:t>
      </w:r>
    </w:p>
    <w:bookmarkEnd w:id="84"/>
    <w:bookmarkEnd w:id="85"/>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1.</w:t>
      </w:r>
      <w:r>
        <w:rPr>
          <w:rFonts w:hint="eastAsia" w:ascii="Times New Roman"/>
          <w:color w:val="auto"/>
          <w:sz w:val="30"/>
          <w:szCs w:val="30"/>
          <w:highlight w:val="none"/>
          <w:lang w:val="en-US" w:eastAsia="zh-CN"/>
        </w:rPr>
        <w:t>治理</w:t>
      </w:r>
      <w:r>
        <w:rPr>
          <w:rFonts w:ascii="Times New Roman"/>
          <w:color w:val="auto"/>
          <w:sz w:val="30"/>
          <w:szCs w:val="30"/>
          <w:highlight w:val="none"/>
        </w:rPr>
        <w:t>成效</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Times New Roman" w:eastAsia="仿宋_GB2312"/>
          <w:color w:val="auto"/>
          <w:sz w:val="30"/>
          <w:szCs w:val="30"/>
          <w:highlight w:val="none"/>
          <w:vertAlign w:val="baseline"/>
          <w:lang w:val="en-US" w:eastAsia="zh-CN"/>
        </w:rPr>
      </w:pPr>
      <w:r>
        <w:rPr>
          <w:rFonts w:ascii="Times New Roman"/>
          <w:color w:val="auto"/>
          <w:sz w:val="30"/>
          <w:szCs w:val="30"/>
          <w:highlight w:val="none"/>
        </w:rPr>
        <w:t>通过封禁、生态修复、小流域综合治理等措施，规划区域2015年至2020年累计治理水土流失面积3395km</w:t>
      </w:r>
      <w:r>
        <w:rPr>
          <w:rFonts w:ascii="Times New Roman"/>
          <w:color w:val="auto"/>
          <w:sz w:val="30"/>
          <w:szCs w:val="30"/>
          <w:highlight w:val="none"/>
          <w:vertAlign w:val="superscript"/>
        </w:rPr>
        <w:t>2</w:t>
      </w:r>
      <w:r>
        <w:rPr>
          <w:rFonts w:hint="eastAsia" w:ascii="Times New Roman"/>
          <w:color w:val="auto"/>
          <w:sz w:val="30"/>
          <w:szCs w:val="30"/>
          <w:highlight w:val="none"/>
          <w:vertAlign w:val="baseline"/>
          <w:lang w:eastAsia="zh-CN"/>
        </w:rPr>
        <w:t>。</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2.存在问题</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水土保持投入不足，水土流失治理力度需要进一步增强</w:t>
      </w:r>
      <w:r>
        <w:rPr>
          <w:rFonts w:hint="eastAsia" w:ascii="Times New Roman"/>
          <w:color w:val="auto"/>
          <w:sz w:val="30"/>
          <w:szCs w:val="30"/>
          <w:highlight w:val="none"/>
          <w:lang w:eastAsia="zh-CN"/>
        </w:rPr>
        <w:t>。</w:t>
      </w:r>
      <w:r>
        <w:rPr>
          <w:rFonts w:ascii="Times New Roman"/>
          <w:color w:val="auto"/>
          <w:sz w:val="30"/>
          <w:szCs w:val="30"/>
          <w:highlight w:val="none"/>
        </w:rPr>
        <w:t>全社会的水土保持意识有待进一步提高，需进一步强化预防保护和执法监督</w:t>
      </w:r>
      <w:r>
        <w:rPr>
          <w:rFonts w:hint="eastAsia" w:ascii="Times New Roman"/>
          <w:color w:val="auto"/>
          <w:sz w:val="30"/>
          <w:szCs w:val="30"/>
          <w:highlight w:val="none"/>
          <w:lang w:eastAsia="zh-CN"/>
        </w:rPr>
        <w:t>；</w:t>
      </w:r>
      <w:r>
        <w:rPr>
          <w:rFonts w:ascii="Times New Roman"/>
          <w:color w:val="auto"/>
          <w:sz w:val="30"/>
          <w:szCs w:val="30"/>
          <w:highlight w:val="none"/>
        </w:rPr>
        <w:t>人为新增水土流失还</w:t>
      </w:r>
      <w:r>
        <w:rPr>
          <w:rFonts w:hint="eastAsia" w:ascii="Times New Roman"/>
          <w:color w:val="auto"/>
          <w:sz w:val="30"/>
          <w:szCs w:val="30"/>
          <w:highlight w:val="none"/>
          <w:lang w:val="en-US" w:eastAsia="zh-CN"/>
        </w:rPr>
        <w:t>未得到</w:t>
      </w:r>
      <w:r>
        <w:rPr>
          <w:rFonts w:ascii="Times New Roman"/>
          <w:color w:val="auto"/>
          <w:sz w:val="30"/>
          <w:szCs w:val="30"/>
          <w:highlight w:val="none"/>
        </w:rPr>
        <w:t>完全遏制，水土保持监测和科学研究滞后。</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lang w:val="en-US" w:eastAsia="zh-CN"/>
        </w:rPr>
      </w:pPr>
      <w:r>
        <w:rPr>
          <w:rStyle w:val="550"/>
          <w:rFonts w:hint="eastAsia" w:ascii="黑体" w:hAnsi="黑体" w:eastAsia="黑体" w:cs="黑体"/>
          <w:b w:val="0"/>
          <w:bCs/>
          <w:color w:val="auto"/>
          <w:highlight w:val="none"/>
        </w:rPr>
        <w:t>三、</w:t>
      </w:r>
      <w:r>
        <w:rPr>
          <w:rStyle w:val="550"/>
          <w:rFonts w:hint="eastAsia" w:ascii="黑体" w:hAnsi="黑体" w:eastAsia="黑体" w:cs="黑体"/>
          <w:b w:val="0"/>
          <w:bCs/>
          <w:color w:val="auto"/>
          <w:highlight w:val="none"/>
          <w:lang w:val="en-US" w:eastAsia="zh-CN"/>
        </w:rPr>
        <w:t>治理任务</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bookmarkStart w:id="86" w:name="_Toc69810505"/>
      <w:bookmarkStart w:id="87" w:name="_Toc124757348"/>
      <w:bookmarkStart w:id="88" w:name="_Toc349908903"/>
      <w:bookmarkStart w:id="89" w:name="_Toc178796790"/>
      <w:r>
        <w:rPr>
          <w:rFonts w:ascii="Times New Roman"/>
          <w:color w:val="auto"/>
          <w:sz w:val="30"/>
          <w:szCs w:val="30"/>
          <w:highlight w:val="none"/>
        </w:rPr>
        <w:t>到203</w:t>
      </w:r>
      <w:r>
        <w:rPr>
          <w:rFonts w:hint="eastAsia" w:ascii="Times New Roman"/>
          <w:color w:val="auto"/>
          <w:sz w:val="30"/>
          <w:szCs w:val="30"/>
          <w:highlight w:val="none"/>
          <w:lang w:val="en-US" w:eastAsia="zh-CN"/>
        </w:rPr>
        <w:t>5</w:t>
      </w:r>
      <w:r>
        <w:rPr>
          <w:rFonts w:ascii="Times New Roman"/>
          <w:color w:val="auto"/>
          <w:sz w:val="30"/>
          <w:szCs w:val="30"/>
          <w:highlight w:val="none"/>
        </w:rPr>
        <w:t>年，</w:t>
      </w:r>
      <w:r>
        <w:rPr>
          <w:rFonts w:hint="eastAsia" w:ascii="Times New Roman"/>
          <w:color w:val="auto"/>
          <w:sz w:val="30"/>
          <w:szCs w:val="30"/>
          <w:highlight w:val="none"/>
          <w:lang w:val="en-US" w:eastAsia="zh-CN"/>
        </w:rPr>
        <w:t>综合治理水土流失面积6366</w:t>
      </w:r>
      <w:r>
        <w:rPr>
          <w:rFonts w:ascii="Times New Roman"/>
          <w:color w:val="auto"/>
          <w:sz w:val="30"/>
          <w:szCs w:val="30"/>
          <w:highlight w:val="none"/>
        </w:rPr>
        <w:t>km</w:t>
      </w:r>
      <w:r>
        <w:rPr>
          <w:rFonts w:ascii="Times New Roman"/>
          <w:color w:val="auto"/>
          <w:sz w:val="30"/>
          <w:szCs w:val="30"/>
          <w:highlight w:val="none"/>
          <w:vertAlign w:val="superscript"/>
        </w:rPr>
        <w:t>2</w:t>
      </w:r>
      <w:r>
        <w:rPr>
          <w:rFonts w:hint="eastAsia" w:ascii="Times New Roman"/>
          <w:color w:val="auto"/>
          <w:sz w:val="30"/>
          <w:szCs w:val="30"/>
          <w:highlight w:val="none"/>
          <w:lang w:eastAsia="zh-CN"/>
        </w:rPr>
        <w:t>，</w:t>
      </w:r>
      <w:r>
        <w:rPr>
          <w:rFonts w:hint="eastAsia" w:ascii="Times New Roman"/>
          <w:color w:val="auto"/>
          <w:sz w:val="30"/>
          <w:szCs w:val="30"/>
          <w:highlight w:val="none"/>
          <w:lang w:val="en-US" w:eastAsia="zh-CN"/>
        </w:rPr>
        <w:t>其中</w:t>
      </w:r>
      <w:r>
        <w:rPr>
          <w:rFonts w:ascii="Times New Roman"/>
          <w:color w:val="auto"/>
          <w:sz w:val="30"/>
          <w:szCs w:val="30"/>
          <w:highlight w:val="none"/>
        </w:rPr>
        <w:t>成都市</w:t>
      </w:r>
      <w:r>
        <w:rPr>
          <w:rFonts w:hint="eastAsia" w:ascii="Times New Roman"/>
          <w:color w:val="auto"/>
          <w:sz w:val="30"/>
          <w:szCs w:val="30"/>
          <w:highlight w:val="none"/>
          <w:lang w:val="en-US" w:eastAsia="zh-CN"/>
        </w:rPr>
        <w:t>889</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、自贡市11</w:t>
      </w:r>
      <w:r>
        <w:rPr>
          <w:rFonts w:hint="eastAsia" w:ascii="Times New Roman"/>
          <w:color w:val="auto"/>
          <w:sz w:val="30"/>
          <w:szCs w:val="30"/>
          <w:highlight w:val="none"/>
          <w:lang w:val="en-US" w:eastAsia="zh-CN"/>
        </w:rPr>
        <w:t>30</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、泸州市</w:t>
      </w:r>
      <w:r>
        <w:rPr>
          <w:rFonts w:hint="eastAsia" w:ascii="Times New Roman"/>
          <w:color w:val="auto"/>
          <w:sz w:val="30"/>
          <w:szCs w:val="30"/>
          <w:highlight w:val="none"/>
          <w:lang w:val="en-US" w:eastAsia="zh-CN"/>
        </w:rPr>
        <w:t>80</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、德阳市</w:t>
      </w:r>
      <w:r>
        <w:rPr>
          <w:rFonts w:hint="eastAsia" w:ascii="Times New Roman"/>
          <w:color w:val="auto"/>
          <w:sz w:val="30"/>
          <w:szCs w:val="30"/>
          <w:highlight w:val="none"/>
          <w:lang w:val="en-US" w:eastAsia="zh-CN"/>
        </w:rPr>
        <w:t>651</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、内江市</w:t>
      </w:r>
      <w:r>
        <w:rPr>
          <w:rFonts w:hint="eastAsia" w:ascii="Times New Roman"/>
          <w:color w:val="auto"/>
          <w:sz w:val="30"/>
          <w:szCs w:val="30"/>
          <w:highlight w:val="none"/>
          <w:lang w:val="en-US" w:eastAsia="zh-CN"/>
        </w:rPr>
        <w:t>1</w:t>
      </w:r>
      <w:r>
        <w:rPr>
          <w:rFonts w:ascii="Times New Roman"/>
          <w:color w:val="auto"/>
          <w:sz w:val="30"/>
          <w:szCs w:val="30"/>
          <w:highlight w:val="none"/>
        </w:rPr>
        <w:t>9</w:t>
      </w:r>
      <w:r>
        <w:rPr>
          <w:rFonts w:hint="eastAsia" w:ascii="Times New Roman"/>
          <w:color w:val="auto"/>
          <w:sz w:val="30"/>
          <w:szCs w:val="30"/>
          <w:highlight w:val="none"/>
          <w:lang w:val="en-US" w:eastAsia="zh-CN"/>
        </w:rPr>
        <w:t>36</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、资阳市1</w:t>
      </w:r>
      <w:r>
        <w:rPr>
          <w:rFonts w:hint="eastAsia" w:ascii="Times New Roman"/>
          <w:color w:val="auto"/>
          <w:sz w:val="30"/>
          <w:szCs w:val="30"/>
          <w:highlight w:val="none"/>
          <w:lang w:val="en-US" w:eastAsia="zh-CN"/>
        </w:rPr>
        <w:t>680</w:t>
      </w:r>
      <w:r>
        <w:rPr>
          <w:rFonts w:ascii="Times New Roman"/>
          <w:color w:val="auto"/>
          <w:sz w:val="30"/>
          <w:szCs w:val="30"/>
          <w:highlight w:val="none"/>
        </w:rPr>
        <w:t>km</w:t>
      </w:r>
      <w:r>
        <w:rPr>
          <w:rFonts w:ascii="Times New Roman"/>
          <w:color w:val="auto"/>
          <w:sz w:val="30"/>
          <w:szCs w:val="30"/>
          <w:highlight w:val="none"/>
          <w:vertAlign w:val="superscript"/>
        </w:rPr>
        <w:t>2</w:t>
      </w:r>
      <w:r>
        <w:rPr>
          <w:rFonts w:ascii="Times New Roman"/>
          <w:color w:val="auto"/>
          <w:sz w:val="30"/>
          <w:szCs w:val="30"/>
          <w:highlight w:val="none"/>
        </w:rPr>
        <w:t>。</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b w:val="0"/>
          <w:bCs w:val="0"/>
          <w:color w:val="auto"/>
          <w:sz w:val="30"/>
          <w:szCs w:val="30"/>
          <w:highlight w:val="none"/>
          <w:lang w:val="en-US" w:eastAsia="zh-CN"/>
        </w:rPr>
      </w:pPr>
      <w:r>
        <w:rPr>
          <w:rFonts w:ascii="Times New Roman"/>
          <w:color w:val="auto"/>
          <w:sz w:val="30"/>
          <w:szCs w:val="30"/>
          <w:highlight w:val="none"/>
        </w:rPr>
        <w:t>水</w:t>
      </w:r>
      <w:r>
        <w:rPr>
          <w:rFonts w:ascii="Times New Roman"/>
          <w:color w:val="auto"/>
          <w:sz w:val="30"/>
          <w:szCs w:val="30"/>
          <w:highlight w:val="none"/>
          <w:lang w:val="en-US" w:eastAsia="zh-CN"/>
        </w:rPr>
        <w:t>土流失防治以增强林草植被调节径流功能和减少入河湖（库）泥沙为主要任务，根据防洪减沙的要求与水土保持功能定位，提出水土流失治</w:t>
      </w:r>
      <w:r>
        <w:rPr>
          <w:rFonts w:ascii="Times New Roman"/>
          <w:b w:val="0"/>
          <w:bCs w:val="0"/>
          <w:color w:val="auto"/>
          <w:sz w:val="30"/>
          <w:szCs w:val="30"/>
          <w:highlight w:val="none"/>
          <w:lang w:val="en-US" w:eastAsia="zh-CN"/>
        </w:rPr>
        <w:t>理</w:t>
      </w:r>
      <w:r>
        <w:rPr>
          <w:rFonts w:hint="eastAsia" w:ascii="Times New Roman"/>
          <w:b w:val="0"/>
          <w:bCs w:val="0"/>
          <w:color w:val="auto"/>
          <w:sz w:val="30"/>
          <w:szCs w:val="30"/>
          <w:highlight w:val="none"/>
          <w:lang w:val="en-US" w:eastAsia="zh-CN"/>
        </w:rPr>
        <w:t>目</w:t>
      </w:r>
      <w:r>
        <w:rPr>
          <w:rFonts w:ascii="Times New Roman"/>
          <w:b w:val="0"/>
          <w:bCs w:val="0"/>
          <w:color w:val="auto"/>
          <w:sz w:val="30"/>
          <w:szCs w:val="30"/>
          <w:highlight w:val="none"/>
          <w:lang w:val="en-US" w:eastAsia="zh-CN"/>
        </w:rPr>
        <w:t>标。</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第二节  防治措施</w:t>
      </w:r>
      <w:bookmarkEnd w:id="86"/>
      <w:bookmarkEnd w:id="87"/>
      <w:bookmarkEnd w:id="88"/>
    </w:p>
    <w:bookmarkEnd w:id="89"/>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lang w:val="en-US" w:eastAsia="zh-CN"/>
        </w:rPr>
        <w:t>一</w:t>
      </w:r>
      <w:r>
        <w:rPr>
          <w:rStyle w:val="550"/>
          <w:rFonts w:hint="eastAsia" w:ascii="黑体" w:hAnsi="黑体" w:eastAsia="黑体" w:cs="黑体"/>
          <w:b w:val="0"/>
          <w:bCs w:val="0"/>
          <w:color w:val="auto"/>
          <w:highlight w:val="none"/>
        </w:rPr>
        <w:t>、总体布局</w:t>
      </w:r>
    </w:p>
    <w:p>
      <w:pPr>
        <w:pStyle w:val="713"/>
        <w:keepNext w:val="0"/>
        <w:keepLines w:val="0"/>
        <w:pageBreakBefore w:val="0"/>
        <w:widowControl w:val="0"/>
        <w:kinsoku/>
        <w:wordWrap/>
        <w:overflowPunct/>
        <w:topLinePunct w:val="0"/>
        <w:autoSpaceDE/>
        <w:autoSpaceDN/>
        <w:bidi w:val="0"/>
        <w:adjustRightInd/>
        <w:snapToGrid/>
        <w:spacing w:line="540" w:lineRule="exact"/>
        <w:ind w:left="0" w:firstLine="561"/>
        <w:textAlignment w:val="auto"/>
        <w:rPr>
          <w:rFonts w:ascii="Times New Roman"/>
          <w:color w:val="auto"/>
          <w:sz w:val="30"/>
          <w:szCs w:val="30"/>
          <w:highlight w:val="none"/>
        </w:rPr>
      </w:pPr>
      <w:r>
        <w:rPr>
          <w:rFonts w:ascii="Times New Roman"/>
          <w:b w:val="0"/>
          <w:bCs w:val="0"/>
          <w:color w:val="auto"/>
          <w:sz w:val="30"/>
          <w:szCs w:val="30"/>
          <w:highlight w:val="none"/>
        </w:rPr>
        <w:t>沱江流域水土</w:t>
      </w:r>
      <w:r>
        <w:rPr>
          <w:rFonts w:hint="eastAsia" w:ascii="Times New Roman"/>
          <w:b w:val="0"/>
          <w:bCs w:val="0"/>
          <w:color w:val="auto"/>
          <w:sz w:val="30"/>
          <w:szCs w:val="30"/>
          <w:highlight w:val="none"/>
          <w:lang w:val="en-US" w:eastAsia="zh-CN"/>
        </w:rPr>
        <w:t>流失</w:t>
      </w:r>
      <w:r>
        <w:rPr>
          <w:rFonts w:ascii="Times New Roman"/>
          <w:b w:val="0"/>
          <w:bCs w:val="0"/>
          <w:color w:val="auto"/>
          <w:sz w:val="30"/>
          <w:szCs w:val="30"/>
          <w:highlight w:val="none"/>
        </w:rPr>
        <w:t>重点预防区主要分布在沱江上游山区</w:t>
      </w:r>
      <w:r>
        <w:rPr>
          <w:rFonts w:hint="eastAsia" w:ascii="Times New Roman"/>
          <w:b w:val="0"/>
          <w:bCs w:val="0"/>
          <w:color w:val="auto"/>
          <w:sz w:val="30"/>
          <w:szCs w:val="30"/>
          <w:highlight w:val="none"/>
          <w:lang w:eastAsia="zh-CN"/>
        </w:rPr>
        <w:t>、</w:t>
      </w:r>
      <w:r>
        <w:rPr>
          <w:rFonts w:ascii="Times New Roman"/>
          <w:b w:val="0"/>
          <w:bCs w:val="0"/>
          <w:color w:val="auto"/>
          <w:sz w:val="30"/>
          <w:szCs w:val="30"/>
          <w:highlight w:val="none"/>
        </w:rPr>
        <w:t>成都平原区</w:t>
      </w:r>
      <w:r>
        <w:rPr>
          <w:rFonts w:hint="eastAsia" w:ascii="Times New Roman"/>
          <w:color w:val="auto"/>
          <w:sz w:val="30"/>
          <w:szCs w:val="30"/>
          <w:highlight w:val="none"/>
          <w:lang w:eastAsia="zh-CN"/>
        </w:rPr>
        <w:t>；</w:t>
      </w:r>
      <w:r>
        <w:rPr>
          <w:rFonts w:ascii="Times New Roman"/>
          <w:color w:val="auto"/>
          <w:sz w:val="30"/>
          <w:szCs w:val="30"/>
          <w:highlight w:val="none"/>
        </w:rPr>
        <w:t>重点治理区主要分布在沱江流域的盆地腹</w:t>
      </w:r>
      <w:r>
        <w:rPr>
          <w:rFonts w:hint="eastAsia" w:ascii="Times New Roman"/>
          <w:color w:val="auto"/>
          <w:sz w:val="30"/>
          <w:szCs w:val="30"/>
          <w:highlight w:val="none"/>
          <w:lang w:eastAsia="zh-CN"/>
        </w:rPr>
        <w:t>部</w:t>
      </w:r>
      <w:r>
        <w:rPr>
          <w:rFonts w:ascii="Times New Roman"/>
          <w:color w:val="auto"/>
          <w:sz w:val="30"/>
          <w:szCs w:val="30"/>
          <w:highlight w:val="none"/>
        </w:rPr>
        <w:t>区、川南山地区。</w:t>
      </w:r>
    </w:p>
    <w:p>
      <w:pPr>
        <w:pStyle w:val="713"/>
        <w:keepNext w:val="0"/>
        <w:keepLines w:val="0"/>
        <w:pageBreakBefore w:val="0"/>
        <w:widowControl w:val="0"/>
        <w:kinsoku/>
        <w:wordWrap/>
        <w:overflowPunct/>
        <w:topLinePunct w:val="0"/>
        <w:autoSpaceDE/>
        <w:autoSpaceDN/>
        <w:bidi w:val="0"/>
        <w:adjustRightInd/>
        <w:snapToGrid/>
        <w:spacing w:line="540" w:lineRule="exact"/>
        <w:ind w:left="0" w:firstLine="564" w:firstLineChars="200"/>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（一）重点预防区</w:t>
      </w:r>
    </w:p>
    <w:p>
      <w:pPr>
        <w:pStyle w:val="713"/>
        <w:keepNext w:val="0"/>
        <w:keepLines w:val="0"/>
        <w:pageBreakBefore w:val="0"/>
        <w:widowControl w:val="0"/>
        <w:kinsoku/>
        <w:wordWrap/>
        <w:overflowPunct/>
        <w:topLinePunct w:val="0"/>
        <w:autoSpaceDE/>
        <w:autoSpaceDN/>
        <w:bidi w:val="0"/>
        <w:adjustRightInd/>
        <w:snapToGrid/>
        <w:spacing w:line="540" w:lineRule="exact"/>
        <w:ind w:left="0" w:firstLine="564" w:firstLineChars="200"/>
        <w:textAlignment w:val="auto"/>
        <w:rPr>
          <w:rFonts w:ascii="Times New Roman"/>
          <w:color w:val="auto"/>
          <w:sz w:val="30"/>
          <w:szCs w:val="30"/>
          <w:highlight w:val="none"/>
        </w:rPr>
      </w:pPr>
      <w:r>
        <w:rPr>
          <w:rFonts w:ascii="Times New Roman"/>
          <w:color w:val="auto"/>
          <w:sz w:val="30"/>
          <w:szCs w:val="30"/>
          <w:highlight w:val="none"/>
        </w:rPr>
        <w:t>在流域内建立完善水土保持预防监督体系，</w:t>
      </w:r>
      <w:r>
        <w:rPr>
          <w:rFonts w:hint="eastAsia" w:ascii="Times New Roman"/>
          <w:color w:val="auto"/>
          <w:sz w:val="30"/>
          <w:szCs w:val="30"/>
          <w:highlight w:val="none"/>
          <w:lang w:val="en-US" w:eastAsia="zh-CN"/>
        </w:rPr>
        <w:t>着重提高</w:t>
      </w:r>
      <w:r>
        <w:rPr>
          <w:rFonts w:ascii="Times New Roman"/>
          <w:color w:val="auto"/>
          <w:sz w:val="30"/>
          <w:szCs w:val="30"/>
          <w:highlight w:val="none"/>
        </w:rPr>
        <w:t>重点水源涵养区的水源涵养能力，加强林草植被的建设与保护，注重封育治理及其配套措施建设。</w:t>
      </w:r>
    </w:p>
    <w:p>
      <w:pPr>
        <w:pStyle w:val="713"/>
        <w:keepNext w:val="0"/>
        <w:keepLines w:val="0"/>
        <w:pageBreakBefore w:val="0"/>
        <w:widowControl w:val="0"/>
        <w:kinsoku/>
        <w:wordWrap/>
        <w:overflowPunct/>
        <w:topLinePunct w:val="0"/>
        <w:autoSpaceDE/>
        <w:autoSpaceDN/>
        <w:bidi w:val="0"/>
        <w:adjustRightInd/>
        <w:snapToGrid/>
        <w:spacing w:line="540" w:lineRule="exact"/>
        <w:ind w:left="0" w:firstLine="564" w:firstLineChars="200"/>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（二）重点治理区</w:t>
      </w:r>
    </w:p>
    <w:p>
      <w:pPr>
        <w:pStyle w:val="713"/>
        <w:keepNext w:val="0"/>
        <w:keepLines w:val="0"/>
        <w:pageBreakBefore w:val="0"/>
        <w:widowControl w:val="0"/>
        <w:kinsoku/>
        <w:wordWrap/>
        <w:overflowPunct/>
        <w:topLinePunct w:val="0"/>
        <w:autoSpaceDE/>
        <w:autoSpaceDN/>
        <w:bidi w:val="0"/>
        <w:adjustRightInd/>
        <w:snapToGrid/>
        <w:spacing w:line="540" w:lineRule="exact"/>
        <w:ind w:left="0" w:firstLine="564" w:firstLineChars="200"/>
        <w:textAlignment w:val="auto"/>
        <w:rPr>
          <w:rFonts w:ascii="Times New Roman"/>
          <w:color w:val="auto"/>
          <w:sz w:val="30"/>
          <w:szCs w:val="30"/>
          <w:highlight w:val="none"/>
        </w:rPr>
      </w:pPr>
      <w:r>
        <w:rPr>
          <w:rFonts w:ascii="Times New Roman"/>
          <w:color w:val="auto"/>
          <w:sz w:val="30"/>
          <w:szCs w:val="30"/>
          <w:highlight w:val="none"/>
        </w:rPr>
        <w:t>针对多沙输沙区，以小流域为单元，重点配置坡面水系工程、坡耕地整治、林草措施、生态修复等治理措施。</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ascii="Times New Roman" w:hAnsi="Times New Roman"/>
          <w:color w:val="auto"/>
          <w:highlight w:val="none"/>
        </w:rPr>
      </w:pPr>
      <w:r>
        <w:rPr>
          <w:rStyle w:val="550"/>
          <w:rFonts w:hint="eastAsia" w:ascii="黑体" w:hAnsi="黑体" w:eastAsia="黑体" w:cs="黑体"/>
          <w:b w:val="0"/>
          <w:bCs/>
          <w:color w:val="auto"/>
          <w:highlight w:val="none"/>
        </w:rPr>
        <w:t>二、水土流失防治措施</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楷体_GB2312" w:hAnsi="楷体_GB2312" w:eastAsia="楷体_GB2312" w:cs="楷体_GB2312"/>
          <w:color w:val="auto"/>
          <w:sz w:val="30"/>
          <w:szCs w:val="30"/>
          <w:highlight w:val="none"/>
          <w:lang w:eastAsia="zh-CN"/>
        </w:rPr>
      </w:pPr>
      <w:r>
        <w:rPr>
          <w:rFonts w:hint="eastAsia" w:ascii="楷体_GB2312" w:hAnsi="楷体_GB2312" w:eastAsia="楷体_GB2312" w:cs="楷体_GB2312"/>
          <w:color w:val="auto"/>
          <w:sz w:val="30"/>
          <w:szCs w:val="30"/>
          <w:highlight w:val="none"/>
        </w:rPr>
        <w:t>（一）预防</w:t>
      </w:r>
      <w:r>
        <w:rPr>
          <w:rFonts w:hint="eastAsia" w:ascii="楷体_GB2312" w:hAnsi="楷体_GB2312" w:eastAsia="楷体_GB2312" w:cs="楷体_GB2312"/>
          <w:color w:val="auto"/>
          <w:sz w:val="30"/>
          <w:szCs w:val="30"/>
          <w:highlight w:val="none"/>
          <w:lang w:val="en-US" w:eastAsia="zh-CN"/>
        </w:rPr>
        <w:t>措施</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Times New Roman" w:eastAsia="仿宋_GB2312"/>
          <w:color w:val="auto"/>
          <w:sz w:val="30"/>
          <w:szCs w:val="30"/>
          <w:highlight w:val="none"/>
          <w:lang w:eastAsia="zh-CN"/>
        </w:rPr>
      </w:pPr>
      <w:r>
        <w:rPr>
          <w:rFonts w:ascii="Times New Roman"/>
          <w:color w:val="auto"/>
          <w:sz w:val="30"/>
          <w:szCs w:val="30"/>
          <w:highlight w:val="none"/>
        </w:rPr>
        <w:t>预防保护措施包括</w:t>
      </w:r>
      <w:r>
        <w:rPr>
          <w:rFonts w:hint="eastAsia" w:ascii="Times New Roman"/>
          <w:color w:val="auto"/>
          <w:sz w:val="30"/>
          <w:szCs w:val="30"/>
          <w:highlight w:val="none"/>
          <w:lang w:val="en-US" w:eastAsia="zh-CN"/>
        </w:rPr>
        <w:t>制定</w:t>
      </w:r>
      <w:r>
        <w:rPr>
          <w:rFonts w:ascii="Times New Roman"/>
          <w:color w:val="auto"/>
          <w:sz w:val="30"/>
          <w:szCs w:val="30"/>
          <w:highlight w:val="none"/>
        </w:rPr>
        <w:t>防止水土流失发生与发展的政策</w:t>
      </w:r>
      <w:r>
        <w:rPr>
          <w:rFonts w:hint="eastAsia" w:ascii="Times New Roman"/>
          <w:color w:val="auto"/>
          <w:sz w:val="30"/>
          <w:szCs w:val="30"/>
          <w:highlight w:val="none"/>
          <w:lang w:eastAsia="zh-CN"/>
        </w:rPr>
        <w:t>，</w:t>
      </w:r>
      <w:r>
        <w:rPr>
          <w:rFonts w:hint="eastAsia" w:ascii="Times New Roman"/>
          <w:color w:val="auto"/>
          <w:sz w:val="30"/>
          <w:szCs w:val="30"/>
          <w:highlight w:val="none"/>
          <w:lang w:val="en-US" w:eastAsia="zh-CN"/>
        </w:rPr>
        <w:t>强化</w:t>
      </w:r>
      <w:r>
        <w:rPr>
          <w:rFonts w:ascii="Times New Roman"/>
          <w:color w:val="auto"/>
          <w:sz w:val="30"/>
          <w:szCs w:val="30"/>
          <w:highlight w:val="none"/>
        </w:rPr>
        <w:t>宣传</w:t>
      </w:r>
      <w:r>
        <w:rPr>
          <w:rFonts w:hint="eastAsia" w:ascii="Times New Roman"/>
          <w:color w:val="auto"/>
          <w:sz w:val="30"/>
          <w:szCs w:val="30"/>
          <w:highlight w:val="none"/>
          <w:lang w:val="en-US" w:eastAsia="zh-CN"/>
        </w:rPr>
        <w:t>与</w:t>
      </w:r>
      <w:r>
        <w:rPr>
          <w:rFonts w:ascii="Times New Roman"/>
          <w:color w:val="auto"/>
          <w:sz w:val="30"/>
          <w:szCs w:val="30"/>
          <w:highlight w:val="none"/>
        </w:rPr>
        <w:t>监督等。根据水土保持区划，按不同类别预防范围，以乡（镇）为单元，各选择1个典型片区进行调查分析。尊重自然规律，对适宜地区实施封禁和生态修复，逐步提高土壤涵养水源和保持土壤的功能。对水土流失重点预防区</w:t>
      </w:r>
      <w:r>
        <w:rPr>
          <w:rFonts w:hint="eastAsia" w:ascii="Times New Roman"/>
          <w:color w:val="auto"/>
          <w:sz w:val="30"/>
          <w:szCs w:val="30"/>
          <w:highlight w:val="none"/>
          <w:lang w:val="en-US" w:eastAsia="zh-CN"/>
        </w:rPr>
        <w:t>采取</w:t>
      </w:r>
      <w:r>
        <w:rPr>
          <w:rFonts w:ascii="Times New Roman"/>
          <w:color w:val="auto"/>
          <w:sz w:val="30"/>
          <w:szCs w:val="30"/>
          <w:highlight w:val="none"/>
        </w:rPr>
        <w:t>生态修复</w:t>
      </w:r>
      <w:r>
        <w:rPr>
          <w:rFonts w:hint="eastAsia" w:ascii="Times New Roman"/>
          <w:color w:val="auto"/>
          <w:sz w:val="30"/>
          <w:szCs w:val="30"/>
          <w:highlight w:val="none"/>
          <w:lang w:val="en-US" w:eastAsia="zh-CN"/>
        </w:rPr>
        <w:t>为主的</w:t>
      </w:r>
      <w:r>
        <w:rPr>
          <w:rFonts w:ascii="Times New Roman"/>
          <w:color w:val="auto"/>
          <w:sz w:val="30"/>
          <w:szCs w:val="30"/>
          <w:highlight w:val="none"/>
        </w:rPr>
        <w:t>措施，</w:t>
      </w:r>
      <w:r>
        <w:rPr>
          <w:rFonts w:hint="eastAsia" w:ascii="Times New Roman"/>
          <w:color w:val="auto"/>
          <w:sz w:val="30"/>
          <w:szCs w:val="30"/>
          <w:highlight w:val="none"/>
          <w:lang w:val="en-US" w:eastAsia="zh-CN"/>
        </w:rPr>
        <w:t>进一步完善监督</w:t>
      </w:r>
      <w:r>
        <w:rPr>
          <w:rFonts w:ascii="Times New Roman"/>
          <w:color w:val="auto"/>
          <w:sz w:val="30"/>
          <w:szCs w:val="30"/>
          <w:highlight w:val="none"/>
        </w:rPr>
        <w:t>管理</w:t>
      </w:r>
      <w:r>
        <w:rPr>
          <w:rFonts w:hint="eastAsia" w:ascii="Times New Roman"/>
          <w:color w:val="auto"/>
          <w:sz w:val="30"/>
          <w:szCs w:val="30"/>
          <w:highlight w:val="none"/>
          <w:lang w:val="en-US" w:eastAsia="zh-CN"/>
        </w:rPr>
        <w:t>机制体制</w:t>
      </w:r>
      <w:r>
        <w:rPr>
          <w:rFonts w:hint="eastAsia" w:ascii="Times New Roman"/>
          <w:color w:val="auto"/>
          <w:sz w:val="30"/>
          <w:szCs w:val="30"/>
          <w:highlight w:val="none"/>
          <w:lang w:eastAsia="zh-CN"/>
        </w:rPr>
        <w:t>。</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ascii="楷体_GB2312" w:hAnsi="楷体_GB2312" w:eastAsia="楷体_GB2312" w:cs="楷体_GB2312"/>
          <w:color w:val="auto"/>
          <w:sz w:val="30"/>
          <w:szCs w:val="30"/>
          <w:highlight w:val="none"/>
          <w:lang w:eastAsia="zh-CN"/>
        </w:rPr>
      </w:pPr>
      <w:bookmarkStart w:id="90" w:name="_Toc448747880"/>
      <w:r>
        <w:rPr>
          <w:rFonts w:hint="eastAsia" w:ascii="楷体_GB2312" w:hAnsi="楷体_GB2312" w:eastAsia="楷体_GB2312" w:cs="楷体_GB2312"/>
          <w:color w:val="auto"/>
          <w:sz w:val="30"/>
          <w:szCs w:val="30"/>
          <w:highlight w:val="none"/>
        </w:rPr>
        <w:t>（二）治理</w:t>
      </w:r>
      <w:bookmarkEnd w:id="90"/>
      <w:r>
        <w:rPr>
          <w:rFonts w:hint="eastAsia" w:ascii="楷体_GB2312" w:hAnsi="楷体_GB2312" w:eastAsia="楷体_GB2312" w:cs="楷体_GB2312"/>
          <w:color w:val="auto"/>
          <w:sz w:val="30"/>
          <w:szCs w:val="30"/>
          <w:highlight w:val="none"/>
          <w:lang w:val="en-US" w:eastAsia="zh-CN"/>
        </w:rPr>
        <w:t>措施</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根据沱江流域水土流失现状及分布特点、土地利用现状及土地适宜性评价，</w:t>
      </w:r>
      <w:r>
        <w:rPr>
          <w:rFonts w:hint="eastAsia" w:ascii="Times New Roman"/>
          <w:color w:val="auto"/>
          <w:sz w:val="30"/>
          <w:szCs w:val="30"/>
          <w:highlight w:val="none"/>
          <w:lang w:val="en-US" w:eastAsia="zh-CN"/>
        </w:rPr>
        <w:t>以小流域为单元，采取</w:t>
      </w:r>
      <w:r>
        <w:rPr>
          <w:rFonts w:ascii="Times New Roman"/>
          <w:color w:val="auto"/>
          <w:sz w:val="30"/>
          <w:szCs w:val="30"/>
          <w:highlight w:val="none"/>
        </w:rPr>
        <w:t>坡耕地整治措施（坡改梯、保土耕作）、林草措施（营造水土保持林、建设经果林、水蚀坡林地整治）、生态修复措施（封禁治理）、小型水利水保工程、清洁小流域</w:t>
      </w:r>
      <w:r>
        <w:rPr>
          <w:rFonts w:hint="eastAsia" w:ascii="Times New Roman"/>
          <w:color w:val="auto"/>
          <w:sz w:val="30"/>
          <w:szCs w:val="30"/>
          <w:highlight w:val="none"/>
          <w:lang w:val="en-US" w:eastAsia="zh-CN"/>
        </w:rPr>
        <w:t>建设</w:t>
      </w:r>
      <w:r>
        <w:rPr>
          <w:rFonts w:ascii="Times New Roman"/>
          <w:color w:val="auto"/>
          <w:sz w:val="30"/>
          <w:szCs w:val="30"/>
          <w:highlight w:val="none"/>
        </w:rPr>
        <w:t>等。</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楷体_GB2312" w:hAnsi="楷体_GB2312" w:eastAsia="楷体_GB2312" w:cs="楷体_GB2312"/>
          <w:color w:val="auto"/>
          <w:sz w:val="30"/>
          <w:szCs w:val="30"/>
          <w:highlight w:val="none"/>
          <w:lang w:eastAsia="zh-CN"/>
        </w:rPr>
      </w:pPr>
      <w:bookmarkStart w:id="91" w:name="_Toc448747881"/>
      <w:r>
        <w:rPr>
          <w:rFonts w:hint="eastAsia" w:ascii="楷体_GB2312" w:hAnsi="楷体_GB2312" w:eastAsia="楷体_GB2312" w:cs="楷体_GB2312"/>
          <w:color w:val="auto"/>
          <w:sz w:val="30"/>
          <w:szCs w:val="30"/>
          <w:highlight w:val="none"/>
        </w:rPr>
        <w:t>（三）监测</w:t>
      </w:r>
      <w:bookmarkEnd w:id="91"/>
      <w:r>
        <w:rPr>
          <w:rFonts w:hint="eastAsia" w:ascii="楷体_GB2312" w:hAnsi="楷体_GB2312" w:eastAsia="楷体_GB2312" w:cs="楷体_GB2312"/>
          <w:color w:val="auto"/>
          <w:sz w:val="30"/>
          <w:szCs w:val="30"/>
          <w:highlight w:val="none"/>
          <w:lang w:val="en-US" w:eastAsia="zh-CN"/>
        </w:rPr>
        <w:t>措施</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Times New Roman" w:eastAsia="仿宋_GB2312"/>
          <w:color w:val="auto"/>
          <w:sz w:val="30"/>
          <w:szCs w:val="30"/>
          <w:highlight w:val="none"/>
          <w:lang w:val="en-US" w:eastAsia="zh-CN"/>
        </w:rPr>
      </w:pPr>
      <w:r>
        <w:rPr>
          <w:rFonts w:hint="eastAsia" w:ascii="Times New Roman"/>
          <w:color w:val="auto"/>
          <w:sz w:val="30"/>
          <w:szCs w:val="30"/>
          <w:highlight w:val="none"/>
          <w:lang w:val="en-US" w:eastAsia="zh-CN"/>
        </w:rPr>
        <w:t>根据</w:t>
      </w:r>
      <w:r>
        <w:rPr>
          <w:rFonts w:ascii="Times New Roman"/>
          <w:color w:val="auto"/>
          <w:sz w:val="30"/>
          <w:szCs w:val="30"/>
          <w:highlight w:val="none"/>
        </w:rPr>
        <w:t>国家水土保持监测站网布设</w:t>
      </w:r>
      <w:r>
        <w:rPr>
          <w:rFonts w:hint="eastAsia" w:ascii="Times New Roman"/>
          <w:color w:val="auto"/>
          <w:sz w:val="30"/>
          <w:szCs w:val="30"/>
          <w:highlight w:val="none"/>
          <w:lang w:eastAsia="zh-CN"/>
        </w:rPr>
        <w:t>，</w:t>
      </w:r>
      <w:r>
        <w:rPr>
          <w:rFonts w:ascii="Times New Roman"/>
          <w:color w:val="auto"/>
          <w:sz w:val="30"/>
          <w:szCs w:val="30"/>
          <w:highlight w:val="none"/>
        </w:rPr>
        <w:t>水土流失监测结合防洪减灾的需求</w:t>
      </w:r>
      <w:r>
        <w:rPr>
          <w:rFonts w:hint="eastAsia" w:ascii="Times New Roman"/>
          <w:color w:val="auto"/>
          <w:sz w:val="30"/>
          <w:szCs w:val="30"/>
          <w:highlight w:val="none"/>
          <w:lang w:eastAsia="zh-CN"/>
        </w:rPr>
        <w:t>，</w:t>
      </w:r>
      <w:r>
        <w:rPr>
          <w:rFonts w:ascii="Times New Roman"/>
          <w:color w:val="auto"/>
          <w:sz w:val="30"/>
          <w:szCs w:val="30"/>
          <w:highlight w:val="none"/>
        </w:rPr>
        <w:t>提出监测目标、任务、站点布设等</w:t>
      </w:r>
      <w:bookmarkStart w:id="92" w:name="_Toc448747882"/>
      <w:r>
        <w:rPr>
          <w:rFonts w:hint="eastAsia" w:ascii="Times New Roman"/>
          <w:color w:val="auto"/>
          <w:sz w:val="30"/>
          <w:szCs w:val="30"/>
          <w:highlight w:val="none"/>
          <w:lang w:eastAsia="zh-CN"/>
        </w:rPr>
        <w:t>。</w:t>
      </w:r>
      <w:r>
        <w:rPr>
          <w:rFonts w:hint="eastAsia" w:ascii="Times New Roman"/>
          <w:color w:val="auto"/>
          <w:sz w:val="30"/>
          <w:szCs w:val="30"/>
          <w:highlight w:val="none"/>
          <w:lang w:val="en-US" w:eastAsia="zh-CN"/>
        </w:rPr>
        <w:t>采用</w:t>
      </w:r>
      <w:r>
        <w:rPr>
          <w:rFonts w:ascii="Times New Roman"/>
          <w:color w:val="auto"/>
          <w:sz w:val="30"/>
          <w:szCs w:val="30"/>
          <w:highlight w:val="none"/>
        </w:rPr>
        <w:t>收集资料和抽样调查监测、地面监测、遥感监测</w:t>
      </w:r>
      <w:r>
        <w:rPr>
          <w:rFonts w:hint="eastAsia" w:ascii="Times New Roman"/>
          <w:color w:val="auto"/>
          <w:sz w:val="30"/>
          <w:szCs w:val="30"/>
          <w:highlight w:val="none"/>
          <w:lang w:val="en-US" w:eastAsia="zh-CN"/>
        </w:rPr>
        <w:t>等方法，监测不同侵蚀类型、</w:t>
      </w:r>
      <w:r>
        <w:rPr>
          <w:rFonts w:ascii="Times New Roman"/>
          <w:color w:val="auto"/>
          <w:sz w:val="30"/>
          <w:szCs w:val="30"/>
          <w:highlight w:val="none"/>
        </w:rPr>
        <w:t>水土流失危害</w:t>
      </w:r>
      <w:r>
        <w:rPr>
          <w:rFonts w:hint="eastAsia" w:ascii="Times New Roman"/>
          <w:color w:val="auto"/>
          <w:sz w:val="30"/>
          <w:szCs w:val="30"/>
          <w:highlight w:val="none"/>
          <w:lang w:eastAsia="zh-CN"/>
        </w:rPr>
        <w:t>、</w:t>
      </w:r>
      <w:r>
        <w:rPr>
          <w:rFonts w:ascii="Times New Roman"/>
          <w:color w:val="auto"/>
          <w:sz w:val="30"/>
          <w:szCs w:val="30"/>
          <w:highlight w:val="none"/>
        </w:rPr>
        <w:t>水土保持措施</w:t>
      </w:r>
      <w:r>
        <w:rPr>
          <w:rFonts w:hint="eastAsia" w:ascii="Times New Roman"/>
          <w:color w:val="auto"/>
          <w:sz w:val="30"/>
          <w:szCs w:val="30"/>
          <w:highlight w:val="none"/>
          <w:lang w:eastAsia="zh-CN"/>
        </w:rPr>
        <w:t>。</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hint="eastAsia" w:ascii="楷体_GB2312" w:hAnsi="楷体_GB2312" w:eastAsia="楷体_GB2312" w:cs="楷体_GB2312"/>
          <w:color w:val="auto"/>
          <w:sz w:val="30"/>
          <w:szCs w:val="30"/>
          <w:highlight w:val="none"/>
          <w:lang w:eastAsia="zh-CN"/>
        </w:rPr>
      </w:pPr>
      <w:r>
        <w:rPr>
          <w:rFonts w:hint="eastAsia" w:ascii="楷体_GB2312" w:hAnsi="楷体_GB2312" w:eastAsia="楷体_GB2312" w:cs="楷体_GB2312"/>
          <w:color w:val="auto"/>
          <w:sz w:val="30"/>
          <w:szCs w:val="30"/>
          <w:highlight w:val="none"/>
        </w:rPr>
        <w:t>（四）监管</w:t>
      </w:r>
      <w:bookmarkEnd w:id="92"/>
      <w:r>
        <w:rPr>
          <w:rFonts w:hint="eastAsia" w:ascii="楷体_GB2312" w:hAnsi="楷体_GB2312" w:eastAsia="楷体_GB2312" w:cs="楷体_GB2312"/>
          <w:color w:val="auto"/>
          <w:sz w:val="30"/>
          <w:szCs w:val="30"/>
          <w:highlight w:val="none"/>
          <w:lang w:val="en-US" w:eastAsia="zh-CN"/>
        </w:rPr>
        <w:t>措施</w:t>
      </w:r>
    </w:p>
    <w:p>
      <w:pPr>
        <w:pStyle w:val="713"/>
        <w:keepNext w:val="0"/>
        <w:keepLines w:val="0"/>
        <w:pageBreakBefore w:val="0"/>
        <w:widowControl w:val="0"/>
        <w:kinsoku/>
        <w:wordWrap/>
        <w:overflowPunct/>
        <w:topLinePunct w:val="0"/>
        <w:autoSpaceDE/>
        <w:autoSpaceDN/>
        <w:bidi w:val="0"/>
        <w:adjustRightInd/>
        <w:snapToGrid/>
        <w:spacing w:line="540" w:lineRule="exact"/>
        <w:ind w:firstLine="564" w:firstLineChars="200"/>
        <w:textAlignment w:val="auto"/>
        <w:rPr>
          <w:rFonts w:hint="default" w:ascii="Times New Roman" w:eastAsia="仿宋_GB2312"/>
          <w:color w:val="auto"/>
          <w:sz w:val="30"/>
          <w:szCs w:val="30"/>
          <w:highlight w:val="none"/>
          <w:lang w:val="en-US" w:eastAsia="zh-CN"/>
        </w:rPr>
      </w:pPr>
      <w:r>
        <w:rPr>
          <w:rFonts w:ascii="Times New Roman"/>
          <w:color w:val="auto"/>
          <w:sz w:val="30"/>
          <w:szCs w:val="30"/>
          <w:highlight w:val="none"/>
        </w:rPr>
        <w:t>针对</w:t>
      </w:r>
      <w:r>
        <w:rPr>
          <w:rFonts w:hint="eastAsia" w:ascii="Times New Roman"/>
          <w:color w:val="auto"/>
          <w:sz w:val="30"/>
          <w:szCs w:val="30"/>
          <w:highlight w:val="none"/>
          <w:lang w:val="en-US" w:eastAsia="zh-CN"/>
        </w:rPr>
        <w:t>沱江流域</w:t>
      </w:r>
      <w:r>
        <w:rPr>
          <w:rFonts w:ascii="Times New Roman"/>
          <w:color w:val="auto"/>
          <w:sz w:val="30"/>
          <w:szCs w:val="30"/>
          <w:highlight w:val="none"/>
        </w:rPr>
        <w:t>山洪灾害易发区及泥石流危险区、重要水源涵养区，</w:t>
      </w:r>
      <w:r>
        <w:rPr>
          <w:rFonts w:hint="eastAsia" w:ascii="Times New Roman"/>
          <w:color w:val="auto"/>
          <w:sz w:val="30"/>
          <w:szCs w:val="30"/>
          <w:highlight w:val="none"/>
          <w:lang w:val="en-US" w:eastAsia="zh-CN"/>
        </w:rPr>
        <w:t>健全</w:t>
      </w:r>
      <w:r>
        <w:rPr>
          <w:rFonts w:ascii="Times New Roman"/>
          <w:color w:val="auto"/>
          <w:sz w:val="30"/>
          <w:szCs w:val="30"/>
          <w:highlight w:val="none"/>
        </w:rPr>
        <w:t>落实监管制度</w:t>
      </w:r>
      <w:r>
        <w:rPr>
          <w:rFonts w:hint="eastAsia" w:ascii="Times New Roman"/>
          <w:color w:val="auto"/>
          <w:sz w:val="30"/>
          <w:szCs w:val="30"/>
          <w:highlight w:val="none"/>
          <w:lang w:eastAsia="zh-CN"/>
        </w:rPr>
        <w:t>，</w:t>
      </w:r>
      <w:r>
        <w:rPr>
          <w:rFonts w:ascii="Times New Roman"/>
          <w:color w:val="auto"/>
          <w:sz w:val="30"/>
          <w:szCs w:val="30"/>
          <w:highlight w:val="none"/>
        </w:rPr>
        <w:t>提出监</w:t>
      </w:r>
      <w:r>
        <w:rPr>
          <w:rFonts w:hint="eastAsia" w:ascii="Times New Roman"/>
          <w:color w:val="auto"/>
          <w:sz w:val="30"/>
          <w:szCs w:val="30"/>
          <w:highlight w:val="none"/>
          <w:lang w:val="en-US" w:eastAsia="zh-CN"/>
        </w:rPr>
        <w:t>管</w:t>
      </w:r>
      <w:r>
        <w:rPr>
          <w:rFonts w:ascii="Times New Roman"/>
          <w:color w:val="auto"/>
          <w:sz w:val="30"/>
          <w:szCs w:val="30"/>
          <w:highlight w:val="none"/>
        </w:rPr>
        <w:t>目标任务，</w:t>
      </w:r>
      <w:r>
        <w:rPr>
          <w:rFonts w:hint="eastAsia" w:ascii="Times New Roman"/>
          <w:color w:val="auto"/>
          <w:sz w:val="30"/>
          <w:szCs w:val="30"/>
          <w:highlight w:val="none"/>
          <w:lang w:val="en-US" w:eastAsia="zh-CN"/>
        </w:rPr>
        <w:t>强化</w:t>
      </w:r>
      <w:r>
        <w:rPr>
          <w:rFonts w:ascii="Times New Roman"/>
          <w:color w:val="auto"/>
          <w:sz w:val="30"/>
          <w:szCs w:val="30"/>
          <w:highlight w:val="none"/>
        </w:rPr>
        <w:t>生产建设项目水土保持监督管理</w:t>
      </w:r>
      <w:r>
        <w:rPr>
          <w:rFonts w:hint="eastAsia" w:ascii="Times New Roman"/>
          <w:color w:val="auto"/>
          <w:sz w:val="30"/>
          <w:szCs w:val="30"/>
          <w:highlight w:val="none"/>
          <w:lang w:eastAsia="zh-CN"/>
        </w:rPr>
        <w:t>，</w:t>
      </w:r>
      <w:r>
        <w:rPr>
          <w:rFonts w:ascii="Times New Roman"/>
          <w:color w:val="auto"/>
          <w:sz w:val="30"/>
          <w:szCs w:val="30"/>
          <w:highlight w:val="none"/>
        </w:rPr>
        <w:t>注重科技支撑</w:t>
      </w:r>
      <w:r>
        <w:rPr>
          <w:rFonts w:hint="eastAsia" w:ascii="Times New Roman"/>
          <w:color w:val="auto"/>
          <w:sz w:val="30"/>
          <w:szCs w:val="30"/>
          <w:highlight w:val="none"/>
          <w:lang w:val="en-US" w:eastAsia="zh-CN"/>
        </w:rPr>
        <w:t>，加强管理</w:t>
      </w:r>
      <w:r>
        <w:rPr>
          <w:rFonts w:ascii="Times New Roman"/>
          <w:color w:val="auto"/>
          <w:sz w:val="30"/>
          <w:szCs w:val="30"/>
          <w:highlight w:val="none"/>
        </w:rPr>
        <w:t>能力建设</w:t>
      </w:r>
      <w:r>
        <w:rPr>
          <w:rFonts w:hint="eastAsia" w:ascii="Times New Roman"/>
          <w:color w:val="auto"/>
          <w:sz w:val="30"/>
          <w:szCs w:val="30"/>
          <w:highlight w:val="none"/>
          <w:lang w:val="en-US" w:eastAsia="zh-CN"/>
        </w:rPr>
        <w:t>。</w:t>
      </w:r>
    </w:p>
    <w:p>
      <w:pPr>
        <w:pStyle w:val="154"/>
        <w:ind w:firstLine="578"/>
        <w:rPr>
          <w:color w:val="auto"/>
          <w:sz w:val="30"/>
          <w:szCs w:val="30"/>
          <w:highlight w:val="none"/>
        </w:rPr>
      </w:pPr>
    </w:p>
    <w:p>
      <w:pPr>
        <w:rPr>
          <w:color w:val="auto"/>
          <w:sz w:val="30"/>
          <w:szCs w:val="30"/>
          <w:highlight w:val="none"/>
          <w:lang w:val="zh-CN"/>
        </w:rPr>
      </w:pPr>
    </w:p>
    <w:p>
      <w:pPr>
        <w:pStyle w:val="3"/>
        <w:rPr>
          <w:color w:val="auto"/>
          <w:sz w:val="30"/>
          <w:szCs w:val="30"/>
          <w:highlight w:val="none"/>
        </w:rPr>
        <w:sectPr>
          <w:pgSz w:w="11906" w:h="16838"/>
          <w:pgMar w:top="1134" w:right="1418" w:bottom="1134" w:left="1418" w:header="851" w:footer="992" w:gutter="0"/>
          <w:pgBorders>
            <w:top w:val="none" w:sz="0" w:space="0"/>
            <w:left w:val="none" w:sz="0" w:space="0"/>
            <w:bottom w:val="none" w:sz="0" w:space="0"/>
            <w:right w:val="none" w:sz="0" w:space="0"/>
          </w:pgBorders>
          <w:pgNumType w:fmt="decimal"/>
          <w:cols w:space="720" w:num="1"/>
          <w:docGrid w:type="linesAndChars" w:linePitch="326" w:charSpace="-3871"/>
        </w:sectPr>
      </w:pPr>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bookmarkStart w:id="93" w:name="_Toc124757349"/>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第七章  工程措施规划</w:t>
      </w:r>
      <w:bookmarkEnd w:id="93"/>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94" w:name="_Toc124757350"/>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防洪水库工程</w:t>
      </w:r>
      <w:bookmarkEnd w:id="94"/>
    </w:p>
    <w:p>
      <w:pPr>
        <w:pStyle w:val="156"/>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根据各水库的建设条件、控制作用、经济指标进行综合比较分析，对已规划及</w:t>
      </w:r>
      <w:r>
        <w:rPr>
          <w:rFonts w:hint="eastAsia"/>
          <w:color w:val="auto"/>
          <w:spacing w:val="4"/>
          <w:sz w:val="30"/>
          <w:szCs w:val="30"/>
          <w:highlight w:val="none"/>
          <w:lang w:val="en-US" w:eastAsia="zh-CN"/>
        </w:rPr>
        <w:t>拟规划</w:t>
      </w:r>
      <w:r>
        <w:rPr>
          <w:color w:val="auto"/>
          <w:spacing w:val="4"/>
          <w:sz w:val="30"/>
          <w:szCs w:val="30"/>
          <w:highlight w:val="none"/>
        </w:rPr>
        <w:t>水库进行逐一筛选，选择各河流合理的水库工程布局</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近期</w:t>
      </w:r>
      <w:r>
        <w:rPr>
          <w:color w:val="auto"/>
          <w:spacing w:val="4"/>
          <w:sz w:val="30"/>
          <w:szCs w:val="30"/>
          <w:highlight w:val="none"/>
        </w:rPr>
        <w:t>在沱江干支流上新建高景关水库、金花寺水库、东林寺水库、</w:t>
      </w:r>
      <w:r>
        <w:rPr>
          <w:color w:val="auto"/>
          <w:sz w:val="30"/>
          <w:szCs w:val="30"/>
          <w:highlight w:val="none"/>
        </w:rPr>
        <w:t>毗河分蓄洪工程</w:t>
      </w:r>
      <w:r>
        <w:rPr>
          <w:color w:val="auto"/>
          <w:spacing w:val="4"/>
          <w:sz w:val="30"/>
          <w:szCs w:val="30"/>
          <w:highlight w:val="none"/>
        </w:rPr>
        <w:t>，远景新建清平水库、中河蓄滞洪工程、钟家湾水库和麻柳湾</w:t>
      </w:r>
      <w:r>
        <w:rPr>
          <w:rFonts w:hint="eastAsia"/>
          <w:color w:val="auto"/>
          <w:spacing w:val="4"/>
          <w:sz w:val="30"/>
          <w:szCs w:val="30"/>
          <w:highlight w:val="none"/>
        </w:rPr>
        <w:t>分蓄洪工程</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初拟</w:t>
      </w:r>
      <w:r>
        <w:rPr>
          <w:color w:val="auto"/>
          <w:spacing w:val="4"/>
          <w:sz w:val="30"/>
          <w:szCs w:val="30"/>
          <w:highlight w:val="none"/>
        </w:rPr>
        <w:t>水库总库容6</w:t>
      </w:r>
      <w:r>
        <w:rPr>
          <w:rFonts w:hint="eastAsia"/>
          <w:color w:val="auto"/>
          <w:spacing w:val="4"/>
          <w:sz w:val="30"/>
          <w:szCs w:val="30"/>
          <w:highlight w:val="none"/>
          <w:lang w:val="en-US" w:eastAsia="zh-CN"/>
        </w:rPr>
        <w:t>.8亿</w:t>
      </w:r>
      <w:r>
        <w:rPr>
          <w:color w:val="auto"/>
          <w:spacing w:val="4"/>
          <w:sz w:val="30"/>
          <w:szCs w:val="30"/>
          <w:highlight w:val="none"/>
        </w:rPr>
        <w:t>m</w:t>
      </w:r>
      <w:r>
        <w:rPr>
          <w:color w:val="auto"/>
          <w:spacing w:val="4"/>
          <w:sz w:val="30"/>
          <w:szCs w:val="30"/>
          <w:highlight w:val="none"/>
          <w:vertAlign w:val="superscript"/>
        </w:rPr>
        <w:t>3</w:t>
      </w:r>
      <w:r>
        <w:rPr>
          <w:color w:val="auto"/>
          <w:spacing w:val="4"/>
          <w:sz w:val="30"/>
          <w:szCs w:val="30"/>
          <w:highlight w:val="none"/>
        </w:rPr>
        <w:t>，防洪库容为2</w:t>
      </w:r>
      <w:r>
        <w:rPr>
          <w:rFonts w:hint="eastAsia"/>
          <w:color w:val="auto"/>
          <w:spacing w:val="4"/>
          <w:sz w:val="30"/>
          <w:szCs w:val="30"/>
          <w:highlight w:val="none"/>
          <w:lang w:val="en-US" w:eastAsia="zh-CN"/>
        </w:rPr>
        <w:t>.1亿</w:t>
      </w:r>
      <w:r>
        <w:rPr>
          <w:color w:val="auto"/>
          <w:spacing w:val="4"/>
          <w:sz w:val="30"/>
          <w:szCs w:val="30"/>
          <w:highlight w:val="none"/>
        </w:rPr>
        <w:t>m</w:t>
      </w:r>
      <w:r>
        <w:rPr>
          <w:color w:val="auto"/>
          <w:spacing w:val="4"/>
          <w:sz w:val="30"/>
          <w:szCs w:val="30"/>
          <w:highlight w:val="none"/>
          <w:vertAlign w:val="superscript"/>
        </w:rPr>
        <w:t>3</w:t>
      </w:r>
      <w:r>
        <w:rPr>
          <w:color w:val="auto"/>
          <w:spacing w:val="4"/>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一、高景关水库与金花寺水库</w:t>
      </w:r>
    </w:p>
    <w:p>
      <w:pPr>
        <w:pStyle w:val="156"/>
        <w:keepNext w:val="0"/>
        <w:keepLines w:val="0"/>
        <w:pageBreakBefore w:val="0"/>
        <w:widowControl w:val="0"/>
        <w:kinsoku/>
        <w:wordWrap/>
        <w:overflowPunct/>
        <w:topLinePunct w:val="0"/>
        <w:autoSpaceDE/>
        <w:autoSpaceDN/>
        <w:bidi w:val="0"/>
        <w:adjustRightInd/>
        <w:snapToGrid/>
        <w:spacing w:line="540" w:lineRule="exact"/>
        <w:ind w:firstLine="626"/>
        <w:textAlignment w:val="auto"/>
        <w:rPr>
          <w:color w:val="auto"/>
          <w:spacing w:val="4"/>
          <w:sz w:val="30"/>
          <w:szCs w:val="30"/>
          <w:highlight w:val="none"/>
        </w:rPr>
      </w:pPr>
      <w:r>
        <w:rPr>
          <w:color w:val="auto"/>
          <w:spacing w:val="4"/>
          <w:sz w:val="30"/>
          <w:szCs w:val="30"/>
          <w:highlight w:val="none"/>
        </w:rPr>
        <w:t>高景关与金花寺水库</w:t>
      </w:r>
      <w:r>
        <w:rPr>
          <w:rFonts w:hint="eastAsia"/>
          <w:color w:val="auto"/>
          <w:spacing w:val="4"/>
          <w:sz w:val="30"/>
          <w:szCs w:val="30"/>
          <w:highlight w:val="none"/>
          <w:lang w:val="en-US" w:eastAsia="zh-CN"/>
        </w:rPr>
        <w:t>为</w:t>
      </w:r>
      <w:r>
        <w:rPr>
          <w:color w:val="auto"/>
          <w:spacing w:val="4"/>
          <w:sz w:val="30"/>
          <w:szCs w:val="30"/>
          <w:highlight w:val="none"/>
        </w:rPr>
        <w:t>梯级水库</w:t>
      </w:r>
      <w:r>
        <w:rPr>
          <w:rFonts w:hint="eastAsia"/>
          <w:color w:val="auto"/>
          <w:spacing w:val="4"/>
          <w:sz w:val="30"/>
          <w:szCs w:val="30"/>
          <w:highlight w:val="none"/>
          <w:lang w:eastAsia="zh-CN"/>
        </w:rPr>
        <w:t>，</w:t>
      </w:r>
      <w:r>
        <w:rPr>
          <w:color w:val="auto"/>
          <w:spacing w:val="4"/>
          <w:sz w:val="30"/>
          <w:szCs w:val="30"/>
          <w:highlight w:val="none"/>
        </w:rPr>
        <w:t>位于德阳市石亭江上游，工程开发任务为防洪、城市供水、生态供水、农业灌溉等综合利用。两座水库</w:t>
      </w:r>
      <w:r>
        <w:rPr>
          <w:rFonts w:hint="eastAsia"/>
          <w:color w:val="auto"/>
          <w:spacing w:val="4"/>
          <w:sz w:val="30"/>
          <w:szCs w:val="30"/>
          <w:highlight w:val="none"/>
          <w:lang w:val="en-US" w:eastAsia="zh-CN"/>
        </w:rPr>
        <w:t>初拟</w:t>
      </w:r>
      <w:r>
        <w:rPr>
          <w:color w:val="auto"/>
          <w:spacing w:val="4"/>
          <w:sz w:val="30"/>
          <w:szCs w:val="30"/>
          <w:highlight w:val="none"/>
        </w:rPr>
        <w:t>总库容约8311万m</w:t>
      </w:r>
      <w:r>
        <w:rPr>
          <w:color w:val="auto"/>
          <w:spacing w:val="4"/>
          <w:sz w:val="30"/>
          <w:szCs w:val="30"/>
          <w:highlight w:val="none"/>
          <w:vertAlign w:val="superscript"/>
        </w:rPr>
        <w:t>3</w:t>
      </w:r>
      <w:r>
        <w:rPr>
          <w:color w:val="auto"/>
          <w:spacing w:val="4"/>
          <w:sz w:val="30"/>
          <w:szCs w:val="30"/>
          <w:highlight w:val="none"/>
        </w:rPr>
        <w:t>，防洪库容2931万m</w:t>
      </w:r>
      <w:r>
        <w:rPr>
          <w:color w:val="auto"/>
          <w:spacing w:val="4"/>
          <w:sz w:val="30"/>
          <w:szCs w:val="30"/>
          <w:highlight w:val="none"/>
          <w:vertAlign w:val="superscript"/>
        </w:rPr>
        <w:t>3</w:t>
      </w:r>
      <w:r>
        <w:rPr>
          <w:color w:val="auto"/>
          <w:spacing w:val="4"/>
          <w:sz w:val="30"/>
          <w:szCs w:val="30"/>
          <w:highlight w:val="none"/>
        </w:rPr>
        <w:t>，兴利库容约5705万m</w:t>
      </w:r>
      <w:r>
        <w:rPr>
          <w:color w:val="auto"/>
          <w:spacing w:val="4"/>
          <w:sz w:val="30"/>
          <w:szCs w:val="30"/>
          <w:highlight w:val="none"/>
          <w:vertAlign w:val="superscript"/>
        </w:rPr>
        <w:t>3</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金花寺水库坝址位于石亭江什邡市蓥华镇</w:t>
      </w:r>
      <w:r>
        <w:rPr>
          <w:rFonts w:hint="eastAsia"/>
          <w:color w:val="auto"/>
          <w:spacing w:val="4"/>
          <w:sz w:val="30"/>
          <w:szCs w:val="30"/>
          <w:highlight w:val="none"/>
          <w:lang w:val="en-US" w:eastAsia="zh-CN"/>
        </w:rPr>
        <w:t>境内</w:t>
      </w:r>
      <w:r>
        <w:rPr>
          <w:color w:val="auto"/>
          <w:spacing w:val="4"/>
          <w:sz w:val="30"/>
          <w:szCs w:val="30"/>
          <w:highlight w:val="none"/>
        </w:rPr>
        <w:t>，坝址以上</w:t>
      </w:r>
      <w:r>
        <w:rPr>
          <w:rFonts w:hint="eastAsia"/>
          <w:color w:val="auto"/>
          <w:spacing w:val="4"/>
          <w:sz w:val="30"/>
          <w:szCs w:val="30"/>
          <w:highlight w:val="none"/>
          <w:lang w:val="en-US" w:eastAsia="zh-CN"/>
        </w:rPr>
        <w:t>集雨</w:t>
      </w:r>
      <w:r>
        <w:rPr>
          <w:color w:val="auto"/>
          <w:spacing w:val="4"/>
          <w:sz w:val="30"/>
          <w:szCs w:val="30"/>
          <w:highlight w:val="none"/>
        </w:rPr>
        <w:t>面积470km</w:t>
      </w:r>
      <w:r>
        <w:rPr>
          <w:color w:val="auto"/>
          <w:spacing w:val="4"/>
          <w:sz w:val="30"/>
          <w:szCs w:val="30"/>
          <w:highlight w:val="none"/>
          <w:vertAlign w:val="superscript"/>
        </w:rPr>
        <w:t>2</w:t>
      </w:r>
      <w:r>
        <w:rPr>
          <w:color w:val="auto"/>
          <w:spacing w:val="4"/>
          <w:sz w:val="30"/>
          <w:szCs w:val="30"/>
          <w:highlight w:val="none"/>
        </w:rPr>
        <w:t>，</w:t>
      </w:r>
      <w:r>
        <w:rPr>
          <w:rFonts w:hint="eastAsia"/>
          <w:color w:val="auto"/>
          <w:spacing w:val="4"/>
          <w:sz w:val="30"/>
          <w:szCs w:val="30"/>
          <w:highlight w:val="none"/>
          <w:lang w:val="en-US" w:eastAsia="zh-CN"/>
        </w:rPr>
        <w:t>初拟水库</w:t>
      </w:r>
      <w:r>
        <w:rPr>
          <w:color w:val="auto"/>
          <w:spacing w:val="4"/>
          <w:sz w:val="30"/>
          <w:szCs w:val="30"/>
          <w:highlight w:val="none"/>
        </w:rPr>
        <w:t>总库容4410万m</w:t>
      </w:r>
      <w:r>
        <w:rPr>
          <w:color w:val="auto"/>
          <w:spacing w:val="4"/>
          <w:sz w:val="30"/>
          <w:szCs w:val="30"/>
          <w:highlight w:val="none"/>
          <w:vertAlign w:val="superscript"/>
        </w:rPr>
        <w:t>3</w:t>
      </w:r>
      <w:r>
        <w:rPr>
          <w:color w:val="auto"/>
          <w:spacing w:val="4"/>
          <w:sz w:val="30"/>
          <w:szCs w:val="30"/>
          <w:highlight w:val="none"/>
        </w:rPr>
        <w:t>，防洪库容1479万m</w:t>
      </w:r>
      <w:r>
        <w:rPr>
          <w:color w:val="auto"/>
          <w:spacing w:val="4"/>
          <w:sz w:val="30"/>
          <w:szCs w:val="30"/>
          <w:highlight w:val="none"/>
          <w:vertAlign w:val="superscript"/>
        </w:rPr>
        <w:t>3</w:t>
      </w:r>
      <w:r>
        <w:rPr>
          <w:color w:val="auto"/>
          <w:spacing w:val="4"/>
          <w:sz w:val="30"/>
          <w:szCs w:val="30"/>
          <w:highlight w:val="none"/>
        </w:rPr>
        <w:t>，与高景关水库共同承担防洪任务。</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高景关水库坝址位于石亭江出山口处，坝址以上</w:t>
      </w:r>
      <w:r>
        <w:rPr>
          <w:rFonts w:hint="eastAsia"/>
          <w:color w:val="auto"/>
          <w:spacing w:val="4"/>
          <w:sz w:val="30"/>
          <w:szCs w:val="30"/>
          <w:highlight w:val="none"/>
          <w:lang w:val="en-US" w:eastAsia="zh-CN"/>
        </w:rPr>
        <w:t>集雨</w:t>
      </w:r>
      <w:r>
        <w:rPr>
          <w:color w:val="auto"/>
          <w:spacing w:val="4"/>
          <w:sz w:val="30"/>
          <w:szCs w:val="30"/>
          <w:highlight w:val="none"/>
        </w:rPr>
        <w:t>面积625km</w:t>
      </w:r>
      <w:r>
        <w:rPr>
          <w:color w:val="auto"/>
          <w:spacing w:val="4"/>
          <w:sz w:val="30"/>
          <w:szCs w:val="30"/>
          <w:highlight w:val="none"/>
          <w:vertAlign w:val="superscript"/>
        </w:rPr>
        <w:t>2</w:t>
      </w:r>
      <w:r>
        <w:rPr>
          <w:color w:val="auto"/>
          <w:spacing w:val="4"/>
          <w:sz w:val="30"/>
          <w:szCs w:val="30"/>
          <w:highlight w:val="none"/>
        </w:rPr>
        <w:t>，</w:t>
      </w:r>
      <w:r>
        <w:rPr>
          <w:rFonts w:hint="eastAsia"/>
          <w:color w:val="auto"/>
          <w:spacing w:val="4"/>
          <w:sz w:val="30"/>
          <w:szCs w:val="30"/>
          <w:highlight w:val="none"/>
          <w:lang w:val="en-US" w:eastAsia="zh-CN"/>
        </w:rPr>
        <w:t>初拟水库</w:t>
      </w:r>
      <w:r>
        <w:rPr>
          <w:color w:val="auto"/>
          <w:spacing w:val="4"/>
          <w:sz w:val="30"/>
          <w:szCs w:val="30"/>
          <w:highlight w:val="none"/>
        </w:rPr>
        <w:t>总库容3901万m</w:t>
      </w:r>
      <w:r>
        <w:rPr>
          <w:color w:val="auto"/>
          <w:spacing w:val="4"/>
          <w:sz w:val="30"/>
          <w:szCs w:val="30"/>
          <w:highlight w:val="none"/>
          <w:vertAlign w:val="superscript"/>
        </w:rPr>
        <w:t>3</w:t>
      </w:r>
      <w:r>
        <w:rPr>
          <w:color w:val="auto"/>
          <w:spacing w:val="4"/>
          <w:sz w:val="30"/>
          <w:szCs w:val="30"/>
          <w:highlight w:val="none"/>
        </w:rPr>
        <w:t>，防洪库容1452万m</w:t>
      </w:r>
      <w:r>
        <w:rPr>
          <w:color w:val="auto"/>
          <w:spacing w:val="4"/>
          <w:sz w:val="30"/>
          <w:szCs w:val="30"/>
          <w:highlight w:val="none"/>
          <w:vertAlign w:val="superscript"/>
        </w:rPr>
        <w:t>3</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b w:val="0"/>
          <w:bCs w:val="0"/>
          <w:color w:val="auto"/>
          <w:spacing w:val="4"/>
          <w:sz w:val="30"/>
          <w:szCs w:val="30"/>
          <w:highlight w:val="none"/>
        </w:rPr>
      </w:pPr>
      <w:r>
        <w:rPr>
          <w:color w:val="auto"/>
          <w:spacing w:val="4"/>
          <w:sz w:val="30"/>
          <w:szCs w:val="30"/>
          <w:highlight w:val="none"/>
        </w:rPr>
        <w:t>高景关与金花寺水库防洪对象为</w:t>
      </w:r>
      <w:r>
        <w:rPr>
          <w:rFonts w:hint="eastAsia"/>
          <w:color w:val="auto"/>
          <w:spacing w:val="4"/>
          <w:sz w:val="30"/>
          <w:szCs w:val="30"/>
          <w:highlight w:val="none"/>
          <w:lang w:val="en-US" w:eastAsia="zh-CN"/>
        </w:rPr>
        <w:t>坝址</w:t>
      </w:r>
      <w:r>
        <w:rPr>
          <w:color w:val="auto"/>
          <w:spacing w:val="4"/>
          <w:sz w:val="30"/>
          <w:szCs w:val="30"/>
          <w:highlight w:val="none"/>
        </w:rPr>
        <w:t>下游沿岸场镇。两库建成后，上下库联合调度可将高景关水库坝址20年一遇的洪峰流量由2150m</w:t>
      </w:r>
      <w:r>
        <w:rPr>
          <w:color w:val="auto"/>
          <w:spacing w:val="4"/>
          <w:sz w:val="30"/>
          <w:szCs w:val="30"/>
          <w:highlight w:val="none"/>
          <w:vertAlign w:val="superscript"/>
        </w:rPr>
        <w:t>3</w:t>
      </w:r>
      <w:r>
        <w:rPr>
          <w:color w:val="auto"/>
          <w:spacing w:val="4"/>
          <w:sz w:val="30"/>
          <w:szCs w:val="30"/>
          <w:highlight w:val="none"/>
        </w:rPr>
        <w:t>/s降低到770m</w:t>
      </w:r>
      <w:r>
        <w:rPr>
          <w:color w:val="auto"/>
          <w:spacing w:val="4"/>
          <w:sz w:val="30"/>
          <w:szCs w:val="30"/>
          <w:highlight w:val="none"/>
          <w:vertAlign w:val="superscript"/>
        </w:rPr>
        <w:t>3</w:t>
      </w:r>
      <w:r>
        <w:rPr>
          <w:color w:val="auto"/>
          <w:spacing w:val="4"/>
          <w:sz w:val="30"/>
          <w:szCs w:val="30"/>
          <w:highlight w:val="none"/>
        </w:rPr>
        <w:t>/s，石亭江流域整体防洪标准</w:t>
      </w:r>
      <w:r>
        <w:rPr>
          <w:rFonts w:hint="eastAsia"/>
          <w:color w:val="auto"/>
          <w:spacing w:val="4"/>
          <w:sz w:val="30"/>
          <w:szCs w:val="30"/>
          <w:highlight w:val="none"/>
          <w:lang w:val="en-US" w:eastAsia="zh-CN"/>
        </w:rPr>
        <w:t>提高至</w:t>
      </w:r>
      <w:r>
        <w:rPr>
          <w:color w:val="auto"/>
          <w:spacing w:val="4"/>
          <w:sz w:val="30"/>
          <w:szCs w:val="30"/>
          <w:highlight w:val="none"/>
        </w:rPr>
        <w:t>20年一遇，减轻沱江</w:t>
      </w:r>
      <w:r>
        <w:rPr>
          <w:b w:val="0"/>
          <w:bCs w:val="0"/>
          <w:color w:val="auto"/>
          <w:spacing w:val="4"/>
          <w:sz w:val="30"/>
          <w:szCs w:val="30"/>
          <w:highlight w:val="none"/>
        </w:rPr>
        <w:t>干流金堂</w:t>
      </w:r>
      <w:r>
        <w:rPr>
          <w:rFonts w:hint="eastAsia"/>
          <w:b w:val="0"/>
          <w:bCs w:val="0"/>
          <w:color w:val="auto"/>
          <w:spacing w:val="4"/>
          <w:sz w:val="30"/>
          <w:szCs w:val="30"/>
          <w:highlight w:val="none"/>
          <w:lang w:val="en-US" w:eastAsia="zh-CN"/>
        </w:rPr>
        <w:t>县</w:t>
      </w:r>
      <w:r>
        <w:rPr>
          <w:b w:val="0"/>
          <w:bCs w:val="0"/>
          <w:color w:val="auto"/>
          <w:spacing w:val="4"/>
          <w:sz w:val="30"/>
          <w:szCs w:val="30"/>
          <w:highlight w:val="none"/>
        </w:rPr>
        <w:t>、简阳</w:t>
      </w:r>
      <w:r>
        <w:rPr>
          <w:rFonts w:hint="eastAsia"/>
          <w:b w:val="0"/>
          <w:bCs w:val="0"/>
          <w:color w:val="auto"/>
          <w:spacing w:val="4"/>
          <w:sz w:val="30"/>
          <w:szCs w:val="30"/>
          <w:highlight w:val="none"/>
          <w:lang w:val="en-US" w:eastAsia="zh-CN"/>
        </w:rPr>
        <w:t>市</w:t>
      </w:r>
      <w:r>
        <w:rPr>
          <w:b w:val="0"/>
          <w:bCs w:val="0"/>
          <w:color w:val="auto"/>
          <w:spacing w:val="4"/>
          <w:sz w:val="30"/>
          <w:szCs w:val="30"/>
          <w:highlight w:val="none"/>
        </w:rPr>
        <w:t>等城</w:t>
      </w:r>
      <w:r>
        <w:rPr>
          <w:rFonts w:hint="eastAsia"/>
          <w:b w:val="0"/>
          <w:bCs w:val="0"/>
          <w:color w:val="auto"/>
          <w:spacing w:val="4"/>
          <w:sz w:val="30"/>
          <w:szCs w:val="30"/>
          <w:highlight w:val="none"/>
          <w:lang w:val="en-US" w:eastAsia="zh-CN"/>
        </w:rPr>
        <w:t>区</w:t>
      </w:r>
      <w:r>
        <w:rPr>
          <w:b w:val="0"/>
          <w:bCs w:val="0"/>
          <w:color w:val="auto"/>
          <w:spacing w:val="4"/>
          <w:sz w:val="30"/>
          <w:szCs w:val="30"/>
          <w:highlight w:val="none"/>
        </w:rPr>
        <w:t>防洪压力。</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二、</w:t>
      </w:r>
      <w:r>
        <w:rPr>
          <w:rFonts w:hint="eastAsia" w:ascii="黑体" w:hAnsi="黑体" w:eastAsia="黑体" w:cs="黑体"/>
          <w:b w:val="0"/>
          <w:bCs w:val="0"/>
          <w:color w:val="auto"/>
          <w:highlight w:val="none"/>
        </w:rPr>
        <w:t>毗河分蓄洪工程</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bookmarkStart w:id="95" w:name="_Hlk126052589"/>
      <w:r>
        <w:rPr>
          <w:b w:val="0"/>
          <w:bCs w:val="0"/>
          <w:color w:val="auto"/>
          <w:sz w:val="30"/>
          <w:szCs w:val="30"/>
          <w:highlight w:val="none"/>
        </w:rPr>
        <w:t>毗河分蓄洪工程</w:t>
      </w:r>
      <w:bookmarkEnd w:id="95"/>
      <w:r>
        <w:rPr>
          <w:b w:val="0"/>
          <w:bCs w:val="0"/>
          <w:color w:val="auto"/>
          <w:sz w:val="30"/>
          <w:szCs w:val="30"/>
          <w:highlight w:val="none"/>
        </w:rPr>
        <w:t>由毗河分洪工程和桤木河蓄滞洪库工程组成，</w:t>
      </w:r>
      <w:r>
        <w:rPr>
          <w:b w:val="0"/>
          <w:bCs w:val="0"/>
          <w:color w:val="auto"/>
          <w:spacing w:val="4"/>
          <w:sz w:val="30"/>
          <w:szCs w:val="30"/>
          <w:highlight w:val="none"/>
        </w:rPr>
        <w:t>开发</w:t>
      </w:r>
      <w:r>
        <w:rPr>
          <w:color w:val="auto"/>
          <w:spacing w:val="4"/>
          <w:sz w:val="30"/>
          <w:szCs w:val="30"/>
          <w:highlight w:val="none"/>
        </w:rPr>
        <w:t>任务</w:t>
      </w:r>
      <w:r>
        <w:rPr>
          <w:rFonts w:hint="eastAsia"/>
          <w:color w:val="auto"/>
          <w:spacing w:val="4"/>
          <w:sz w:val="30"/>
          <w:szCs w:val="30"/>
          <w:highlight w:val="none"/>
          <w:lang w:val="en-US" w:eastAsia="zh-CN"/>
        </w:rPr>
        <w:t>为</w:t>
      </w:r>
      <w:r>
        <w:rPr>
          <w:color w:val="auto"/>
          <w:spacing w:val="4"/>
          <w:sz w:val="30"/>
          <w:szCs w:val="30"/>
          <w:highlight w:val="none"/>
        </w:rPr>
        <w:t>防洪，</w:t>
      </w:r>
      <w:r>
        <w:rPr>
          <w:color w:val="auto"/>
          <w:sz w:val="30"/>
          <w:szCs w:val="30"/>
          <w:highlight w:val="none"/>
        </w:rPr>
        <w:t>协同蓄滞金堂</w:t>
      </w:r>
      <w:r>
        <w:rPr>
          <w:rFonts w:hint="eastAsia"/>
          <w:color w:val="auto"/>
          <w:sz w:val="30"/>
          <w:szCs w:val="30"/>
          <w:highlight w:val="none"/>
          <w:lang w:val="en-US" w:eastAsia="zh-CN"/>
        </w:rPr>
        <w:t>县</w:t>
      </w:r>
      <w:r>
        <w:rPr>
          <w:color w:val="auto"/>
          <w:sz w:val="30"/>
          <w:szCs w:val="30"/>
          <w:highlight w:val="none"/>
        </w:rPr>
        <w:t>城区15年一遇以上的超额洪水</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rFonts w:hint="eastAsia" w:eastAsia="仿宋_GB2312"/>
          <w:color w:val="auto"/>
          <w:sz w:val="30"/>
          <w:szCs w:val="30"/>
          <w:highlight w:val="none"/>
          <w:lang w:val="en-US" w:eastAsia="zh-CN"/>
        </w:rPr>
      </w:pPr>
      <w:r>
        <w:rPr>
          <w:color w:val="auto"/>
          <w:sz w:val="30"/>
          <w:szCs w:val="30"/>
          <w:highlight w:val="none"/>
        </w:rPr>
        <w:t>毗河分洪工程</w:t>
      </w:r>
      <w:r>
        <w:rPr>
          <w:rFonts w:hint="eastAsia"/>
          <w:color w:val="auto"/>
          <w:sz w:val="30"/>
          <w:szCs w:val="30"/>
          <w:highlight w:val="none"/>
          <w:lang w:val="en-US" w:eastAsia="zh-CN"/>
        </w:rPr>
        <w:t>位于成都二绕毗河大桥下游300m处，</w:t>
      </w:r>
      <w:r>
        <w:rPr>
          <w:color w:val="auto"/>
          <w:sz w:val="30"/>
          <w:szCs w:val="30"/>
          <w:highlight w:val="none"/>
        </w:rPr>
        <w:t>主要建筑物由节制闸、分洪闸、分洪渠等组成</w:t>
      </w:r>
      <w:r>
        <w:rPr>
          <w:rFonts w:hint="eastAsia"/>
          <w:color w:val="auto"/>
          <w:sz w:val="30"/>
          <w:szCs w:val="30"/>
          <w:highlight w:val="none"/>
          <w:lang w:eastAsia="zh-CN"/>
        </w:rPr>
        <w:t>，</w:t>
      </w:r>
      <w:r>
        <w:rPr>
          <w:rFonts w:hint="eastAsia"/>
          <w:color w:val="auto"/>
          <w:sz w:val="30"/>
          <w:szCs w:val="30"/>
          <w:highlight w:val="none"/>
          <w:lang w:val="en-US" w:eastAsia="zh-CN"/>
        </w:rPr>
        <w:t>分洪渠总长9.7km，在石盘堰与</w:t>
      </w:r>
      <w:r>
        <w:rPr>
          <w:color w:val="auto"/>
          <w:sz w:val="30"/>
          <w:szCs w:val="30"/>
          <w:highlight w:val="none"/>
        </w:rPr>
        <w:t>桤木河</w:t>
      </w:r>
      <w:r>
        <w:rPr>
          <w:rFonts w:hint="eastAsia"/>
          <w:color w:val="auto"/>
          <w:sz w:val="30"/>
          <w:szCs w:val="30"/>
          <w:highlight w:val="none"/>
          <w:lang w:val="en-US" w:eastAsia="zh-CN"/>
        </w:rPr>
        <w:t>汇合，在张家坝附近接入</w:t>
      </w:r>
      <w:r>
        <w:rPr>
          <w:color w:val="auto"/>
          <w:sz w:val="30"/>
          <w:szCs w:val="30"/>
          <w:highlight w:val="none"/>
        </w:rPr>
        <w:t>桤木河蓄滞洪库</w:t>
      </w:r>
      <w:r>
        <w:rPr>
          <w:rFonts w:hint="eastAsia"/>
          <w:color w:val="auto"/>
          <w:sz w:val="30"/>
          <w:szCs w:val="30"/>
          <w:highlight w:val="none"/>
          <w:lang w:eastAsia="zh-CN"/>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r>
        <w:rPr>
          <w:color w:val="auto"/>
          <w:sz w:val="30"/>
          <w:szCs w:val="30"/>
          <w:highlight w:val="none"/>
        </w:rPr>
        <w:t>桤木河蓄滞洪库工程</w:t>
      </w:r>
      <w:r>
        <w:rPr>
          <w:color w:val="auto"/>
          <w:spacing w:val="4"/>
          <w:sz w:val="30"/>
          <w:szCs w:val="30"/>
          <w:highlight w:val="none"/>
        </w:rPr>
        <w:t>位于金堂龙泉山北麓、桤木河南岸的金堂县观音山村和青白江区北宁村附近，坝址以上流域面积4.5km</w:t>
      </w:r>
      <w:r>
        <w:rPr>
          <w:color w:val="auto"/>
          <w:spacing w:val="4"/>
          <w:sz w:val="30"/>
          <w:szCs w:val="30"/>
          <w:highlight w:val="none"/>
          <w:vertAlign w:val="superscript"/>
        </w:rPr>
        <w:t>2</w:t>
      </w:r>
      <w:r>
        <w:rPr>
          <w:color w:val="auto"/>
          <w:spacing w:val="4"/>
          <w:sz w:val="30"/>
          <w:szCs w:val="30"/>
          <w:highlight w:val="none"/>
        </w:rPr>
        <w:t>，沿桤木河南岸扩挖而成，</w:t>
      </w:r>
      <w:r>
        <w:rPr>
          <w:color w:val="auto"/>
          <w:sz w:val="30"/>
          <w:szCs w:val="30"/>
          <w:highlight w:val="none"/>
        </w:rPr>
        <w:t>由桤木河蓄滞洪库</w:t>
      </w:r>
      <w:r>
        <w:rPr>
          <w:rFonts w:eastAsia="宋体"/>
          <w:color w:val="auto"/>
          <w:sz w:val="30"/>
          <w:szCs w:val="30"/>
          <w:highlight w:val="none"/>
        </w:rPr>
        <w:t>﹑</w:t>
      </w:r>
      <w:r>
        <w:rPr>
          <w:color w:val="auto"/>
          <w:sz w:val="30"/>
          <w:szCs w:val="30"/>
          <w:highlight w:val="none"/>
        </w:rPr>
        <w:t>退水闸以及沿原桤木河改造的泄洪渠组成。桤木河蓄滞洪库</w:t>
      </w:r>
      <w:r>
        <w:rPr>
          <w:color w:val="auto"/>
          <w:spacing w:val="4"/>
          <w:sz w:val="30"/>
          <w:szCs w:val="30"/>
          <w:highlight w:val="none"/>
        </w:rPr>
        <w:t>退水采用自排与抽排相结合的方式，经桤木河排入沱江，库水位较高时经进水闸自排，库水位降低后，由退水泵站抽排，初拟按7天腾库迎洪，退水泵站设计抽排流量160m</w:t>
      </w:r>
      <w:r>
        <w:rPr>
          <w:color w:val="auto"/>
          <w:spacing w:val="4"/>
          <w:sz w:val="30"/>
          <w:szCs w:val="30"/>
          <w:highlight w:val="none"/>
          <w:vertAlign w:val="superscript"/>
        </w:rPr>
        <w:t>3</w:t>
      </w:r>
      <w:r>
        <w:rPr>
          <w:color w:val="auto"/>
          <w:spacing w:val="4"/>
          <w:sz w:val="30"/>
          <w:szCs w:val="30"/>
          <w:highlight w:val="none"/>
        </w:rPr>
        <w:t>/s，初拟总装机规模120MW。</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规划2035年前实施</w:t>
      </w:r>
      <w:r>
        <w:rPr>
          <w:color w:val="auto"/>
          <w:sz w:val="30"/>
          <w:szCs w:val="30"/>
          <w:highlight w:val="none"/>
        </w:rPr>
        <w:t>毗河分蓄洪工程（</w:t>
      </w:r>
      <w:r>
        <w:rPr>
          <w:color w:val="auto"/>
          <w:spacing w:val="4"/>
          <w:sz w:val="30"/>
          <w:szCs w:val="30"/>
          <w:highlight w:val="none"/>
        </w:rPr>
        <w:t>毗河分洪工程和桤木河蓄</w:t>
      </w:r>
      <w:r>
        <w:rPr>
          <w:color w:val="auto"/>
          <w:sz w:val="30"/>
          <w:szCs w:val="30"/>
          <w:highlight w:val="none"/>
        </w:rPr>
        <w:t>滞</w:t>
      </w:r>
      <w:r>
        <w:rPr>
          <w:color w:val="auto"/>
          <w:spacing w:val="4"/>
          <w:sz w:val="30"/>
          <w:szCs w:val="30"/>
          <w:highlight w:val="none"/>
        </w:rPr>
        <w:t>洪库工程），设计分洪流量480m</w:t>
      </w:r>
      <w:r>
        <w:rPr>
          <w:color w:val="auto"/>
          <w:spacing w:val="4"/>
          <w:sz w:val="30"/>
          <w:szCs w:val="30"/>
          <w:highlight w:val="none"/>
          <w:vertAlign w:val="superscript"/>
        </w:rPr>
        <w:t>3</w:t>
      </w:r>
      <w:r>
        <w:rPr>
          <w:color w:val="auto"/>
          <w:spacing w:val="4"/>
          <w:sz w:val="30"/>
          <w:szCs w:val="30"/>
          <w:highlight w:val="none"/>
        </w:rPr>
        <w:t>/s，蓄滞洪量1380万m</w:t>
      </w:r>
      <w:r>
        <w:rPr>
          <w:color w:val="auto"/>
          <w:spacing w:val="4"/>
          <w:sz w:val="30"/>
          <w:szCs w:val="30"/>
          <w:highlight w:val="none"/>
          <w:vertAlign w:val="superscript"/>
        </w:rPr>
        <w:t>3</w:t>
      </w:r>
      <w:r>
        <w:rPr>
          <w:rFonts w:hint="eastAsia"/>
          <w:color w:val="auto"/>
          <w:spacing w:val="4"/>
          <w:sz w:val="30"/>
          <w:szCs w:val="30"/>
          <w:highlight w:val="none"/>
          <w:lang w:eastAsia="zh-CN"/>
        </w:rPr>
        <w:t>，</w:t>
      </w:r>
      <w:r>
        <w:rPr>
          <w:color w:val="auto"/>
          <w:spacing w:val="4"/>
          <w:sz w:val="30"/>
          <w:szCs w:val="30"/>
          <w:highlight w:val="none"/>
        </w:rPr>
        <w:t>提高金堂城区防洪能力至20年一遇标准。桤木河</w:t>
      </w:r>
      <w:r>
        <w:rPr>
          <w:rFonts w:hint="eastAsia"/>
          <w:color w:val="auto"/>
          <w:spacing w:val="4"/>
          <w:sz w:val="30"/>
          <w:szCs w:val="30"/>
          <w:highlight w:val="none"/>
          <w:lang w:val="en-US" w:eastAsia="zh-CN"/>
        </w:rPr>
        <w:t>水库</w:t>
      </w:r>
      <w:r>
        <w:rPr>
          <w:color w:val="auto"/>
          <w:spacing w:val="4"/>
          <w:sz w:val="30"/>
          <w:szCs w:val="30"/>
          <w:highlight w:val="none"/>
        </w:rPr>
        <w:t>总库容3510万m</w:t>
      </w:r>
      <w:r>
        <w:rPr>
          <w:color w:val="auto"/>
          <w:spacing w:val="4"/>
          <w:sz w:val="30"/>
          <w:szCs w:val="30"/>
          <w:highlight w:val="none"/>
          <w:vertAlign w:val="superscript"/>
        </w:rPr>
        <w:t>3</w:t>
      </w:r>
      <w:r>
        <w:rPr>
          <w:color w:val="auto"/>
          <w:spacing w:val="4"/>
          <w:sz w:val="30"/>
          <w:szCs w:val="30"/>
          <w:highlight w:val="none"/>
        </w:rPr>
        <w:t>，防洪库容3126万m</w:t>
      </w:r>
      <w:r>
        <w:rPr>
          <w:color w:val="auto"/>
          <w:spacing w:val="4"/>
          <w:sz w:val="30"/>
          <w:szCs w:val="30"/>
          <w:highlight w:val="none"/>
          <w:vertAlign w:val="superscript"/>
        </w:rPr>
        <w:t>3</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b w:val="0"/>
          <w:bCs w:val="0"/>
          <w:color w:val="auto"/>
          <w:spacing w:val="4"/>
          <w:sz w:val="30"/>
          <w:szCs w:val="30"/>
          <w:highlight w:val="none"/>
        </w:rPr>
      </w:pPr>
      <w:r>
        <w:rPr>
          <w:color w:val="auto"/>
          <w:spacing w:val="4"/>
          <w:sz w:val="30"/>
          <w:szCs w:val="30"/>
          <w:highlight w:val="none"/>
        </w:rPr>
        <w:t>在研究论证利用抽水蓄能电站提水防洪</w:t>
      </w:r>
      <w:r>
        <w:rPr>
          <w:rFonts w:hint="eastAsia"/>
          <w:color w:val="auto"/>
          <w:spacing w:val="4"/>
          <w:sz w:val="30"/>
          <w:szCs w:val="30"/>
          <w:highlight w:val="none"/>
          <w:lang w:val="en-US" w:eastAsia="zh-CN"/>
        </w:rPr>
        <w:t>可行性</w:t>
      </w:r>
      <w:r>
        <w:rPr>
          <w:color w:val="auto"/>
          <w:spacing w:val="4"/>
          <w:sz w:val="30"/>
          <w:szCs w:val="30"/>
          <w:highlight w:val="none"/>
        </w:rPr>
        <w:t>的基础上，远期考虑利用团结水库工程参与防洪，即将毗河和沱江的洪水分至桤木河蓄</w:t>
      </w:r>
      <w:r>
        <w:rPr>
          <w:color w:val="auto"/>
          <w:sz w:val="30"/>
          <w:szCs w:val="30"/>
          <w:highlight w:val="none"/>
        </w:rPr>
        <w:t>滞</w:t>
      </w:r>
      <w:r>
        <w:rPr>
          <w:color w:val="auto"/>
          <w:spacing w:val="4"/>
          <w:sz w:val="30"/>
          <w:szCs w:val="30"/>
          <w:highlight w:val="none"/>
        </w:rPr>
        <w:t>洪库（分洪流量1250m</w:t>
      </w:r>
      <w:r>
        <w:rPr>
          <w:color w:val="auto"/>
          <w:spacing w:val="4"/>
          <w:sz w:val="30"/>
          <w:szCs w:val="30"/>
          <w:highlight w:val="none"/>
          <w:vertAlign w:val="superscript"/>
        </w:rPr>
        <w:t>3</w:t>
      </w:r>
      <w:r>
        <w:rPr>
          <w:color w:val="auto"/>
          <w:spacing w:val="4"/>
          <w:sz w:val="30"/>
          <w:szCs w:val="30"/>
          <w:highlight w:val="none"/>
        </w:rPr>
        <w:t>/s），利用抽水蓄能机组从下库提水至上库（提水流</w:t>
      </w:r>
      <w:r>
        <w:rPr>
          <w:b w:val="0"/>
          <w:bCs w:val="0"/>
          <w:color w:val="auto"/>
          <w:spacing w:val="4"/>
          <w:sz w:val="30"/>
          <w:szCs w:val="30"/>
          <w:highlight w:val="none"/>
        </w:rPr>
        <w:t>量740m</w:t>
      </w:r>
      <w:r>
        <w:rPr>
          <w:b w:val="0"/>
          <w:bCs w:val="0"/>
          <w:color w:val="auto"/>
          <w:spacing w:val="4"/>
          <w:sz w:val="30"/>
          <w:szCs w:val="30"/>
          <w:highlight w:val="none"/>
          <w:vertAlign w:val="superscript"/>
        </w:rPr>
        <w:t>3</w:t>
      </w:r>
      <w:r>
        <w:rPr>
          <w:b w:val="0"/>
          <w:bCs w:val="0"/>
          <w:color w:val="auto"/>
          <w:spacing w:val="4"/>
          <w:sz w:val="30"/>
          <w:szCs w:val="30"/>
          <w:highlight w:val="none"/>
        </w:rPr>
        <w:t>/s），在</w:t>
      </w:r>
      <w:r>
        <w:rPr>
          <w:rFonts w:hint="eastAsia"/>
          <w:b w:val="0"/>
          <w:bCs w:val="0"/>
          <w:color w:val="auto"/>
          <w:spacing w:val="4"/>
          <w:sz w:val="30"/>
          <w:szCs w:val="30"/>
          <w:highlight w:val="none"/>
          <w:lang w:val="en-US" w:eastAsia="zh-CN"/>
        </w:rPr>
        <w:t>上库</w:t>
      </w:r>
      <w:r>
        <w:rPr>
          <w:b w:val="0"/>
          <w:bCs w:val="0"/>
          <w:color w:val="auto"/>
          <w:spacing w:val="4"/>
          <w:sz w:val="30"/>
          <w:szCs w:val="30"/>
          <w:highlight w:val="none"/>
        </w:rPr>
        <w:t>团结水库滞蓄洪水，以进一步提</w:t>
      </w:r>
      <w:r>
        <w:rPr>
          <w:rFonts w:hint="eastAsia"/>
          <w:b w:val="0"/>
          <w:bCs w:val="0"/>
          <w:color w:val="auto"/>
          <w:spacing w:val="4"/>
          <w:sz w:val="30"/>
          <w:szCs w:val="30"/>
          <w:highlight w:val="none"/>
          <w:lang w:val="en-US" w:eastAsia="zh-CN"/>
        </w:rPr>
        <w:t>高</w:t>
      </w:r>
      <w:r>
        <w:rPr>
          <w:b w:val="0"/>
          <w:bCs w:val="0"/>
          <w:color w:val="auto"/>
          <w:spacing w:val="4"/>
          <w:sz w:val="30"/>
          <w:szCs w:val="30"/>
          <w:highlight w:val="none"/>
        </w:rPr>
        <w:t>金堂县城区防洪标准。</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733"/>
          <w:rFonts w:hint="eastAsia" w:ascii="黑体" w:hAnsi="黑体" w:eastAsia="黑体" w:cs="黑体"/>
          <w:b w:val="0"/>
          <w:bCs w:val="0"/>
          <w:color w:val="auto"/>
          <w:highlight w:val="none"/>
        </w:rPr>
      </w:pPr>
      <w:r>
        <w:rPr>
          <w:rStyle w:val="733"/>
          <w:rFonts w:hint="eastAsia" w:ascii="黑体" w:hAnsi="黑体" w:eastAsia="黑体" w:cs="黑体"/>
          <w:b w:val="0"/>
          <w:bCs w:val="0"/>
          <w:color w:val="auto"/>
          <w:highlight w:val="none"/>
        </w:rPr>
        <w:t>三、东林寺水库</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highlight w:val="none"/>
        </w:rPr>
      </w:pPr>
      <w:r>
        <w:rPr>
          <w:b w:val="0"/>
          <w:bCs w:val="0"/>
          <w:color w:val="auto"/>
          <w:spacing w:val="4"/>
          <w:sz w:val="30"/>
          <w:szCs w:val="30"/>
          <w:highlight w:val="none"/>
        </w:rPr>
        <w:t>东林寺水库位于彭州市湔江上游</w:t>
      </w:r>
      <w:r>
        <w:rPr>
          <w:rFonts w:hint="eastAsia"/>
          <w:b w:val="0"/>
          <w:bCs w:val="0"/>
          <w:color w:val="auto"/>
          <w:spacing w:val="4"/>
          <w:sz w:val="30"/>
          <w:szCs w:val="30"/>
          <w:highlight w:val="none"/>
          <w:lang w:val="en-US" w:eastAsia="zh-CN"/>
        </w:rPr>
        <w:t>主源</w:t>
      </w:r>
      <w:r>
        <w:rPr>
          <w:b w:val="0"/>
          <w:bCs w:val="0"/>
          <w:color w:val="auto"/>
          <w:spacing w:val="4"/>
          <w:sz w:val="30"/>
          <w:szCs w:val="30"/>
          <w:highlight w:val="none"/>
        </w:rPr>
        <w:t>银厂沟，坝址位于彭州市龙门</w:t>
      </w:r>
      <w:r>
        <w:rPr>
          <w:color w:val="auto"/>
          <w:spacing w:val="4"/>
          <w:sz w:val="30"/>
          <w:szCs w:val="30"/>
          <w:highlight w:val="none"/>
        </w:rPr>
        <w:t>山镇境内，坝址以上</w:t>
      </w:r>
      <w:r>
        <w:rPr>
          <w:rFonts w:hint="eastAsia"/>
          <w:color w:val="auto"/>
          <w:spacing w:val="4"/>
          <w:sz w:val="30"/>
          <w:szCs w:val="30"/>
          <w:highlight w:val="none"/>
          <w:lang w:val="en-US" w:eastAsia="zh-CN"/>
        </w:rPr>
        <w:t>集雨</w:t>
      </w:r>
      <w:r>
        <w:rPr>
          <w:color w:val="auto"/>
          <w:spacing w:val="4"/>
          <w:sz w:val="30"/>
          <w:szCs w:val="30"/>
          <w:highlight w:val="none"/>
        </w:rPr>
        <w:t>面积201km</w:t>
      </w:r>
      <w:r>
        <w:rPr>
          <w:color w:val="auto"/>
          <w:spacing w:val="4"/>
          <w:sz w:val="30"/>
          <w:szCs w:val="30"/>
          <w:highlight w:val="none"/>
          <w:vertAlign w:val="superscript"/>
        </w:rPr>
        <w:t>2</w:t>
      </w:r>
      <w:r>
        <w:rPr>
          <w:color w:val="auto"/>
          <w:spacing w:val="4"/>
          <w:sz w:val="30"/>
          <w:szCs w:val="30"/>
          <w:highlight w:val="none"/>
        </w:rPr>
        <w:t>，开发任务以供水为主，兼顾防洪</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初拟</w:t>
      </w:r>
      <w:r>
        <w:rPr>
          <w:color w:val="auto"/>
          <w:spacing w:val="4"/>
          <w:sz w:val="30"/>
          <w:szCs w:val="30"/>
          <w:highlight w:val="none"/>
        </w:rPr>
        <w:t>水库总库容5983万m</w:t>
      </w:r>
      <w:r>
        <w:rPr>
          <w:color w:val="auto"/>
          <w:spacing w:val="4"/>
          <w:sz w:val="30"/>
          <w:szCs w:val="30"/>
          <w:highlight w:val="none"/>
          <w:vertAlign w:val="superscript"/>
        </w:rPr>
        <w:t>3</w:t>
      </w:r>
      <w:r>
        <w:rPr>
          <w:color w:val="auto"/>
          <w:spacing w:val="4"/>
          <w:sz w:val="30"/>
          <w:szCs w:val="30"/>
          <w:highlight w:val="none"/>
        </w:rPr>
        <w:t>，防洪库容441万m</w:t>
      </w:r>
      <w:r>
        <w:rPr>
          <w:color w:val="auto"/>
          <w:spacing w:val="4"/>
          <w:sz w:val="30"/>
          <w:szCs w:val="30"/>
          <w:highlight w:val="none"/>
          <w:vertAlign w:val="superscript"/>
        </w:rPr>
        <w:t>3</w:t>
      </w:r>
      <w:r>
        <w:rPr>
          <w:color w:val="auto"/>
          <w:spacing w:val="4"/>
          <w:sz w:val="30"/>
          <w:szCs w:val="30"/>
          <w:highlight w:val="none"/>
        </w:rPr>
        <w:t>，兴利库容3674万m</w:t>
      </w:r>
      <w:r>
        <w:rPr>
          <w:color w:val="auto"/>
          <w:spacing w:val="4"/>
          <w:sz w:val="30"/>
          <w:szCs w:val="30"/>
          <w:highlight w:val="none"/>
          <w:vertAlign w:val="superscript"/>
        </w:rPr>
        <w:t>3</w:t>
      </w:r>
      <w:r>
        <w:rPr>
          <w:color w:val="auto"/>
          <w:spacing w:val="4"/>
          <w:sz w:val="30"/>
          <w:szCs w:val="30"/>
          <w:highlight w:val="none"/>
        </w:rPr>
        <w:t>，防洪保护对象为</w:t>
      </w:r>
      <w:r>
        <w:rPr>
          <w:rFonts w:hint="eastAsia"/>
          <w:color w:val="auto"/>
          <w:spacing w:val="4"/>
          <w:sz w:val="30"/>
          <w:szCs w:val="30"/>
          <w:highlight w:val="none"/>
          <w:lang w:val="en-US" w:eastAsia="zh-CN"/>
        </w:rPr>
        <w:t>坝址</w:t>
      </w:r>
      <w:r>
        <w:rPr>
          <w:color w:val="auto"/>
          <w:spacing w:val="4"/>
          <w:sz w:val="30"/>
          <w:szCs w:val="30"/>
          <w:highlight w:val="none"/>
        </w:rPr>
        <w:t>下游沿岸场镇。水库建成后，可提</w:t>
      </w:r>
      <w:r>
        <w:rPr>
          <w:rFonts w:hint="eastAsia"/>
          <w:color w:val="auto"/>
          <w:spacing w:val="4"/>
          <w:sz w:val="30"/>
          <w:szCs w:val="30"/>
          <w:highlight w:val="none"/>
          <w:lang w:val="en-US" w:eastAsia="zh-CN"/>
        </w:rPr>
        <w:t>高</w:t>
      </w:r>
      <w:r>
        <w:rPr>
          <w:color w:val="auto"/>
          <w:spacing w:val="4"/>
          <w:sz w:val="30"/>
          <w:szCs w:val="30"/>
          <w:highlight w:val="none"/>
        </w:rPr>
        <w:t>关口以上湔江沿线场镇防洪能力，防洪标准</w:t>
      </w:r>
      <w:r>
        <w:rPr>
          <w:rFonts w:hint="eastAsia"/>
          <w:color w:val="auto"/>
          <w:spacing w:val="4"/>
          <w:sz w:val="30"/>
          <w:szCs w:val="30"/>
          <w:highlight w:val="none"/>
          <w:lang w:val="en-US" w:eastAsia="zh-CN"/>
        </w:rPr>
        <w:t>可</w:t>
      </w:r>
      <w:r>
        <w:rPr>
          <w:color w:val="auto"/>
          <w:spacing w:val="4"/>
          <w:sz w:val="30"/>
          <w:szCs w:val="30"/>
          <w:highlight w:val="none"/>
        </w:rPr>
        <w:t>提</w:t>
      </w:r>
      <w:r>
        <w:rPr>
          <w:rFonts w:hint="eastAsia"/>
          <w:color w:val="auto"/>
          <w:spacing w:val="4"/>
          <w:sz w:val="30"/>
          <w:szCs w:val="30"/>
          <w:highlight w:val="none"/>
          <w:lang w:val="en-US" w:eastAsia="zh-CN"/>
        </w:rPr>
        <w:t>高</w:t>
      </w:r>
      <w:r>
        <w:rPr>
          <w:color w:val="auto"/>
          <w:spacing w:val="4"/>
          <w:sz w:val="30"/>
          <w:szCs w:val="30"/>
          <w:highlight w:val="none"/>
        </w:rPr>
        <w:t>至20年一遇，对沱江干流金堂县城区具有间接防洪作用。</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四、清平水库</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u w:val="single"/>
        </w:rPr>
      </w:pPr>
      <w:r>
        <w:rPr>
          <w:color w:val="auto"/>
          <w:spacing w:val="4"/>
          <w:sz w:val="30"/>
          <w:szCs w:val="30"/>
          <w:highlight w:val="none"/>
        </w:rPr>
        <w:t>清平水库位于沱江主源绵远河上游</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坝址地处</w:t>
      </w:r>
      <w:r>
        <w:rPr>
          <w:color w:val="auto"/>
          <w:spacing w:val="4"/>
          <w:sz w:val="30"/>
          <w:szCs w:val="30"/>
          <w:highlight w:val="none"/>
        </w:rPr>
        <w:t>德阳市绵竹市清平镇</w:t>
      </w:r>
      <w:r>
        <w:rPr>
          <w:rFonts w:hint="eastAsia"/>
          <w:color w:val="auto"/>
          <w:spacing w:val="4"/>
          <w:sz w:val="30"/>
          <w:szCs w:val="30"/>
          <w:highlight w:val="none"/>
          <w:lang w:val="en-US" w:eastAsia="zh-CN"/>
        </w:rPr>
        <w:t>境内</w:t>
      </w:r>
      <w:r>
        <w:rPr>
          <w:color w:val="auto"/>
          <w:spacing w:val="4"/>
          <w:sz w:val="30"/>
          <w:szCs w:val="30"/>
          <w:highlight w:val="none"/>
        </w:rPr>
        <w:t>，坝址以上</w:t>
      </w:r>
      <w:r>
        <w:rPr>
          <w:rFonts w:hint="eastAsia"/>
          <w:color w:val="auto"/>
          <w:spacing w:val="4"/>
          <w:sz w:val="30"/>
          <w:szCs w:val="30"/>
          <w:highlight w:val="none"/>
          <w:lang w:val="en-US" w:eastAsia="zh-CN"/>
        </w:rPr>
        <w:t>集雨</w:t>
      </w:r>
      <w:r>
        <w:rPr>
          <w:color w:val="auto"/>
          <w:spacing w:val="4"/>
          <w:sz w:val="30"/>
          <w:szCs w:val="30"/>
          <w:highlight w:val="none"/>
        </w:rPr>
        <w:t>面积26</w:t>
      </w:r>
      <w:r>
        <w:rPr>
          <w:rFonts w:hint="eastAsia"/>
          <w:color w:val="auto"/>
          <w:spacing w:val="4"/>
          <w:sz w:val="30"/>
          <w:szCs w:val="30"/>
          <w:highlight w:val="none"/>
          <w:lang w:val="en-US" w:eastAsia="zh-CN"/>
        </w:rPr>
        <w:t>5</w:t>
      </w:r>
      <w:r>
        <w:rPr>
          <w:color w:val="auto"/>
          <w:spacing w:val="4"/>
          <w:sz w:val="30"/>
          <w:szCs w:val="30"/>
          <w:highlight w:val="none"/>
        </w:rPr>
        <w:t>km</w:t>
      </w:r>
      <w:r>
        <w:rPr>
          <w:color w:val="auto"/>
          <w:spacing w:val="4"/>
          <w:sz w:val="30"/>
          <w:szCs w:val="30"/>
          <w:highlight w:val="none"/>
          <w:vertAlign w:val="superscript"/>
        </w:rPr>
        <w:t>2</w:t>
      </w:r>
      <w:r>
        <w:rPr>
          <w:color w:val="auto"/>
          <w:spacing w:val="4"/>
          <w:sz w:val="30"/>
          <w:szCs w:val="30"/>
          <w:highlight w:val="none"/>
        </w:rPr>
        <w:t>，开发任务为以防洪及城市（镇）供水为主，兼顾灌溉、发电、环境用水等</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初拟</w:t>
      </w:r>
      <w:r>
        <w:rPr>
          <w:color w:val="auto"/>
          <w:spacing w:val="4"/>
          <w:sz w:val="30"/>
          <w:szCs w:val="30"/>
          <w:highlight w:val="none"/>
        </w:rPr>
        <w:t>水库总库容1.3亿m</w:t>
      </w:r>
      <w:r>
        <w:rPr>
          <w:color w:val="auto"/>
          <w:spacing w:val="4"/>
          <w:sz w:val="30"/>
          <w:szCs w:val="30"/>
          <w:highlight w:val="none"/>
          <w:vertAlign w:val="superscript"/>
        </w:rPr>
        <w:t>3</w:t>
      </w:r>
      <w:r>
        <w:rPr>
          <w:color w:val="auto"/>
          <w:spacing w:val="4"/>
          <w:sz w:val="30"/>
          <w:szCs w:val="30"/>
          <w:highlight w:val="none"/>
        </w:rPr>
        <w:t>，防洪库容约478万m</w:t>
      </w:r>
      <w:r>
        <w:rPr>
          <w:color w:val="auto"/>
          <w:spacing w:val="4"/>
          <w:sz w:val="30"/>
          <w:szCs w:val="30"/>
          <w:highlight w:val="none"/>
          <w:vertAlign w:val="superscript"/>
        </w:rPr>
        <w:t>3</w:t>
      </w:r>
      <w:r>
        <w:rPr>
          <w:color w:val="auto"/>
          <w:spacing w:val="4"/>
          <w:sz w:val="30"/>
          <w:szCs w:val="30"/>
          <w:highlight w:val="none"/>
        </w:rPr>
        <w:t>。工程建成后，将整体提</w:t>
      </w:r>
      <w:r>
        <w:rPr>
          <w:rFonts w:hint="eastAsia"/>
          <w:color w:val="auto"/>
          <w:spacing w:val="4"/>
          <w:sz w:val="30"/>
          <w:szCs w:val="30"/>
          <w:highlight w:val="none"/>
          <w:lang w:val="en-US" w:eastAsia="zh-CN"/>
        </w:rPr>
        <w:t>高</w:t>
      </w:r>
      <w:r>
        <w:rPr>
          <w:color w:val="auto"/>
          <w:spacing w:val="4"/>
          <w:sz w:val="30"/>
          <w:szCs w:val="30"/>
          <w:highlight w:val="none"/>
        </w:rPr>
        <w:t>沱江中上游防洪能力，可将汉旺镇50年一遇洪水削减为20年一遇洪水，</w:t>
      </w:r>
      <w:r>
        <w:rPr>
          <w:rFonts w:hint="eastAsia"/>
          <w:color w:val="auto"/>
          <w:spacing w:val="4"/>
          <w:sz w:val="30"/>
          <w:szCs w:val="30"/>
          <w:highlight w:val="none"/>
          <w:lang w:val="en-US" w:eastAsia="zh-CN"/>
        </w:rPr>
        <w:t>并可</w:t>
      </w:r>
      <w:r>
        <w:rPr>
          <w:color w:val="auto"/>
          <w:sz w:val="30"/>
          <w:szCs w:val="30"/>
          <w:highlight w:val="none"/>
        </w:rPr>
        <w:t>缓解德阳市城区</w:t>
      </w:r>
      <w:r>
        <w:rPr>
          <w:rFonts w:hint="eastAsia"/>
          <w:color w:val="auto"/>
          <w:sz w:val="30"/>
          <w:szCs w:val="30"/>
          <w:highlight w:val="none"/>
          <w:lang w:eastAsia="zh-CN"/>
        </w:rPr>
        <w:t>、</w:t>
      </w:r>
      <w:r>
        <w:rPr>
          <w:color w:val="auto"/>
          <w:sz w:val="30"/>
          <w:szCs w:val="30"/>
          <w:highlight w:val="none"/>
        </w:rPr>
        <w:t>金堂县城区防洪压力</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r>
        <w:rPr>
          <w:rFonts w:hint="eastAsia"/>
          <w:color w:val="auto"/>
          <w:sz w:val="30"/>
          <w:szCs w:val="30"/>
          <w:highlight w:val="none"/>
          <w:lang w:val="en-US" w:eastAsia="zh-CN"/>
        </w:rPr>
        <w:t>原规划</w:t>
      </w:r>
      <w:r>
        <w:rPr>
          <w:color w:val="auto"/>
          <w:sz w:val="30"/>
          <w:szCs w:val="30"/>
          <w:highlight w:val="none"/>
        </w:rPr>
        <w:t>清平水库</w:t>
      </w:r>
      <w:r>
        <w:rPr>
          <w:rFonts w:hint="eastAsia"/>
          <w:color w:val="auto"/>
          <w:sz w:val="30"/>
          <w:szCs w:val="30"/>
          <w:highlight w:val="none"/>
          <w:lang w:val="en-US" w:eastAsia="zh-CN"/>
        </w:rPr>
        <w:t>在“5</w:t>
      </w:r>
      <w:r>
        <w:rPr>
          <w:rFonts w:hint="default" w:ascii="Times New Roman" w:hAnsi="Times New Roman" w:eastAsia="仿宋_GB2312" w:cs="Times New Roman"/>
          <w:color w:val="auto"/>
          <w:spacing w:val="0"/>
          <w:sz w:val="30"/>
          <w:szCs w:val="30"/>
          <w:highlight w:val="none"/>
          <w:lang w:val="en-US" w:eastAsia="zh-CN"/>
        </w:rPr>
        <w:t>·</w:t>
      </w:r>
      <w:r>
        <w:rPr>
          <w:rFonts w:hint="eastAsia"/>
          <w:color w:val="auto"/>
          <w:sz w:val="30"/>
          <w:szCs w:val="30"/>
          <w:highlight w:val="none"/>
          <w:lang w:val="en-US" w:eastAsia="zh-CN"/>
        </w:rPr>
        <w:t>12”汶川地震后库区条件发生较大变化</w:t>
      </w:r>
      <w:r>
        <w:rPr>
          <w:color w:val="auto"/>
          <w:sz w:val="30"/>
          <w:szCs w:val="30"/>
          <w:highlight w:val="none"/>
        </w:rPr>
        <w:t>，近期可进一步加强项目研究论证</w:t>
      </w:r>
      <w:r>
        <w:rPr>
          <w:rFonts w:hint="eastAsia"/>
          <w:color w:val="auto"/>
          <w:sz w:val="30"/>
          <w:szCs w:val="30"/>
          <w:highlight w:val="none"/>
          <w:lang w:eastAsia="zh-CN"/>
        </w:rPr>
        <w:t>。</w:t>
      </w:r>
      <w:r>
        <w:rPr>
          <w:rFonts w:hint="eastAsia"/>
          <w:color w:val="auto"/>
          <w:sz w:val="30"/>
          <w:szCs w:val="30"/>
          <w:highlight w:val="none"/>
          <w:lang w:val="en-US" w:eastAsia="zh-CN"/>
        </w:rPr>
        <w:t>规划</w:t>
      </w:r>
      <w:r>
        <w:rPr>
          <w:color w:val="auto"/>
          <w:sz w:val="30"/>
          <w:szCs w:val="30"/>
          <w:highlight w:val="none"/>
        </w:rPr>
        <w:t>远景</w:t>
      </w:r>
      <w:r>
        <w:rPr>
          <w:rFonts w:hint="eastAsia"/>
          <w:color w:val="auto"/>
          <w:sz w:val="30"/>
          <w:szCs w:val="30"/>
          <w:highlight w:val="none"/>
          <w:lang w:val="en-US" w:eastAsia="zh-CN"/>
        </w:rPr>
        <w:t>适时</w:t>
      </w:r>
      <w:r>
        <w:rPr>
          <w:color w:val="auto"/>
          <w:sz w:val="30"/>
          <w:szCs w:val="30"/>
          <w:highlight w:val="none"/>
        </w:rPr>
        <w:t>建设</w:t>
      </w:r>
      <w:r>
        <w:rPr>
          <w:color w:val="auto"/>
          <w:spacing w:val="4"/>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五、中河蓄</w:t>
      </w:r>
      <w:bookmarkStart w:id="96" w:name="_Hlk122859332"/>
      <w:r>
        <w:rPr>
          <w:rStyle w:val="550"/>
          <w:rFonts w:hint="eastAsia" w:ascii="黑体" w:hAnsi="黑体" w:eastAsia="黑体" w:cs="黑体"/>
          <w:b w:val="0"/>
          <w:bCs/>
          <w:color w:val="auto"/>
          <w:highlight w:val="none"/>
        </w:rPr>
        <w:t>滞洪</w:t>
      </w:r>
      <w:bookmarkEnd w:id="96"/>
      <w:r>
        <w:rPr>
          <w:rStyle w:val="550"/>
          <w:rFonts w:hint="eastAsia" w:ascii="黑体" w:hAnsi="黑体" w:eastAsia="黑体" w:cs="黑体"/>
          <w:b w:val="0"/>
          <w:bCs/>
          <w:color w:val="auto"/>
          <w:highlight w:val="none"/>
        </w:rPr>
        <w:t>工程</w:t>
      </w:r>
    </w:p>
    <w:p>
      <w:pPr>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kern w:val="0"/>
          <w:sz w:val="30"/>
          <w:szCs w:val="30"/>
          <w:highlight w:val="none"/>
        </w:rPr>
      </w:pPr>
      <w:r>
        <w:rPr>
          <w:rFonts w:eastAsia="仿宋_GB2312"/>
          <w:color w:val="auto"/>
          <w:spacing w:val="4"/>
          <w:kern w:val="0"/>
          <w:sz w:val="30"/>
          <w:szCs w:val="30"/>
          <w:highlight w:val="none"/>
        </w:rPr>
        <w:t>中河蓄滞洪工程位于金堂县城上游中河右岸官仓街道</w:t>
      </w:r>
      <w:r>
        <w:rPr>
          <w:rFonts w:hint="eastAsia" w:eastAsia="仿宋_GB2312"/>
          <w:color w:val="auto"/>
          <w:spacing w:val="4"/>
          <w:kern w:val="0"/>
          <w:sz w:val="30"/>
          <w:szCs w:val="30"/>
          <w:highlight w:val="none"/>
          <w:lang w:val="en-US" w:eastAsia="zh-CN"/>
        </w:rPr>
        <w:t>境内</w:t>
      </w:r>
      <w:r>
        <w:rPr>
          <w:rFonts w:eastAsia="仿宋_GB2312"/>
          <w:color w:val="auto"/>
          <w:spacing w:val="4"/>
          <w:kern w:val="0"/>
          <w:sz w:val="30"/>
          <w:szCs w:val="30"/>
          <w:highlight w:val="none"/>
        </w:rPr>
        <w:t>，开发任务是协同蓄滞金堂</w:t>
      </w:r>
      <w:r>
        <w:rPr>
          <w:rFonts w:hint="eastAsia" w:eastAsia="仿宋_GB2312"/>
          <w:color w:val="auto"/>
          <w:spacing w:val="4"/>
          <w:kern w:val="0"/>
          <w:sz w:val="30"/>
          <w:szCs w:val="30"/>
          <w:highlight w:val="none"/>
          <w:lang w:val="en-US" w:eastAsia="zh-CN"/>
        </w:rPr>
        <w:t>县</w:t>
      </w:r>
      <w:r>
        <w:rPr>
          <w:rFonts w:eastAsia="仿宋_GB2312"/>
          <w:color w:val="auto"/>
          <w:spacing w:val="4"/>
          <w:kern w:val="0"/>
          <w:sz w:val="30"/>
          <w:szCs w:val="30"/>
          <w:highlight w:val="none"/>
        </w:rPr>
        <w:t>城区20年一遇以上的超额洪水，分洪断面坝址以上流域面积962km</w:t>
      </w:r>
      <w:r>
        <w:rPr>
          <w:rFonts w:eastAsia="仿宋_GB2312"/>
          <w:color w:val="auto"/>
          <w:spacing w:val="4"/>
          <w:kern w:val="0"/>
          <w:sz w:val="30"/>
          <w:szCs w:val="30"/>
          <w:highlight w:val="none"/>
          <w:vertAlign w:val="superscript"/>
        </w:rPr>
        <w:t>2</w:t>
      </w:r>
      <w:r>
        <w:rPr>
          <w:rFonts w:eastAsia="仿宋_GB2312"/>
          <w:color w:val="auto"/>
          <w:spacing w:val="4"/>
          <w:kern w:val="0"/>
          <w:sz w:val="30"/>
          <w:szCs w:val="30"/>
          <w:highlight w:val="none"/>
        </w:rPr>
        <w:t>，蓄滞洪总容积1500万m</w:t>
      </w:r>
      <w:r>
        <w:rPr>
          <w:rFonts w:eastAsia="仿宋_GB2312"/>
          <w:color w:val="auto"/>
          <w:spacing w:val="4"/>
          <w:kern w:val="0"/>
          <w:sz w:val="30"/>
          <w:szCs w:val="30"/>
          <w:highlight w:val="none"/>
          <w:vertAlign w:val="superscript"/>
        </w:rPr>
        <w:t>3</w:t>
      </w:r>
      <w:r>
        <w:rPr>
          <w:rFonts w:eastAsia="仿宋_GB2312"/>
          <w:color w:val="auto"/>
          <w:spacing w:val="4"/>
          <w:kern w:val="0"/>
          <w:sz w:val="30"/>
          <w:szCs w:val="30"/>
          <w:highlight w:val="none"/>
        </w:rPr>
        <w:t>，占地面积4290亩，保护对象是金堂县城</w:t>
      </w:r>
      <w:r>
        <w:rPr>
          <w:rFonts w:hint="eastAsia" w:eastAsia="仿宋_GB2312"/>
          <w:color w:val="auto"/>
          <w:spacing w:val="4"/>
          <w:kern w:val="0"/>
          <w:sz w:val="30"/>
          <w:szCs w:val="30"/>
          <w:highlight w:val="none"/>
          <w:lang w:val="en-US" w:eastAsia="zh-CN"/>
        </w:rPr>
        <w:t>区</w:t>
      </w:r>
      <w:r>
        <w:rPr>
          <w:rFonts w:eastAsia="仿宋_GB2312"/>
          <w:color w:val="auto"/>
          <w:spacing w:val="4"/>
          <w:kern w:val="0"/>
          <w:sz w:val="30"/>
          <w:szCs w:val="30"/>
          <w:highlight w:val="none"/>
        </w:rPr>
        <w:t>。</w:t>
      </w:r>
    </w:p>
    <w:p>
      <w:pPr>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kern w:val="0"/>
          <w:sz w:val="30"/>
          <w:szCs w:val="30"/>
          <w:highlight w:val="none"/>
        </w:rPr>
      </w:pPr>
      <w:r>
        <w:rPr>
          <w:rFonts w:eastAsia="仿宋_GB2312"/>
          <w:color w:val="auto"/>
          <w:spacing w:val="4"/>
          <w:kern w:val="0"/>
          <w:sz w:val="30"/>
          <w:szCs w:val="30"/>
          <w:highlight w:val="none"/>
        </w:rPr>
        <w:t>中河蓄滞洪工程主要建设内容为挖库、河道堤防和库周围堤、中河节制闸、分洪闸、退洪闸、退洪渠、农田灌排建设、土地复垦等，蓄洪水位454.0m，库底开挖高程447.0m，回填1</w:t>
      </w:r>
      <w:r>
        <w:rPr>
          <w:rFonts w:hint="eastAsia" w:eastAsia="仿宋_GB2312"/>
          <w:color w:val="auto"/>
          <w:spacing w:val="4"/>
          <w:kern w:val="0"/>
          <w:sz w:val="30"/>
          <w:szCs w:val="30"/>
          <w:highlight w:val="none"/>
          <w:lang w:val="en-US" w:eastAsia="zh-CN"/>
        </w:rPr>
        <w:t>m</w:t>
      </w:r>
      <w:r>
        <w:rPr>
          <w:rFonts w:eastAsia="仿宋_GB2312"/>
          <w:color w:val="auto"/>
          <w:spacing w:val="4"/>
          <w:kern w:val="0"/>
          <w:sz w:val="30"/>
          <w:szCs w:val="30"/>
          <w:highlight w:val="none"/>
        </w:rPr>
        <w:t>耕植土至448.0m，平均挖深4.</w:t>
      </w:r>
      <w:r>
        <w:rPr>
          <w:rFonts w:hint="eastAsia" w:eastAsia="仿宋_GB2312"/>
          <w:color w:val="auto"/>
          <w:spacing w:val="4"/>
          <w:kern w:val="0"/>
          <w:sz w:val="30"/>
          <w:szCs w:val="30"/>
          <w:highlight w:val="none"/>
          <w:lang w:val="en-US" w:eastAsia="zh-CN"/>
        </w:rPr>
        <w:t>5</w:t>
      </w:r>
      <w:r>
        <w:rPr>
          <w:rFonts w:eastAsia="仿宋_GB2312"/>
          <w:color w:val="auto"/>
          <w:spacing w:val="4"/>
          <w:kern w:val="0"/>
          <w:sz w:val="30"/>
          <w:szCs w:val="30"/>
          <w:highlight w:val="none"/>
        </w:rPr>
        <w:t>m。分洪闸位于中河与草碾河汇口右岸，分洪闸设计分洪流量530m</w:t>
      </w:r>
      <w:r>
        <w:rPr>
          <w:rFonts w:eastAsia="仿宋_GB2312"/>
          <w:color w:val="auto"/>
          <w:spacing w:val="4"/>
          <w:kern w:val="0"/>
          <w:sz w:val="30"/>
          <w:szCs w:val="30"/>
          <w:highlight w:val="none"/>
          <w:vertAlign w:val="superscript"/>
        </w:rPr>
        <w:t>3</w:t>
      </w:r>
      <w:r>
        <w:rPr>
          <w:rFonts w:eastAsia="仿宋_GB2312"/>
          <w:color w:val="auto"/>
          <w:spacing w:val="4"/>
          <w:kern w:val="0"/>
          <w:sz w:val="30"/>
          <w:szCs w:val="30"/>
          <w:highlight w:val="none"/>
        </w:rPr>
        <w:t>/s；节制闸位于分洪闸下游约260 m处，闸室底板顶高程为447.0m；退洪闸位于荣华社区辞家院子附近，闸室底板顶高程为447.5m；退水渠宽23m，出口位于清江二电站厂房下游约120m处，长约1.7km；库周新建或加高加固堤防12.1km，其中临河堤长5.3km。当中河发生超额洪水时，通过分洪闸向中河分蓄滞洪库分蓄洪水，待洪水过后再通过泄洪渠退水。规划远景</w:t>
      </w:r>
      <w:r>
        <w:rPr>
          <w:rFonts w:hint="eastAsia" w:eastAsia="仿宋_GB2312"/>
          <w:color w:val="auto"/>
          <w:spacing w:val="4"/>
          <w:kern w:val="0"/>
          <w:sz w:val="30"/>
          <w:szCs w:val="30"/>
          <w:highlight w:val="none"/>
          <w:lang w:val="en-US" w:eastAsia="zh-CN"/>
        </w:rPr>
        <w:t>适时建设</w:t>
      </w:r>
      <w:r>
        <w:rPr>
          <w:rFonts w:eastAsia="仿宋_GB2312"/>
          <w:color w:val="auto"/>
          <w:spacing w:val="4"/>
          <w:kern w:val="0"/>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六</w:t>
      </w:r>
      <w:r>
        <w:rPr>
          <w:rStyle w:val="733"/>
          <w:rFonts w:hint="eastAsia" w:ascii="黑体" w:hAnsi="黑体" w:eastAsia="黑体" w:cs="黑体"/>
          <w:b w:val="0"/>
          <w:bCs/>
          <w:color w:val="auto"/>
          <w:highlight w:val="none"/>
        </w:rPr>
        <w:t>、</w:t>
      </w:r>
      <w:r>
        <w:rPr>
          <w:rStyle w:val="550"/>
          <w:rFonts w:hint="eastAsia" w:ascii="黑体" w:hAnsi="黑体" w:eastAsia="黑体" w:cs="黑体"/>
          <w:b w:val="0"/>
          <w:bCs/>
          <w:color w:val="auto"/>
          <w:highlight w:val="none"/>
        </w:rPr>
        <w:t>钟家湾水库</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钟家湾水库</w:t>
      </w:r>
      <w:r>
        <w:rPr>
          <w:rFonts w:hint="eastAsia"/>
          <w:color w:val="auto"/>
          <w:spacing w:val="4"/>
          <w:sz w:val="30"/>
          <w:szCs w:val="30"/>
          <w:highlight w:val="none"/>
          <w:lang w:val="en-US" w:eastAsia="zh-CN"/>
        </w:rPr>
        <w:t>位于沱江支流</w:t>
      </w:r>
      <w:r>
        <w:rPr>
          <w:color w:val="auto"/>
          <w:spacing w:val="4"/>
          <w:sz w:val="30"/>
          <w:szCs w:val="30"/>
          <w:highlight w:val="none"/>
        </w:rPr>
        <w:t>小阳化河上</w:t>
      </w:r>
      <w:r>
        <w:rPr>
          <w:rFonts w:hint="eastAsia"/>
          <w:color w:val="auto"/>
          <w:spacing w:val="4"/>
          <w:sz w:val="30"/>
          <w:szCs w:val="30"/>
          <w:highlight w:val="none"/>
          <w:lang w:eastAsia="zh-CN"/>
        </w:rPr>
        <w:t>，</w:t>
      </w:r>
      <w:r>
        <w:rPr>
          <w:color w:val="auto"/>
          <w:spacing w:val="4"/>
          <w:sz w:val="30"/>
          <w:szCs w:val="30"/>
          <w:highlight w:val="none"/>
        </w:rPr>
        <w:t>坝址</w:t>
      </w:r>
      <w:r>
        <w:rPr>
          <w:rFonts w:hint="eastAsia"/>
          <w:color w:val="auto"/>
          <w:spacing w:val="4"/>
          <w:sz w:val="30"/>
          <w:szCs w:val="30"/>
          <w:highlight w:val="none"/>
          <w:lang w:val="en-US" w:eastAsia="zh-CN"/>
        </w:rPr>
        <w:t>地处</w:t>
      </w:r>
      <w:r>
        <w:rPr>
          <w:color w:val="auto"/>
          <w:spacing w:val="4"/>
          <w:sz w:val="30"/>
          <w:szCs w:val="30"/>
          <w:highlight w:val="none"/>
        </w:rPr>
        <w:t>资阳市雁江区保和镇</w:t>
      </w:r>
      <w:r>
        <w:rPr>
          <w:rFonts w:hint="eastAsia"/>
          <w:color w:val="auto"/>
          <w:spacing w:val="4"/>
          <w:sz w:val="30"/>
          <w:szCs w:val="30"/>
          <w:highlight w:val="none"/>
          <w:lang w:val="en-US" w:eastAsia="zh-CN"/>
        </w:rPr>
        <w:t>境内</w:t>
      </w:r>
      <w:r>
        <w:rPr>
          <w:color w:val="auto"/>
          <w:spacing w:val="4"/>
          <w:sz w:val="30"/>
          <w:szCs w:val="30"/>
          <w:highlight w:val="none"/>
        </w:rPr>
        <w:t>，坝址以上</w:t>
      </w:r>
      <w:r>
        <w:rPr>
          <w:rFonts w:hint="eastAsia"/>
          <w:color w:val="auto"/>
          <w:spacing w:val="4"/>
          <w:sz w:val="30"/>
          <w:szCs w:val="30"/>
          <w:highlight w:val="none"/>
          <w:lang w:val="en-US" w:eastAsia="zh-CN"/>
        </w:rPr>
        <w:t>集雨</w:t>
      </w:r>
      <w:r>
        <w:rPr>
          <w:color w:val="auto"/>
          <w:spacing w:val="4"/>
          <w:sz w:val="30"/>
          <w:szCs w:val="30"/>
          <w:highlight w:val="none"/>
        </w:rPr>
        <w:t>面积44</w:t>
      </w:r>
      <w:r>
        <w:rPr>
          <w:rFonts w:hint="eastAsia"/>
          <w:color w:val="auto"/>
          <w:spacing w:val="4"/>
          <w:sz w:val="30"/>
          <w:szCs w:val="30"/>
          <w:highlight w:val="none"/>
          <w:lang w:val="en-US" w:eastAsia="zh-CN"/>
        </w:rPr>
        <w:t>4</w:t>
      </w:r>
      <w:r>
        <w:rPr>
          <w:color w:val="auto"/>
          <w:spacing w:val="4"/>
          <w:sz w:val="30"/>
          <w:szCs w:val="30"/>
          <w:highlight w:val="none"/>
        </w:rPr>
        <w:t>km</w:t>
      </w:r>
      <w:r>
        <w:rPr>
          <w:color w:val="auto"/>
          <w:spacing w:val="4"/>
          <w:sz w:val="30"/>
          <w:szCs w:val="30"/>
          <w:highlight w:val="none"/>
          <w:vertAlign w:val="superscript"/>
        </w:rPr>
        <w:t>2</w:t>
      </w:r>
      <w:r>
        <w:rPr>
          <w:color w:val="auto"/>
          <w:spacing w:val="4"/>
          <w:sz w:val="30"/>
          <w:szCs w:val="30"/>
          <w:highlight w:val="none"/>
        </w:rPr>
        <w:t>，开发任务</w:t>
      </w:r>
      <w:r>
        <w:rPr>
          <w:rFonts w:hint="eastAsia"/>
          <w:color w:val="auto"/>
          <w:spacing w:val="4"/>
          <w:sz w:val="30"/>
          <w:szCs w:val="30"/>
          <w:highlight w:val="none"/>
          <w:lang w:val="en-US" w:eastAsia="zh-CN"/>
        </w:rPr>
        <w:t>为</w:t>
      </w:r>
      <w:r>
        <w:rPr>
          <w:color w:val="auto"/>
          <w:spacing w:val="4"/>
          <w:sz w:val="30"/>
          <w:szCs w:val="30"/>
          <w:highlight w:val="none"/>
        </w:rPr>
        <w:t>城乡供水</w:t>
      </w:r>
      <w:r>
        <w:rPr>
          <w:rFonts w:hint="eastAsia"/>
          <w:color w:val="auto"/>
          <w:spacing w:val="4"/>
          <w:sz w:val="30"/>
          <w:szCs w:val="30"/>
          <w:highlight w:val="none"/>
          <w:lang w:eastAsia="zh-CN"/>
        </w:rPr>
        <w:t>、</w:t>
      </w:r>
      <w:r>
        <w:rPr>
          <w:color w:val="auto"/>
          <w:spacing w:val="4"/>
          <w:sz w:val="30"/>
          <w:szCs w:val="30"/>
          <w:highlight w:val="none"/>
        </w:rPr>
        <w:t>农业灌溉，兼顾防洪及下游河道内生态环境用水等</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初拟水库</w:t>
      </w:r>
      <w:r>
        <w:rPr>
          <w:color w:val="auto"/>
          <w:spacing w:val="4"/>
          <w:sz w:val="30"/>
          <w:szCs w:val="30"/>
          <w:highlight w:val="none"/>
        </w:rPr>
        <w:t>总库容15032万m</w:t>
      </w:r>
      <w:r>
        <w:rPr>
          <w:color w:val="auto"/>
          <w:spacing w:val="4"/>
          <w:sz w:val="30"/>
          <w:szCs w:val="30"/>
          <w:highlight w:val="none"/>
          <w:vertAlign w:val="superscript"/>
        </w:rPr>
        <w:t>3</w:t>
      </w:r>
      <w:r>
        <w:rPr>
          <w:color w:val="auto"/>
          <w:spacing w:val="4"/>
          <w:sz w:val="30"/>
          <w:szCs w:val="30"/>
          <w:highlight w:val="none"/>
        </w:rPr>
        <w:t>，防洪库容4232万m</w:t>
      </w:r>
      <w:r>
        <w:rPr>
          <w:color w:val="auto"/>
          <w:spacing w:val="4"/>
          <w:sz w:val="30"/>
          <w:szCs w:val="30"/>
          <w:highlight w:val="none"/>
          <w:vertAlign w:val="superscript"/>
        </w:rPr>
        <w:t>3</w:t>
      </w:r>
      <w:r>
        <w:rPr>
          <w:color w:val="auto"/>
          <w:spacing w:val="4"/>
          <w:sz w:val="30"/>
          <w:szCs w:val="30"/>
          <w:highlight w:val="none"/>
        </w:rPr>
        <w:t xml:space="preserve">。 </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钟家湾水库保护对象为</w:t>
      </w:r>
      <w:r>
        <w:rPr>
          <w:rFonts w:hint="eastAsia"/>
          <w:color w:val="auto"/>
          <w:spacing w:val="4"/>
          <w:sz w:val="30"/>
          <w:szCs w:val="30"/>
          <w:highlight w:val="none"/>
          <w:lang w:val="en-US" w:eastAsia="zh-CN"/>
        </w:rPr>
        <w:t>沱江</w:t>
      </w:r>
      <w:r>
        <w:rPr>
          <w:color w:val="auto"/>
          <w:spacing w:val="4"/>
          <w:sz w:val="30"/>
          <w:szCs w:val="30"/>
          <w:highlight w:val="none"/>
        </w:rPr>
        <w:t>支流小阳化河</w:t>
      </w:r>
      <w:r>
        <w:rPr>
          <w:rFonts w:hint="eastAsia"/>
          <w:color w:val="auto"/>
          <w:spacing w:val="4"/>
          <w:sz w:val="30"/>
          <w:szCs w:val="30"/>
          <w:highlight w:val="none"/>
          <w:lang w:val="en-US" w:eastAsia="zh-CN"/>
        </w:rPr>
        <w:t>上的</w:t>
      </w:r>
      <w:r>
        <w:rPr>
          <w:color w:val="auto"/>
          <w:spacing w:val="4"/>
          <w:sz w:val="30"/>
          <w:szCs w:val="30"/>
          <w:highlight w:val="none"/>
        </w:rPr>
        <w:t>保和镇、老君镇</w:t>
      </w:r>
      <w:r>
        <w:rPr>
          <w:rFonts w:hint="eastAsia"/>
          <w:color w:val="auto"/>
          <w:spacing w:val="4"/>
          <w:sz w:val="30"/>
          <w:szCs w:val="30"/>
          <w:highlight w:val="none"/>
          <w:lang w:val="en-US" w:eastAsia="zh-CN"/>
        </w:rPr>
        <w:t>和</w:t>
      </w:r>
      <w:r>
        <w:rPr>
          <w:color w:val="auto"/>
          <w:spacing w:val="4"/>
          <w:sz w:val="30"/>
          <w:szCs w:val="30"/>
          <w:highlight w:val="none"/>
        </w:rPr>
        <w:t>资阳市城区。规划远景</w:t>
      </w:r>
      <w:r>
        <w:rPr>
          <w:rFonts w:hint="eastAsia"/>
          <w:color w:val="auto"/>
          <w:spacing w:val="4"/>
          <w:sz w:val="30"/>
          <w:szCs w:val="30"/>
          <w:highlight w:val="none"/>
          <w:lang w:val="en-US" w:eastAsia="zh-CN"/>
        </w:rPr>
        <w:t>适时建设</w:t>
      </w:r>
      <w:r>
        <w:rPr>
          <w:color w:val="auto"/>
          <w:spacing w:val="4"/>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ind w:firstLine="581"/>
        <w:textAlignment w:val="auto"/>
        <w:rPr>
          <w:rFonts w:hint="eastAsia" w:ascii="黑体" w:hAnsi="黑体" w:eastAsia="黑体" w:cs="黑体"/>
          <w:b w:val="0"/>
          <w:bCs/>
          <w:color w:val="auto"/>
          <w:spacing w:val="4"/>
          <w:highlight w:val="none"/>
        </w:rPr>
      </w:pPr>
      <w:r>
        <w:rPr>
          <w:rFonts w:hint="eastAsia" w:ascii="黑体" w:hAnsi="黑体" w:eastAsia="黑体" w:cs="黑体"/>
          <w:b w:val="0"/>
          <w:bCs/>
          <w:color w:val="auto"/>
          <w:spacing w:val="4"/>
          <w:highlight w:val="none"/>
        </w:rPr>
        <w:t>七</w:t>
      </w:r>
      <w:r>
        <w:rPr>
          <w:rStyle w:val="733"/>
          <w:rFonts w:hint="eastAsia" w:ascii="黑体" w:hAnsi="黑体" w:eastAsia="黑体" w:cs="黑体"/>
          <w:b w:val="0"/>
          <w:bCs/>
          <w:color w:val="auto"/>
          <w:highlight w:val="none"/>
        </w:rPr>
        <w:t>、</w:t>
      </w:r>
      <w:r>
        <w:rPr>
          <w:rFonts w:hint="eastAsia" w:ascii="黑体" w:hAnsi="黑体" w:eastAsia="黑体" w:cs="黑体"/>
          <w:b w:val="0"/>
          <w:bCs/>
          <w:color w:val="auto"/>
          <w:spacing w:val="4"/>
          <w:highlight w:val="none"/>
        </w:rPr>
        <w:t>麻柳湾分蓄洪工程</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kern w:val="0"/>
          <w:sz w:val="30"/>
          <w:szCs w:val="30"/>
          <w:highlight w:val="none"/>
        </w:rPr>
      </w:pPr>
      <w:r>
        <w:rPr>
          <w:color w:val="auto"/>
          <w:kern w:val="0"/>
          <w:sz w:val="30"/>
          <w:szCs w:val="30"/>
          <w:highlight w:val="none"/>
        </w:rPr>
        <w:t>麻柳湾</w:t>
      </w:r>
      <w:r>
        <w:rPr>
          <w:rFonts w:hint="eastAsia"/>
          <w:color w:val="auto"/>
          <w:sz w:val="30"/>
          <w:szCs w:val="30"/>
          <w:highlight w:val="none"/>
        </w:rPr>
        <w:t>分蓄洪工程</w:t>
      </w:r>
      <w:r>
        <w:rPr>
          <w:color w:val="auto"/>
          <w:kern w:val="0"/>
          <w:sz w:val="30"/>
          <w:szCs w:val="30"/>
          <w:highlight w:val="none"/>
        </w:rPr>
        <w:t>位于沱江支流威远河上，坝址</w:t>
      </w:r>
      <w:r>
        <w:rPr>
          <w:rFonts w:hint="eastAsia"/>
          <w:color w:val="auto"/>
          <w:kern w:val="0"/>
          <w:sz w:val="30"/>
          <w:szCs w:val="30"/>
          <w:highlight w:val="none"/>
          <w:lang w:val="en-US" w:eastAsia="zh-CN"/>
        </w:rPr>
        <w:t>地处</w:t>
      </w:r>
      <w:r>
        <w:rPr>
          <w:color w:val="auto"/>
          <w:kern w:val="0"/>
          <w:sz w:val="30"/>
          <w:szCs w:val="30"/>
          <w:highlight w:val="none"/>
        </w:rPr>
        <w:t>自贡市境内，坝址以上</w:t>
      </w:r>
      <w:r>
        <w:rPr>
          <w:rFonts w:hint="eastAsia"/>
          <w:color w:val="auto"/>
          <w:kern w:val="0"/>
          <w:sz w:val="30"/>
          <w:szCs w:val="30"/>
          <w:highlight w:val="none"/>
          <w:lang w:val="en-US" w:eastAsia="zh-CN"/>
        </w:rPr>
        <w:t>集雨</w:t>
      </w:r>
      <w:r>
        <w:rPr>
          <w:color w:val="auto"/>
          <w:kern w:val="0"/>
          <w:sz w:val="30"/>
          <w:szCs w:val="30"/>
          <w:highlight w:val="none"/>
        </w:rPr>
        <w:t>面积941km</w:t>
      </w:r>
      <w:r>
        <w:rPr>
          <w:color w:val="auto"/>
          <w:kern w:val="0"/>
          <w:sz w:val="30"/>
          <w:szCs w:val="30"/>
          <w:highlight w:val="none"/>
          <w:vertAlign w:val="superscript"/>
        </w:rPr>
        <w:t>2</w:t>
      </w:r>
      <w:r>
        <w:rPr>
          <w:color w:val="auto"/>
          <w:kern w:val="0"/>
          <w:sz w:val="30"/>
          <w:szCs w:val="30"/>
          <w:highlight w:val="none"/>
        </w:rPr>
        <w:t>，开发任务为防洪及生态补水</w:t>
      </w:r>
      <w:r>
        <w:rPr>
          <w:rFonts w:hint="eastAsia"/>
          <w:color w:val="auto"/>
          <w:kern w:val="0"/>
          <w:sz w:val="30"/>
          <w:szCs w:val="30"/>
          <w:highlight w:val="none"/>
          <w:lang w:eastAsia="zh-CN"/>
        </w:rPr>
        <w:t>。</w:t>
      </w:r>
      <w:r>
        <w:rPr>
          <w:rFonts w:hint="eastAsia"/>
          <w:color w:val="auto"/>
          <w:kern w:val="0"/>
          <w:sz w:val="30"/>
          <w:szCs w:val="30"/>
          <w:highlight w:val="none"/>
          <w:lang w:val="en-US" w:eastAsia="zh-CN"/>
        </w:rPr>
        <w:t>初拟水库</w:t>
      </w:r>
      <w:r>
        <w:rPr>
          <w:color w:val="auto"/>
          <w:kern w:val="0"/>
          <w:sz w:val="30"/>
          <w:szCs w:val="30"/>
          <w:highlight w:val="none"/>
        </w:rPr>
        <w:t>总库容1650万m</w:t>
      </w:r>
      <w:r>
        <w:rPr>
          <w:color w:val="auto"/>
          <w:kern w:val="0"/>
          <w:sz w:val="30"/>
          <w:szCs w:val="30"/>
          <w:highlight w:val="none"/>
          <w:vertAlign w:val="superscript"/>
        </w:rPr>
        <w:t>3</w:t>
      </w:r>
      <w:r>
        <w:rPr>
          <w:color w:val="auto"/>
          <w:kern w:val="0"/>
          <w:sz w:val="30"/>
          <w:szCs w:val="30"/>
          <w:highlight w:val="none"/>
        </w:rPr>
        <w:t>，防洪库容1060万m</w:t>
      </w:r>
      <w:r>
        <w:rPr>
          <w:color w:val="auto"/>
          <w:kern w:val="0"/>
          <w:sz w:val="30"/>
          <w:szCs w:val="30"/>
          <w:highlight w:val="none"/>
          <w:vertAlign w:val="superscript"/>
        </w:rPr>
        <w:t>3</w:t>
      </w:r>
      <w:r>
        <w:rPr>
          <w:color w:val="auto"/>
          <w:kern w:val="0"/>
          <w:sz w:val="30"/>
          <w:szCs w:val="30"/>
          <w:highlight w:val="none"/>
        </w:rPr>
        <w:t>。</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kern w:val="0"/>
          <w:sz w:val="30"/>
          <w:szCs w:val="30"/>
          <w:highlight w:val="none"/>
        </w:rPr>
        <w:t>麻柳湾</w:t>
      </w:r>
      <w:r>
        <w:rPr>
          <w:rFonts w:hint="eastAsia"/>
          <w:color w:val="auto"/>
          <w:sz w:val="30"/>
          <w:szCs w:val="30"/>
          <w:highlight w:val="none"/>
        </w:rPr>
        <w:t>分蓄洪工程</w:t>
      </w:r>
      <w:r>
        <w:rPr>
          <w:color w:val="auto"/>
          <w:kern w:val="0"/>
          <w:sz w:val="30"/>
          <w:szCs w:val="30"/>
          <w:highlight w:val="none"/>
        </w:rPr>
        <w:t>保护对象为自贡市城区。规划水平年通过堤防、岸坡治理等工程措施及临时挡护、预警疏散等措施</w:t>
      </w:r>
      <w:r>
        <w:rPr>
          <w:rFonts w:hint="eastAsia"/>
          <w:color w:val="auto"/>
          <w:kern w:val="0"/>
          <w:sz w:val="30"/>
          <w:szCs w:val="30"/>
          <w:highlight w:val="none"/>
          <w:lang w:eastAsia="zh-CN"/>
        </w:rPr>
        <w:t>，</w:t>
      </w:r>
      <w:r>
        <w:rPr>
          <w:color w:val="auto"/>
          <w:kern w:val="0"/>
          <w:sz w:val="30"/>
          <w:szCs w:val="30"/>
          <w:highlight w:val="none"/>
        </w:rPr>
        <w:t>将自贡市城区防洪标准提高</w:t>
      </w:r>
      <w:r>
        <w:rPr>
          <w:rFonts w:hint="eastAsia"/>
          <w:color w:val="auto"/>
          <w:kern w:val="0"/>
          <w:sz w:val="30"/>
          <w:szCs w:val="30"/>
          <w:highlight w:val="none"/>
          <w:lang w:val="en-US" w:eastAsia="zh-CN"/>
        </w:rPr>
        <w:t>至</w:t>
      </w:r>
      <w:r>
        <w:rPr>
          <w:color w:val="auto"/>
          <w:kern w:val="0"/>
          <w:sz w:val="30"/>
          <w:szCs w:val="30"/>
          <w:highlight w:val="none"/>
        </w:rPr>
        <w:t>20年一遇；远景麻柳湾</w:t>
      </w:r>
      <w:r>
        <w:rPr>
          <w:rFonts w:hint="eastAsia"/>
          <w:color w:val="auto"/>
          <w:sz w:val="30"/>
          <w:szCs w:val="30"/>
          <w:highlight w:val="none"/>
        </w:rPr>
        <w:t>分蓄洪工程</w:t>
      </w:r>
      <w:r>
        <w:rPr>
          <w:color w:val="auto"/>
          <w:kern w:val="0"/>
          <w:sz w:val="30"/>
          <w:szCs w:val="30"/>
          <w:highlight w:val="none"/>
        </w:rPr>
        <w:t>建成后将彻底解决自贡市城区防洪问题，</w:t>
      </w:r>
      <w:r>
        <w:rPr>
          <w:rFonts w:hint="eastAsia"/>
          <w:color w:val="auto"/>
          <w:kern w:val="0"/>
          <w:sz w:val="30"/>
          <w:szCs w:val="30"/>
          <w:highlight w:val="none"/>
          <w:lang w:val="en-US" w:eastAsia="zh-CN"/>
        </w:rPr>
        <w:t>可将</w:t>
      </w:r>
      <w:r>
        <w:rPr>
          <w:color w:val="auto"/>
          <w:kern w:val="0"/>
          <w:sz w:val="30"/>
          <w:szCs w:val="30"/>
          <w:highlight w:val="none"/>
        </w:rPr>
        <w:t>防洪标准</w:t>
      </w:r>
      <w:r>
        <w:rPr>
          <w:rFonts w:hint="eastAsia"/>
          <w:color w:val="auto"/>
          <w:kern w:val="0"/>
          <w:sz w:val="30"/>
          <w:szCs w:val="30"/>
          <w:highlight w:val="none"/>
          <w:lang w:val="en-US" w:eastAsia="zh-CN"/>
        </w:rPr>
        <w:t>由</w:t>
      </w:r>
      <w:r>
        <w:rPr>
          <w:color w:val="auto"/>
          <w:kern w:val="0"/>
          <w:sz w:val="30"/>
          <w:szCs w:val="30"/>
          <w:highlight w:val="none"/>
        </w:rPr>
        <w:t>20年一遇提高至50年一遇。</w:t>
      </w:r>
      <w:r>
        <w:rPr>
          <w:color w:val="auto"/>
          <w:sz w:val="30"/>
          <w:szCs w:val="30"/>
          <w:highlight w:val="none"/>
        </w:rPr>
        <w:t>规划远景</w:t>
      </w:r>
      <w:r>
        <w:rPr>
          <w:rFonts w:hint="eastAsia"/>
          <w:color w:val="auto"/>
          <w:sz w:val="30"/>
          <w:szCs w:val="30"/>
          <w:highlight w:val="none"/>
          <w:lang w:val="en-US" w:eastAsia="zh-CN"/>
        </w:rPr>
        <w:t>适时</w:t>
      </w:r>
      <w:r>
        <w:rPr>
          <w:color w:val="auto"/>
          <w:sz w:val="30"/>
          <w:szCs w:val="30"/>
          <w:highlight w:val="none"/>
        </w:rPr>
        <w:t>建设。</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sectPr>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r>
        <w:rPr>
          <w:color w:val="auto"/>
          <w:kern w:val="0"/>
          <w:sz w:val="30"/>
          <w:szCs w:val="30"/>
          <w:highlight w:val="none"/>
        </w:rPr>
        <w:t>沱江流域</w:t>
      </w:r>
      <w:r>
        <w:rPr>
          <w:color w:val="auto"/>
          <w:sz w:val="30"/>
          <w:szCs w:val="30"/>
          <w:highlight w:val="none"/>
        </w:rPr>
        <w:t>防洪水库工程特性主要指标详见表7.1.1。</w:t>
      </w: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 xml:space="preserve">表7.1.1   </w:t>
      </w:r>
      <w:r>
        <w:rPr>
          <w:rFonts w:hint="eastAsia" w:ascii="Times New Roman"/>
          <w:b w:val="0"/>
          <w:bCs w:val="0"/>
          <w:color w:val="auto"/>
          <w:sz w:val="28"/>
          <w:highlight w:val="none"/>
          <w:lang w:val="en-US" w:eastAsia="zh-CN"/>
        </w:rPr>
        <w:t xml:space="preserve">                              沱江流域</w:t>
      </w:r>
      <w:r>
        <w:rPr>
          <w:rFonts w:ascii="Times New Roman"/>
          <w:b w:val="0"/>
          <w:bCs w:val="0"/>
          <w:color w:val="auto"/>
          <w:sz w:val="28"/>
          <w:highlight w:val="none"/>
        </w:rPr>
        <w:t>防洪水库工程特性主要指标表</w:t>
      </w:r>
    </w:p>
    <w:tbl>
      <w:tblPr>
        <w:tblStyle w:val="88"/>
        <w:tblW w:w="4589" w:type="pct"/>
        <w:tblInd w:w="0" w:type="dxa"/>
        <w:tblLayout w:type="autofit"/>
        <w:tblCellMar>
          <w:top w:w="0" w:type="dxa"/>
          <w:left w:w="108" w:type="dxa"/>
          <w:bottom w:w="0" w:type="dxa"/>
          <w:right w:w="108" w:type="dxa"/>
        </w:tblCellMar>
      </w:tblPr>
      <w:tblGrid>
        <w:gridCol w:w="1390"/>
        <w:gridCol w:w="1390"/>
        <w:gridCol w:w="1013"/>
        <w:gridCol w:w="872"/>
        <w:gridCol w:w="1094"/>
        <w:gridCol w:w="1094"/>
        <w:gridCol w:w="1938"/>
        <w:gridCol w:w="790"/>
        <w:gridCol w:w="794"/>
        <w:gridCol w:w="1000"/>
        <w:gridCol w:w="1000"/>
        <w:gridCol w:w="1196"/>
      </w:tblGrid>
      <w:tr>
        <w:tblPrEx>
          <w:tblCellMar>
            <w:top w:w="0" w:type="dxa"/>
            <w:left w:w="108" w:type="dxa"/>
            <w:bottom w:w="0" w:type="dxa"/>
            <w:right w:w="108" w:type="dxa"/>
          </w:tblCellMar>
        </w:tblPrEx>
        <w:trPr>
          <w:trHeight w:val="672" w:hRule="atLeast"/>
        </w:trPr>
        <w:tc>
          <w:tcPr>
            <w:tcW w:w="1421" w:type="pct"/>
            <w:gridSpan w:val="3"/>
            <w:tcBorders>
              <w:top w:val="single" w:color="auto" w:sz="8" w:space="0"/>
              <w:left w:val="single" w:color="auto" w:sz="8" w:space="0"/>
              <w:bottom w:val="single" w:color="000000"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项目名称</w:t>
            </w:r>
          </w:p>
        </w:tc>
        <w:tc>
          <w:tcPr>
            <w:tcW w:w="302" w:type="pct"/>
            <w:tcBorders>
              <w:top w:val="single" w:color="auto" w:sz="8" w:space="0"/>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单 位</w:t>
            </w:r>
          </w:p>
        </w:tc>
        <w:tc>
          <w:tcPr>
            <w:tcW w:w="411"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金花寺</w:t>
            </w:r>
          </w:p>
          <w:p>
            <w:pPr>
              <w:jc w:val="center"/>
              <w:rPr>
                <w:rFonts w:eastAsia="楷体"/>
                <w:color w:val="auto"/>
                <w:kern w:val="0"/>
                <w:sz w:val="21"/>
                <w:szCs w:val="21"/>
                <w:highlight w:val="none"/>
              </w:rPr>
            </w:pPr>
            <w:r>
              <w:rPr>
                <w:rFonts w:eastAsia="楷体"/>
                <w:color w:val="auto"/>
                <w:kern w:val="0"/>
                <w:sz w:val="21"/>
                <w:szCs w:val="21"/>
                <w:highlight w:val="none"/>
              </w:rPr>
              <w:t>水库</w:t>
            </w:r>
          </w:p>
        </w:tc>
        <w:tc>
          <w:tcPr>
            <w:tcW w:w="411"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高景关</w:t>
            </w:r>
          </w:p>
          <w:p>
            <w:pPr>
              <w:jc w:val="center"/>
              <w:rPr>
                <w:rFonts w:eastAsia="楷体"/>
                <w:color w:val="auto"/>
                <w:kern w:val="0"/>
                <w:sz w:val="21"/>
                <w:szCs w:val="21"/>
                <w:highlight w:val="none"/>
              </w:rPr>
            </w:pPr>
            <w:r>
              <w:rPr>
                <w:rFonts w:eastAsia="楷体"/>
                <w:color w:val="auto"/>
                <w:kern w:val="0"/>
                <w:sz w:val="21"/>
                <w:szCs w:val="21"/>
                <w:highlight w:val="none"/>
              </w:rPr>
              <w:t>水库</w:t>
            </w:r>
          </w:p>
        </w:tc>
        <w:tc>
          <w:tcPr>
            <w:tcW w:w="649" w:type="pct"/>
            <w:tcBorders>
              <w:top w:val="single" w:color="auto" w:sz="8" w:space="0"/>
              <w:left w:val="nil"/>
              <w:right w:val="single" w:color="auto" w:sz="8" w:space="0"/>
            </w:tcBorders>
            <w:shd w:val="clear" w:color="000000" w:fill="FFFFFF"/>
            <w:noWrap/>
            <w:vAlign w:val="center"/>
          </w:tcPr>
          <w:p>
            <w:pPr>
              <w:jc w:val="center"/>
              <w:rPr>
                <w:rFonts w:eastAsia="楷体"/>
                <w:color w:val="auto"/>
                <w:kern w:val="0"/>
                <w:sz w:val="21"/>
                <w:szCs w:val="21"/>
                <w:highlight w:val="none"/>
              </w:rPr>
            </w:pPr>
            <w:r>
              <w:rPr>
                <w:rFonts w:eastAsia="楷体"/>
                <w:color w:val="auto"/>
                <w:kern w:val="0"/>
                <w:sz w:val="21"/>
                <w:szCs w:val="21"/>
                <w:highlight w:val="none"/>
              </w:rPr>
              <w:t>毗河分蓄洪工程</w:t>
            </w:r>
          </w:p>
          <w:p>
            <w:pPr>
              <w:rPr>
                <w:rFonts w:eastAsia="楷体"/>
                <w:color w:val="auto"/>
                <w:kern w:val="0"/>
                <w:sz w:val="21"/>
                <w:szCs w:val="21"/>
                <w:highlight w:val="none"/>
              </w:rPr>
            </w:pPr>
            <w:r>
              <w:rPr>
                <w:rFonts w:eastAsia="楷体"/>
                <w:color w:val="auto"/>
                <w:kern w:val="0"/>
                <w:sz w:val="21"/>
                <w:szCs w:val="21"/>
                <w:highlight w:val="none"/>
              </w:rPr>
              <w:t>（含远景团结水库）</w:t>
            </w:r>
          </w:p>
        </w:tc>
        <w:tc>
          <w:tcPr>
            <w:tcW w:w="296"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清平</w:t>
            </w:r>
          </w:p>
          <w:p>
            <w:pPr>
              <w:jc w:val="center"/>
              <w:rPr>
                <w:rFonts w:eastAsia="楷体"/>
                <w:color w:val="auto"/>
                <w:kern w:val="0"/>
                <w:sz w:val="21"/>
                <w:szCs w:val="21"/>
                <w:highlight w:val="none"/>
              </w:rPr>
            </w:pPr>
            <w:r>
              <w:rPr>
                <w:rFonts w:eastAsia="楷体"/>
                <w:color w:val="auto"/>
                <w:kern w:val="0"/>
                <w:sz w:val="21"/>
                <w:szCs w:val="21"/>
                <w:highlight w:val="none"/>
              </w:rPr>
              <w:t>水库</w:t>
            </w:r>
          </w:p>
        </w:tc>
        <w:tc>
          <w:tcPr>
            <w:tcW w:w="303"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东林寺</w:t>
            </w:r>
          </w:p>
          <w:p>
            <w:pPr>
              <w:jc w:val="center"/>
              <w:rPr>
                <w:rFonts w:eastAsia="楷体"/>
                <w:color w:val="auto"/>
                <w:kern w:val="0"/>
                <w:sz w:val="21"/>
                <w:szCs w:val="21"/>
                <w:highlight w:val="none"/>
              </w:rPr>
            </w:pPr>
            <w:r>
              <w:rPr>
                <w:rFonts w:eastAsia="楷体"/>
                <w:color w:val="auto"/>
                <w:kern w:val="0"/>
                <w:sz w:val="21"/>
                <w:szCs w:val="21"/>
                <w:highlight w:val="none"/>
              </w:rPr>
              <w:t>水库</w:t>
            </w:r>
          </w:p>
        </w:tc>
        <w:tc>
          <w:tcPr>
            <w:tcW w:w="376"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中河蓄滞</w:t>
            </w:r>
          </w:p>
          <w:p>
            <w:pPr>
              <w:jc w:val="center"/>
              <w:rPr>
                <w:rFonts w:eastAsia="楷体"/>
                <w:color w:val="auto"/>
                <w:kern w:val="0"/>
                <w:sz w:val="21"/>
                <w:szCs w:val="21"/>
                <w:highlight w:val="none"/>
              </w:rPr>
            </w:pPr>
            <w:r>
              <w:rPr>
                <w:rFonts w:eastAsia="楷体"/>
                <w:color w:val="auto"/>
                <w:kern w:val="0"/>
                <w:sz w:val="21"/>
                <w:szCs w:val="21"/>
                <w:highlight w:val="none"/>
              </w:rPr>
              <w:t>洪工程</w:t>
            </w:r>
          </w:p>
        </w:tc>
        <w:tc>
          <w:tcPr>
            <w:tcW w:w="376"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钟家湾</w:t>
            </w:r>
          </w:p>
          <w:p>
            <w:pPr>
              <w:jc w:val="center"/>
              <w:rPr>
                <w:rFonts w:eastAsia="楷体"/>
                <w:color w:val="auto"/>
                <w:kern w:val="0"/>
                <w:sz w:val="21"/>
                <w:szCs w:val="21"/>
                <w:highlight w:val="none"/>
              </w:rPr>
            </w:pPr>
            <w:r>
              <w:rPr>
                <w:rFonts w:eastAsia="楷体"/>
                <w:color w:val="auto"/>
                <w:kern w:val="0"/>
                <w:sz w:val="21"/>
                <w:szCs w:val="21"/>
                <w:highlight w:val="none"/>
              </w:rPr>
              <w:t>水库</w:t>
            </w:r>
          </w:p>
        </w:tc>
        <w:tc>
          <w:tcPr>
            <w:tcW w:w="448" w:type="pct"/>
            <w:tcBorders>
              <w:top w:val="single" w:color="auto" w:sz="8" w:space="0"/>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麻柳湾</w:t>
            </w:r>
          </w:p>
          <w:p>
            <w:pPr>
              <w:jc w:val="center"/>
              <w:rPr>
                <w:rFonts w:eastAsia="楷体"/>
                <w:color w:val="auto"/>
                <w:kern w:val="0"/>
                <w:sz w:val="21"/>
                <w:szCs w:val="21"/>
                <w:highlight w:val="none"/>
              </w:rPr>
            </w:pPr>
            <w:r>
              <w:rPr>
                <w:rFonts w:hint="eastAsia" w:eastAsia="楷体"/>
                <w:color w:val="auto"/>
                <w:kern w:val="0"/>
                <w:sz w:val="21"/>
                <w:szCs w:val="21"/>
                <w:highlight w:val="none"/>
              </w:rPr>
              <w:t>分蓄洪工程</w:t>
            </w:r>
          </w:p>
        </w:tc>
      </w:tr>
      <w:tr>
        <w:tblPrEx>
          <w:tblCellMar>
            <w:top w:w="0" w:type="dxa"/>
            <w:left w:w="108" w:type="dxa"/>
            <w:bottom w:w="0" w:type="dxa"/>
            <w:right w:w="108" w:type="dxa"/>
          </w:tblCellMar>
        </w:tblPrEx>
        <w:trPr>
          <w:trHeight w:val="300" w:hRule="atLeast"/>
        </w:trPr>
        <w:tc>
          <w:tcPr>
            <w:tcW w:w="1421" w:type="pct"/>
            <w:gridSpan w:val="3"/>
            <w:tcBorders>
              <w:top w:val="single" w:color="auto" w:sz="8" w:space="0"/>
              <w:left w:val="single" w:color="auto" w:sz="8" w:space="0"/>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断面</w:t>
            </w:r>
          </w:p>
        </w:tc>
        <w:tc>
          <w:tcPr>
            <w:tcW w:w="302"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w:t>
            </w:r>
          </w:p>
        </w:tc>
        <w:tc>
          <w:tcPr>
            <w:tcW w:w="411"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411"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649"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分洪断面</w:t>
            </w:r>
          </w:p>
        </w:tc>
        <w:tc>
          <w:tcPr>
            <w:tcW w:w="296"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303"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376"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分洪断面</w:t>
            </w:r>
          </w:p>
        </w:tc>
        <w:tc>
          <w:tcPr>
            <w:tcW w:w="376"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c>
          <w:tcPr>
            <w:tcW w:w="448" w:type="pct"/>
            <w:tcBorders>
              <w:top w:val="single" w:color="auto" w:sz="4" w:space="0"/>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坝址</w:t>
            </w:r>
          </w:p>
        </w:tc>
      </w:tr>
      <w:tr>
        <w:tblPrEx>
          <w:tblCellMar>
            <w:top w:w="0" w:type="dxa"/>
            <w:left w:w="108" w:type="dxa"/>
            <w:bottom w:w="0" w:type="dxa"/>
            <w:right w:w="108" w:type="dxa"/>
          </w:tblCellMar>
        </w:tblPrEx>
        <w:trPr>
          <w:trHeight w:val="300" w:hRule="atLeast"/>
        </w:trPr>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水文</w:t>
            </w: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集水面积</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km</w:t>
            </w:r>
            <w:r>
              <w:rPr>
                <w:rFonts w:eastAsia="楷体"/>
                <w:color w:val="auto"/>
                <w:kern w:val="0"/>
                <w:sz w:val="21"/>
                <w:szCs w:val="21"/>
                <w:highlight w:val="none"/>
                <w:vertAlign w:val="superscript"/>
              </w:rPr>
              <w:t>2</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470</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625</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w:t>
            </w:r>
            <w:r>
              <w:rPr>
                <w:rFonts w:hint="eastAsia" w:eastAsia="楷体"/>
                <w:color w:val="auto"/>
                <w:kern w:val="0"/>
                <w:sz w:val="21"/>
                <w:szCs w:val="21"/>
                <w:highlight w:val="none"/>
                <w:lang w:val="en-US" w:eastAsia="zh-CN"/>
              </w:rPr>
              <w:t>1</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26</w:t>
            </w:r>
            <w:r>
              <w:rPr>
                <w:rFonts w:hint="eastAsia" w:eastAsia="楷体"/>
                <w:color w:val="auto"/>
                <w:kern w:val="0"/>
                <w:sz w:val="21"/>
                <w:szCs w:val="21"/>
                <w:highlight w:val="none"/>
                <w:lang w:val="en-US" w:eastAsia="zh-CN"/>
              </w:rPr>
              <w:t>5</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201</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962</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val="en-US" w:eastAsia="zh-CN"/>
              </w:rPr>
            </w:pPr>
            <w:r>
              <w:rPr>
                <w:rFonts w:eastAsia="楷体"/>
                <w:color w:val="auto"/>
                <w:kern w:val="0"/>
                <w:sz w:val="21"/>
                <w:szCs w:val="21"/>
                <w:highlight w:val="none"/>
              </w:rPr>
              <w:t>44</w:t>
            </w:r>
            <w:r>
              <w:rPr>
                <w:rFonts w:hint="eastAsia" w:eastAsia="楷体"/>
                <w:color w:val="auto"/>
                <w:kern w:val="0"/>
                <w:sz w:val="21"/>
                <w:szCs w:val="21"/>
                <w:highlight w:val="none"/>
                <w:lang w:val="en-US" w:eastAsia="zh-CN"/>
              </w:rPr>
              <w:t>4</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941</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径流量</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亿m</w:t>
            </w:r>
            <w:r>
              <w:rPr>
                <w:rFonts w:eastAsia="楷体"/>
                <w:color w:val="auto"/>
                <w:kern w:val="0"/>
                <w:sz w:val="21"/>
                <w:szCs w:val="21"/>
                <w:highlight w:val="none"/>
                <w:vertAlign w:val="superscript"/>
              </w:rPr>
              <w:t>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4.78</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6.24</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0.0</w:t>
            </w:r>
            <w:r>
              <w:rPr>
                <w:rFonts w:hint="eastAsia" w:eastAsia="楷体"/>
                <w:color w:val="auto"/>
                <w:kern w:val="0"/>
                <w:sz w:val="21"/>
                <w:szCs w:val="21"/>
                <w:highlight w:val="none"/>
                <w:lang w:val="en-US" w:eastAsia="zh-CN"/>
              </w:rPr>
              <w:t>7</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3.0</w:t>
            </w:r>
            <w:r>
              <w:rPr>
                <w:rFonts w:hint="eastAsia" w:eastAsia="楷体"/>
                <w:color w:val="auto"/>
                <w:kern w:val="0"/>
                <w:sz w:val="21"/>
                <w:szCs w:val="21"/>
                <w:highlight w:val="none"/>
                <w:lang w:val="en-US" w:eastAsia="zh-CN"/>
              </w:rPr>
              <w:t>7</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2.48</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val="en-US" w:eastAsia="zh-CN"/>
              </w:rPr>
            </w:pPr>
            <w:r>
              <w:rPr>
                <w:rFonts w:eastAsia="楷体"/>
                <w:color w:val="auto"/>
                <w:kern w:val="0"/>
                <w:sz w:val="21"/>
                <w:szCs w:val="21"/>
                <w:highlight w:val="none"/>
              </w:rPr>
              <w:t>15.2</w:t>
            </w:r>
            <w:r>
              <w:rPr>
                <w:rFonts w:hint="eastAsia" w:eastAsia="楷体"/>
                <w:color w:val="auto"/>
                <w:kern w:val="0"/>
                <w:sz w:val="21"/>
                <w:szCs w:val="21"/>
                <w:highlight w:val="none"/>
                <w:lang w:val="en-US" w:eastAsia="zh-CN"/>
              </w:rPr>
              <w:t>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1.05</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restart"/>
            <w:tcBorders>
              <w:top w:val="nil"/>
              <w:left w:val="nil"/>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设计</w:t>
            </w:r>
          </w:p>
          <w:p>
            <w:pPr>
              <w:widowControl/>
              <w:jc w:val="center"/>
              <w:rPr>
                <w:rFonts w:eastAsia="楷体"/>
                <w:color w:val="auto"/>
                <w:kern w:val="0"/>
                <w:sz w:val="21"/>
                <w:szCs w:val="21"/>
                <w:highlight w:val="none"/>
              </w:rPr>
            </w:pPr>
            <w:r>
              <w:rPr>
                <w:rFonts w:eastAsia="楷体"/>
                <w:color w:val="auto"/>
                <w:kern w:val="0"/>
                <w:sz w:val="21"/>
                <w:szCs w:val="21"/>
                <w:highlight w:val="none"/>
              </w:rPr>
              <w:t>洪水</w:t>
            </w:r>
            <w:r>
              <w:rPr>
                <w:rFonts w:eastAsia="等线"/>
                <w:color w:val="auto"/>
                <w:kern w:val="0"/>
                <w:sz w:val="21"/>
                <w:szCs w:val="21"/>
                <w:highlight w:val="none"/>
              </w:rPr>
              <w:t>　</w:t>
            </w: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洪水标准</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P（%）</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0.2</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continue"/>
            <w:tcBorders>
              <w:left w:val="nil"/>
              <w:right w:val="single" w:color="auto" w:sz="8" w:space="0"/>
            </w:tcBorders>
            <w:shd w:val="clear" w:color="000000" w:fill="FFFFFF"/>
            <w:noWrap/>
            <w:vAlign w:val="center"/>
          </w:tcPr>
          <w:p>
            <w:pPr>
              <w:jc w:val="left"/>
              <w:rPr>
                <w:rFonts w:eastAsia="楷体"/>
                <w:color w:val="auto"/>
                <w:kern w:val="0"/>
                <w:sz w:val="21"/>
                <w:szCs w:val="21"/>
                <w:highlight w:val="none"/>
              </w:rPr>
            </w:pP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洪水流量</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m</w:t>
            </w:r>
            <w:r>
              <w:rPr>
                <w:rFonts w:eastAsia="楷体"/>
                <w:color w:val="auto"/>
                <w:kern w:val="0"/>
                <w:sz w:val="21"/>
                <w:szCs w:val="21"/>
                <w:highlight w:val="none"/>
                <w:vertAlign w:val="superscript"/>
              </w:rPr>
              <w:t>3</w:t>
            </w:r>
            <w:r>
              <w:rPr>
                <w:rFonts w:eastAsia="楷体"/>
                <w:color w:val="auto"/>
                <w:kern w:val="0"/>
                <w:sz w:val="21"/>
                <w:szCs w:val="21"/>
                <w:highlight w:val="none"/>
              </w:rPr>
              <w:t>/s</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2540</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3080</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38</w:t>
            </w:r>
            <w:r>
              <w:rPr>
                <w:rFonts w:hint="eastAsia" w:eastAsia="楷体"/>
                <w:color w:val="auto"/>
                <w:kern w:val="0"/>
                <w:sz w:val="21"/>
                <w:szCs w:val="21"/>
                <w:highlight w:val="none"/>
                <w:lang w:val="en-US" w:eastAsia="zh-CN"/>
              </w:rPr>
              <w:t>8</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1800</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2060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2810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1000</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1700</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continue"/>
            <w:tcBorders>
              <w:left w:val="nil"/>
              <w:bottom w:val="single" w:color="auto" w:sz="8" w:space="0"/>
              <w:right w:val="single" w:color="auto" w:sz="8" w:space="0"/>
            </w:tcBorders>
            <w:shd w:val="clear" w:color="000000" w:fill="FFFFFF"/>
            <w:noWrap/>
            <w:vAlign w:val="center"/>
          </w:tcPr>
          <w:p>
            <w:pPr>
              <w:widowControl/>
              <w:jc w:val="left"/>
              <w:rPr>
                <w:rFonts w:eastAsia="等线"/>
                <w:color w:val="auto"/>
                <w:kern w:val="0"/>
                <w:sz w:val="21"/>
                <w:szCs w:val="21"/>
                <w:highlight w:val="none"/>
              </w:rPr>
            </w:pP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洪水洪量</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亿m</w:t>
            </w:r>
            <w:r>
              <w:rPr>
                <w:rFonts w:eastAsia="楷体"/>
                <w:color w:val="auto"/>
                <w:kern w:val="0"/>
                <w:sz w:val="21"/>
                <w:szCs w:val="21"/>
                <w:highlight w:val="none"/>
                <w:vertAlign w:val="superscript"/>
              </w:rPr>
              <w:t>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1.60</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2.11</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0.10</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w:t>
            </w:r>
            <w:r>
              <w:rPr>
                <w:rFonts w:hint="eastAsia" w:eastAsia="楷体"/>
                <w:color w:val="auto"/>
                <w:kern w:val="0"/>
                <w:sz w:val="21"/>
                <w:szCs w:val="21"/>
                <w:highlight w:val="none"/>
                <w:lang w:val="en-US" w:eastAsia="zh-CN"/>
              </w:rPr>
              <w:t>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1.21</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val="en-US" w:eastAsia="zh-CN"/>
              </w:rPr>
            </w:pPr>
            <w:r>
              <w:rPr>
                <w:rFonts w:eastAsia="楷体"/>
                <w:color w:val="auto"/>
                <w:kern w:val="0"/>
                <w:sz w:val="21"/>
                <w:szCs w:val="21"/>
                <w:highlight w:val="none"/>
              </w:rPr>
              <w:t>1.1</w:t>
            </w:r>
            <w:r>
              <w:rPr>
                <w:rFonts w:hint="eastAsia" w:eastAsia="楷体"/>
                <w:color w:val="auto"/>
                <w:kern w:val="0"/>
                <w:sz w:val="21"/>
                <w:szCs w:val="21"/>
                <w:highlight w:val="none"/>
                <w:lang w:val="en-US" w:eastAsia="zh-CN"/>
              </w:rPr>
              <w:t>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r>
      <w:tr>
        <w:tblPrEx>
          <w:tblCellMar>
            <w:top w:w="0" w:type="dxa"/>
            <w:left w:w="108" w:type="dxa"/>
            <w:bottom w:w="0" w:type="dxa"/>
            <w:right w:w="108" w:type="dxa"/>
          </w:tblCellMar>
        </w:tblPrEx>
        <w:trPr>
          <w:trHeight w:val="300" w:hRule="atLeast"/>
        </w:trPr>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水库</w:t>
            </w: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正常蓄水位</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m</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871</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736</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red"/>
                <w:lang w:eastAsia="zh-CN"/>
              </w:rPr>
            </w:pP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918</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1148</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395</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兴利库容</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万m</w:t>
            </w:r>
            <w:r>
              <w:rPr>
                <w:rFonts w:eastAsia="楷体"/>
                <w:color w:val="auto"/>
                <w:kern w:val="0"/>
                <w:sz w:val="21"/>
                <w:szCs w:val="21"/>
                <w:highlight w:val="none"/>
                <w:vertAlign w:val="superscript"/>
              </w:rPr>
              <w:t>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3033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2672</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11416</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8942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3674</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9520</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防洪库容</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万m</w:t>
            </w:r>
            <w:r>
              <w:rPr>
                <w:rFonts w:eastAsia="楷体"/>
                <w:color w:val="auto"/>
                <w:kern w:val="0"/>
                <w:sz w:val="21"/>
                <w:szCs w:val="21"/>
                <w:highlight w:val="none"/>
                <w:vertAlign w:val="superscript"/>
              </w:rPr>
              <w:t>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1479</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1452</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10156</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478</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441</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4232</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1060</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总库容</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万m</w:t>
            </w:r>
            <w:r>
              <w:rPr>
                <w:rFonts w:eastAsia="楷体"/>
                <w:color w:val="auto"/>
                <w:kern w:val="0"/>
                <w:sz w:val="21"/>
                <w:szCs w:val="21"/>
                <w:highlight w:val="none"/>
                <w:vertAlign w:val="superscript"/>
              </w:rPr>
              <w:t>3</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4410</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3901</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22161</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13000</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5983</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15032</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1650</w:t>
            </w:r>
          </w:p>
        </w:tc>
      </w:tr>
      <w:tr>
        <w:tblPrEx>
          <w:tblCellMar>
            <w:top w:w="0" w:type="dxa"/>
            <w:left w:w="108" w:type="dxa"/>
            <w:bottom w:w="0" w:type="dxa"/>
            <w:right w:w="108" w:type="dxa"/>
          </w:tblCellMar>
        </w:tblPrEx>
        <w:trPr>
          <w:trHeight w:val="300" w:hRule="atLeast"/>
        </w:trPr>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综合用水需求</w:t>
            </w: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供水城镇人口</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万人</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236.1</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24.83</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56.2</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94</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农村供水人畜</w:t>
            </w: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人口</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万人</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23.46</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牲畜</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万头</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22.3</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设计灌溉面积</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万亩</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19.6</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3.6</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val="en-US" w:eastAsia="zh-CN"/>
              </w:rPr>
            </w:pPr>
            <w:r>
              <w:rPr>
                <w:rFonts w:eastAsia="楷体"/>
                <w:color w:val="auto"/>
                <w:kern w:val="0"/>
                <w:sz w:val="21"/>
                <w:szCs w:val="21"/>
                <w:highlight w:val="none"/>
              </w:rPr>
              <w:t>7.</w:t>
            </w:r>
            <w:r>
              <w:rPr>
                <w:rFonts w:hint="eastAsia" w:eastAsia="楷体"/>
                <w:color w:val="auto"/>
                <w:kern w:val="0"/>
                <w:sz w:val="21"/>
                <w:szCs w:val="21"/>
                <w:highlight w:val="none"/>
                <w:lang w:val="en-US" w:eastAsia="zh-CN"/>
              </w:rPr>
              <w:t>3</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tcBorders>
              <w:top w:val="nil"/>
              <w:left w:val="single" w:color="auto" w:sz="8" w:space="0"/>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水能指标</w:t>
            </w: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装机容量</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万kW</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150</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　</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p>
        </w:tc>
      </w:tr>
      <w:tr>
        <w:tblPrEx>
          <w:tblCellMar>
            <w:top w:w="0" w:type="dxa"/>
            <w:left w:w="108" w:type="dxa"/>
            <w:bottom w:w="0" w:type="dxa"/>
            <w:right w:w="108" w:type="dxa"/>
          </w:tblCellMar>
        </w:tblPrEx>
        <w:trPr>
          <w:trHeight w:val="300" w:hRule="atLeast"/>
        </w:trPr>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建设征地</w:t>
            </w: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建设征地</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亩</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256</w:t>
            </w:r>
            <w:r>
              <w:rPr>
                <w:rFonts w:hint="eastAsia" w:eastAsia="楷体"/>
                <w:color w:val="auto"/>
                <w:kern w:val="0"/>
                <w:sz w:val="21"/>
                <w:szCs w:val="21"/>
                <w:highlight w:val="none"/>
                <w:lang w:val="en-US" w:eastAsia="zh-CN"/>
              </w:rPr>
              <w:t>2</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3578</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1992</w:t>
            </w:r>
            <w:r>
              <w:rPr>
                <w:rFonts w:hint="eastAsia" w:eastAsia="楷体"/>
                <w:color w:val="auto"/>
                <w:kern w:val="0"/>
                <w:sz w:val="21"/>
                <w:szCs w:val="21"/>
                <w:highlight w:val="none"/>
                <w:lang w:val="en-US" w:eastAsia="zh-CN"/>
              </w:rPr>
              <w:t>8</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458</w:t>
            </w:r>
            <w:r>
              <w:rPr>
                <w:rFonts w:hint="eastAsia" w:eastAsia="楷体"/>
                <w:color w:val="auto"/>
                <w:kern w:val="0"/>
                <w:sz w:val="21"/>
                <w:szCs w:val="21"/>
                <w:highlight w:val="none"/>
                <w:lang w:val="en-US" w:eastAsia="zh-CN"/>
              </w:rPr>
              <w:t>5</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3533</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88</w:t>
            </w:r>
            <w:r>
              <w:rPr>
                <w:rFonts w:hint="eastAsia" w:eastAsia="楷体"/>
                <w:color w:val="auto"/>
                <w:kern w:val="0"/>
                <w:sz w:val="21"/>
                <w:szCs w:val="21"/>
                <w:highlight w:val="none"/>
                <w:lang w:val="en-US" w:eastAsia="zh-CN"/>
              </w:rPr>
              <w:t>1</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36857</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2857</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其中：耕地</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亩</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77</w:t>
            </w:r>
            <w:r>
              <w:rPr>
                <w:rFonts w:hint="eastAsia" w:eastAsia="楷体"/>
                <w:color w:val="auto"/>
                <w:kern w:val="0"/>
                <w:sz w:val="21"/>
                <w:szCs w:val="21"/>
                <w:highlight w:val="none"/>
                <w:lang w:val="en-US" w:eastAsia="zh-CN"/>
              </w:rPr>
              <w:t>7</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713</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9891</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160</w:t>
            </w:r>
            <w:r>
              <w:rPr>
                <w:rFonts w:hint="eastAsia" w:eastAsia="楷体"/>
                <w:color w:val="auto"/>
                <w:kern w:val="0"/>
                <w:sz w:val="21"/>
                <w:szCs w:val="21"/>
                <w:highlight w:val="none"/>
                <w:lang w:val="en-US" w:eastAsia="zh-CN"/>
              </w:rPr>
              <w:t>9</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986</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22814</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1162</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900" w:type="pct"/>
            <w:gridSpan w:val="2"/>
            <w:tcBorders>
              <w:top w:val="single" w:color="auto" w:sz="8" w:space="0"/>
              <w:left w:val="nil"/>
              <w:bottom w:val="single" w:color="auto" w:sz="8" w:space="0"/>
              <w:right w:val="single" w:color="000000"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搬迁人口</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人</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2062</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1417</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3661</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2712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6152</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5800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22737</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906</w:t>
            </w:r>
          </w:p>
        </w:tc>
      </w:tr>
      <w:tr>
        <w:tblPrEx>
          <w:tblCellMar>
            <w:top w:w="0" w:type="dxa"/>
            <w:left w:w="108" w:type="dxa"/>
            <w:bottom w:w="0" w:type="dxa"/>
            <w:right w:w="108" w:type="dxa"/>
          </w:tblCellMar>
        </w:tblPrEx>
        <w:trPr>
          <w:trHeight w:val="300" w:hRule="atLeast"/>
        </w:trPr>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工程投资</w:t>
            </w:r>
          </w:p>
        </w:tc>
        <w:tc>
          <w:tcPr>
            <w:tcW w:w="520" w:type="pct"/>
            <w:vMerge w:val="restart"/>
            <w:tcBorders>
              <w:top w:val="nil"/>
              <w:left w:val="single" w:color="auto" w:sz="8" w:space="0"/>
              <w:bottom w:val="single" w:color="000000"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静态投资</w:t>
            </w: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小 计</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万元</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29813</w:t>
            </w:r>
            <w:r>
              <w:rPr>
                <w:rFonts w:hint="eastAsia" w:eastAsia="楷体"/>
                <w:color w:val="auto"/>
                <w:kern w:val="0"/>
                <w:sz w:val="21"/>
                <w:szCs w:val="21"/>
                <w:highlight w:val="none"/>
                <w:lang w:val="en-US" w:eastAsia="zh-CN"/>
              </w:rPr>
              <w:t>7</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218298</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1756110</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550535</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hint="eastAsia" w:eastAsia="楷体"/>
                <w:color w:val="auto"/>
                <w:kern w:val="0"/>
                <w:sz w:val="21"/>
                <w:szCs w:val="21"/>
                <w:highlight w:val="none"/>
              </w:rPr>
              <w:t>283100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183774</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735710</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77989</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枢纽工程</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万元</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183122</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85639</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673576</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308073</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hint="eastAsia" w:eastAsia="楷体"/>
                <w:color w:val="auto"/>
                <w:kern w:val="0"/>
                <w:sz w:val="21"/>
                <w:szCs w:val="21"/>
                <w:highlight w:val="none"/>
              </w:rPr>
              <w:t>121600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78328</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33990</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46000</w:t>
            </w:r>
          </w:p>
        </w:tc>
      </w:tr>
      <w:tr>
        <w:tblPrEx>
          <w:tblCellMar>
            <w:top w:w="0" w:type="dxa"/>
            <w:left w:w="108" w:type="dxa"/>
            <w:bottom w:w="0" w:type="dxa"/>
            <w:right w:w="108" w:type="dxa"/>
          </w:tblCellMar>
        </w:tblPrEx>
        <w:trPr>
          <w:trHeight w:val="300" w:hRule="atLeast"/>
        </w:trPr>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520" w:type="pct"/>
            <w:vMerge w:val="continue"/>
            <w:tcBorders>
              <w:top w:val="nil"/>
              <w:left w:val="single" w:color="auto" w:sz="8" w:space="0"/>
              <w:bottom w:val="single" w:color="000000" w:sz="8" w:space="0"/>
              <w:right w:val="single" w:color="auto" w:sz="8" w:space="0"/>
            </w:tcBorders>
            <w:shd w:val="clear" w:color="auto" w:fill="auto"/>
            <w:noWrap/>
            <w:vAlign w:val="center"/>
          </w:tcPr>
          <w:p>
            <w:pPr>
              <w:widowControl/>
              <w:jc w:val="left"/>
              <w:rPr>
                <w:rFonts w:eastAsia="楷体"/>
                <w:color w:val="auto"/>
                <w:kern w:val="0"/>
                <w:sz w:val="21"/>
                <w:szCs w:val="21"/>
                <w:highlight w:val="none"/>
              </w:rPr>
            </w:pPr>
          </w:p>
        </w:tc>
        <w:tc>
          <w:tcPr>
            <w:tcW w:w="37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建设征地</w:t>
            </w:r>
          </w:p>
        </w:tc>
        <w:tc>
          <w:tcPr>
            <w:tcW w:w="302"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万元</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115014</w:t>
            </w:r>
          </w:p>
        </w:tc>
        <w:tc>
          <w:tcPr>
            <w:tcW w:w="411" w:type="pct"/>
            <w:tcBorders>
              <w:top w:val="nil"/>
              <w:left w:val="nil"/>
              <w:bottom w:val="single" w:color="auto" w:sz="8" w:space="0"/>
              <w:right w:val="single" w:color="auto" w:sz="8" w:space="0"/>
            </w:tcBorders>
            <w:shd w:val="clear" w:color="000000" w:fill="FFFFFF"/>
            <w:noWrap/>
            <w:vAlign w:val="center"/>
          </w:tcPr>
          <w:p>
            <w:pPr>
              <w:widowControl/>
              <w:jc w:val="center"/>
              <w:rPr>
                <w:rFonts w:hint="eastAsia" w:eastAsia="楷体"/>
                <w:color w:val="auto"/>
                <w:kern w:val="0"/>
                <w:sz w:val="21"/>
                <w:szCs w:val="21"/>
                <w:highlight w:val="none"/>
                <w:lang w:eastAsia="zh-CN"/>
              </w:rPr>
            </w:pPr>
            <w:r>
              <w:rPr>
                <w:rFonts w:eastAsia="楷体"/>
                <w:color w:val="auto"/>
                <w:kern w:val="0"/>
                <w:sz w:val="21"/>
                <w:szCs w:val="21"/>
                <w:highlight w:val="none"/>
              </w:rPr>
              <w:t>13265</w:t>
            </w:r>
            <w:r>
              <w:rPr>
                <w:rFonts w:hint="eastAsia" w:eastAsia="楷体"/>
                <w:color w:val="auto"/>
                <w:kern w:val="0"/>
                <w:sz w:val="21"/>
                <w:szCs w:val="21"/>
                <w:highlight w:val="none"/>
                <w:lang w:val="en-US" w:eastAsia="zh-CN"/>
              </w:rPr>
              <w:t>9</w:t>
            </w:r>
          </w:p>
        </w:tc>
        <w:tc>
          <w:tcPr>
            <w:tcW w:w="649"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291858</w:t>
            </w:r>
          </w:p>
        </w:tc>
        <w:tc>
          <w:tcPr>
            <w:tcW w:w="29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242462</w:t>
            </w:r>
          </w:p>
        </w:tc>
        <w:tc>
          <w:tcPr>
            <w:tcW w:w="303"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hint="eastAsia" w:eastAsia="楷体"/>
                <w:color w:val="auto"/>
                <w:kern w:val="0"/>
                <w:sz w:val="21"/>
                <w:szCs w:val="21"/>
                <w:highlight w:val="none"/>
              </w:rPr>
              <w:t>161500</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105446</w:t>
            </w:r>
          </w:p>
        </w:tc>
        <w:tc>
          <w:tcPr>
            <w:tcW w:w="376"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67000</w:t>
            </w:r>
          </w:p>
        </w:tc>
        <w:tc>
          <w:tcPr>
            <w:tcW w:w="448" w:type="pct"/>
            <w:tcBorders>
              <w:top w:val="nil"/>
              <w:left w:val="nil"/>
              <w:bottom w:val="single" w:color="auto" w:sz="8" w:space="0"/>
              <w:right w:val="single" w:color="auto" w:sz="8" w:space="0"/>
            </w:tcBorders>
            <w:shd w:val="clear" w:color="000000" w:fill="FFFFFF"/>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31989</w:t>
            </w:r>
          </w:p>
        </w:tc>
      </w:tr>
    </w:tbl>
    <w:p>
      <w:pPr>
        <w:pStyle w:val="4"/>
        <w:jc w:val="both"/>
        <w:rPr>
          <w:color w:val="auto"/>
          <w:highlight w:val="none"/>
        </w:rPr>
        <w:sectPr>
          <w:footerReference r:id="rId16" w:type="default"/>
          <w:pgSz w:w="16838" w:h="11906" w:orient="landscape"/>
          <w:pgMar w:top="1418" w:right="1134" w:bottom="1418" w:left="1134" w:header="851" w:footer="992" w:gutter="0"/>
          <w:pgBorders>
            <w:top w:val="none" w:sz="0" w:space="0"/>
            <w:left w:val="none" w:sz="0" w:space="0"/>
            <w:bottom w:val="none" w:sz="0" w:space="0"/>
            <w:right w:val="none" w:sz="0" w:space="0"/>
          </w:pgBorders>
          <w:pgNumType w:fmt="decimal"/>
          <w:cols w:space="720" w:num="1"/>
          <w:docGrid w:type="linesAndChars" w:linePitch="326" w:charSpace="-3871"/>
        </w:sectPr>
      </w:pP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97" w:name="_Toc124757351"/>
      <w:r>
        <w:rPr>
          <w:b w:val="0"/>
          <w:bCs w:val="0"/>
          <w:color w:val="auto"/>
          <w:highlight w:val="none"/>
        </w:rPr>
        <w:t>第二节  堤防护岸工程</w:t>
      </w:r>
      <w:bookmarkEnd w:id="97"/>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一、堤防护岸建设现状</w:t>
      </w:r>
    </w:p>
    <w:p>
      <w:pPr>
        <w:keepNext w:val="0"/>
        <w:keepLines w:val="0"/>
        <w:pageBreakBefore w:val="0"/>
        <w:widowControl w:val="0"/>
        <w:kinsoku/>
        <w:wordWrap/>
        <w:overflowPunct/>
        <w:topLinePunct w:val="0"/>
        <w:autoSpaceDE/>
        <w:autoSpaceDN/>
        <w:bidi w:val="0"/>
        <w:adjustRightInd/>
        <w:snapToGrid/>
        <w:spacing w:line="540" w:lineRule="exact"/>
        <w:ind w:firstLine="588" w:firstLineChars="200"/>
        <w:textAlignment w:val="auto"/>
        <w:rPr>
          <w:rFonts w:hint="eastAsia"/>
          <w:color w:val="auto"/>
        </w:rPr>
      </w:pPr>
      <w:r>
        <w:rPr>
          <w:rFonts w:hint="eastAsia" w:ascii="Times New Roman" w:hAnsi="Times New Roman" w:eastAsia="仿宋_GB2312" w:cs="Times New Roman"/>
          <w:color w:val="auto"/>
          <w:spacing w:val="6"/>
          <w:kern w:val="0"/>
          <w:sz w:val="30"/>
          <w:szCs w:val="30"/>
          <w:highlight w:val="none"/>
          <w:lang w:val="en-US" w:eastAsia="zh-CN" w:bidi="ar-SA"/>
        </w:rPr>
        <w:t>沱江流域现状防洪工程以堤防为主</w:t>
      </w:r>
      <w:r>
        <w:rPr>
          <w:rFonts w:hint="eastAsia" w:eastAsia="仿宋_GB2312" w:cs="Times New Roman"/>
          <w:color w:val="auto"/>
          <w:spacing w:val="6"/>
          <w:kern w:val="0"/>
          <w:sz w:val="30"/>
          <w:szCs w:val="30"/>
          <w:highlight w:val="none"/>
          <w:lang w:val="en-US" w:eastAsia="zh-CN" w:bidi="ar-SA"/>
        </w:rPr>
        <w:t>。</w:t>
      </w:r>
      <w:r>
        <w:rPr>
          <w:rFonts w:hint="eastAsia" w:ascii="Times New Roman" w:hAnsi="Times New Roman" w:eastAsia="仿宋_GB2312" w:cs="Times New Roman"/>
          <w:color w:val="auto"/>
          <w:spacing w:val="6"/>
          <w:kern w:val="0"/>
          <w:sz w:val="30"/>
          <w:szCs w:val="30"/>
          <w:highlight w:val="none"/>
          <w:lang w:val="en-US" w:eastAsia="zh-CN" w:bidi="ar-SA"/>
        </w:rPr>
        <w:t>已建堤防1331km，护岸126km，其中县城及以上河段已建堤防407km，护岸13km，乡镇河段已建堤防924km，护岸113km。沱江流域现状堤防护岸建设情况详见表7.2.</w:t>
      </w:r>
      <w:r>
        <w:rPr>
          <w:rFonts w:hint="eastAsia" w:eastAsia="仿宋_GB2312" w:cs="Times New Roman"/>
          <w:color w:val="auto"/>
          <w:spacing w:val="6"/>
          <w:kern w:val="0"/>
          <w:sz w:val="30"/>
          <w:szCs w:val="30"/>
          <w:highlight w:val="none"/>
          <w:lang w:val="en-US" w:eastAsia="zh-CN" w:bidi="ar-SA"/>
        </w:rPr>
        <w:t>1</w:t>
      </w:r>
      <w:r>
        <w:rPr>
          <w:rFonts w:hint="eastAsia" w:ascii="Times New Roman" w:hAnsi="Times New Roman" w:eastAsia="仿宋_GB2312" w:cs="Times New Roman"/>
          <w:color w:val="auto"/>
          <w:spacing w:val="6"/>
          <w:kern w:val="0"/>
          <w:sz w:val="30"/>
          <w:szCs w:val="30"/>
          <w:highlight w:val="none"/>
          <w:lang w:val="en-US" w:eastAsia="zh-CN" w:bidi="ar-SA"/>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（一）沱江干流</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r>
        <w:rPr>
          <w:color w:val="auto"/>
          <w:sz w:val="30"/>
          <w:szCs w:val="30"/>
          <w:highlight w:val="none"/>
        </w:rPr>
        <w:t>县城及以上河段</w:t>
      </w:r>
      <w:r>
        <w:rPr>
          <w:rFonts w:hint="eastAsia"/>
          <w:color w:val="auto"/>
          <w:sz w:val="30"/>
          <w:szCs w:val="30"/>
          <w:highlight w:val="none"/>
          <w:lang w:val="en-US" w:eastAsia="zh-CN"/>
        </w:rPr>
        <w:t>已建</w:t>
      </w:r>
      <w:r>
        <w:rPr>
          <w:color w:val="auto"/>
          <w:sz w:val="30"/>
          <w:szCs w:val="30"/>
          <w:highlight w:val="none"/>
        </w:rPr>
        <w:t>堤防15</w:t>
      </w:r>
      <w:r>
        <w:rPr>
          <w:rFonts w:hint="eastAsia"/>
          <w:color w:val="auto"/>
          <w:sz w:val="30"/>
          <w:szCs w:val="30"/>
          <w:highlight w:val="none"/>
          <w:lang w:val="en-US" w:eastAsia="zh-CN"/>
        </w:rPr>
        <w:t>1</w:t>
      </w:r>
      <w:r>
        <w:rPr>
          <w:color w:val="auto"/>
          <w:sz w:val="30"/>
          <w:szCs w:val="30"/>
          <w:highlight w:val="none"/>
        </w:rPr>
        <w:t>km，保护面积9</w:t>
      </w:r>
      <w:r>
        <w:rPr>
          <w:rFonts w:hint="eastAsia"/>
          <w:color w:val="auto"/>
          <w:sz w:val="30"/>
          <w:szCs w:val="30"/>
          <w:highlight w:val="none"/>
          <w:lang w:val="en-US" w:eastAsia="zh-CN"/>
        </w:rPr>
        <w:t>3</w:t>
      </w:r>
      <w:r>
        <w:rPr>
          <w:color w:val="auto"/>
          <w:sz w:val="30"/>
          <w:szCs w:val="30"/>
          <w:highlight w:val="none"/>
        </w:rPr>
        <w:t>km</w:t>
      </w:r>
      <w:r>
        <w:rPr>
          <w:color w:val="auto"/>
          <w:sz w:val="30"/>
          <w:szCs w:val="30"/>
          <w:highlight w:val="none"/>
          <w:vertAlign w:val="superscript"/>
        </w:rPr>
        <w:t>2</w:t>
      </w:r>
      <w:r>
        <w:rPr>
          <w:color w:val="auto"/>
          <w:sz w:val="30"/>
          <w:szCs w:val="30"/>
          <w:highlight w:val="none"/>
        </w:rPr>
        <w:t>，保护人口88万人；乡镇河段</w:t>
      </w:r>
      <w:r>
        <w:rPr>
          <w:rFonts w:hint="eastAsia"/>
          <w:color w:val="auto"/>
          <w:sz w:val="30"/>
          <w:szCs w:val="30"/>
          <w:highlight w:val="none"/>
          <w:lang w:val="en-US" w:eastAsia="zh-CN"/>
        </w:rPr>
        <w:t>已建</w:t>
      </w:r>
      <w:r>
        <w:rPr>
          <w:color w:val="auto"/>
          <w:sz w:val="30"/>
          <w:szCs w:val="30"/>
          <w:highlight w:val="none"/>
        </w:rPr>
        <w:t>堤防156km，护岸76km，保护面积29km</w:t>
      </w:r>
      <w:r>
        <w:rPr>
          <w:color w:val="auto"/>
          <w:sz w:val="30"/>
          <w:szCs w:val="30"/>
          <w:highlight w:val="none"/>
          <w:vertAlign w:val="superscript"/>
        </w:rPr>
        <w:t>2</w:t>
      </w:r>
      <w:r>
        <w:rPr>
          <w:color w:val="auto"/>
          <w:sz w:val="30"/>
          <w:szCs w:val="30"/>
          <w:highlight w:val="none"/>
        </w:rPr>
        <w:t>，保护人口33万人。</w:t>
      </w:r>
      <w:r>
        <w:rPr>
          <w:color w:val="auto"/>
          <w:spacing w:val="4"/>
          <w:sz w:val="30"/>
          <w:szCs w:val="30"/>
          <w:highlight w:val="none"/>
        </w:rPr>
        <w:t>沱江干流现状堤防护岸建设情况详见表7.2.</w:t>
      </w:r>
      <w:r>
        <w:rPr>
          <w:rFonts w:hint="eastAsia"/>
          <w:color w:val="auto"/>
          <w:spacing w:val="4"/>
          <w:sz w:val="30"/>
          <w:szCs w:val="30"/>
          <w:highlight w:val="none"/>
          <w:lang w:val="en-US" w:eastAsia="zh-CN"/>
        </w:rPr>
        <w:t>2</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rFonts w:hint="eastAsia" w:ascii="楷体_GB2312" w:hAnsi="楷体_GB2312" w:eastAsia="楷体_GB2312" w:cs="楷体_GB2312"/>
          <w:color w:val="auto"/>
          <w:spacing w:val="4"/>
          <w:sz w:val="30"/>
          <w:szCs w:val="30"/>
          <w:highlight w:val="none"/>
        </w:rPr>
      </w:pPr>
      <w:r>
        <w:rPr>
          <w:rFonts w:hint="eastAsia" w:ascii="楷体_GB2312" w:hAnsi="楷体_GB2312" w:eastAsia="楷体_GB2312" w:cs="楷体_GB2312"/>
          <w:color w:val="auto"/>
          <w:sz w:val="30"/>
          <w:szCs w:val="30"/>
          <w:highlight w:val="none"/>
        </w:rPr>
        <w:t>（二）</w:t>
      </w:r>
      <w:r>
        <w:rPr>
          <w:rFonts w:hint="eastAsia" w:ascii="楷体_GB2312" w:hAnsi="楷体_GB2312" w:eastAsia="楷体_GB2312" w:cs="楷体_GB2312"/>
          <w:color w:val="auto"/>
          <w:spacing w:val="4"/>
          <w:sz w:val="30"/>
          <w:szCs w:val="30"/>
          <w:highlight w:val="none"/>
        </w:rPr>
        <w:t>主要支流</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沱江流域</w:t>
      </w:r>
      <w:r>
        <w:rPr>
          <w:rFonts w:hint="eastAsia"/>
          <w:color w:val="auto"/>
          <w:spacing w:val="4"/>
          <w:sz w:val="30"/>
          <w:szCs w:val="30"/>
          <w:highlight w:val="none"/>
          <w:lang w:val="en-US" w:eastAsia="zh-CN"/>
        </w:rPr>
        <w:t>面积</w:t>
      </w:r>
      <w:r>
        <w:rPr>
          <w:color w:val="auto"/>
          <w:spacing w:val="4"/>
          <w:sz w:val="30"/>
          <w:szCs w:val="30"/>
          <w:highlight w:val="none"/>
        </w:rPr>
        <w:t>3000km</w:t>
      </w:r>
      <w:r>
        <w:rPr>
          <w:color w:val="auto"/>
          <w:spacing w:val="4"/>
          <w:sz w:val="30"/>
          <w:szCs w:val="30"/>
          <w:highlight w:val="none"/>
          <w:vertAlign w:val="superscript"/>
        </w:rPr>
        <w:t>2</w:t>
      </w:r>
      <w:r>
        <w:rPr>
          <w:color w:val="auto"/>
          <w:spacing w:val="4"/>
          <w:sz w:val="30"/>
          <w:szCs w:val="30"/>
          <w:highlight w:val="none"/>
        </w:rPr>
        <w:t>以上主要支流有釜溪河（上游威远段为威远河）和濑溪河</w:t>
      </w:r>
      <w:r>
        <w:rPr>
          <w:rFonts w:hint="eastAsia"/>
          <w:color w:val="auto"/>
          <w:spacing w:val="4"/>
          <w:sz w:val="30"/>
          <w:szCs w:val="30"/>
          <w:highlight w:val="none"/>
          <w:lang w:eastAsia="zh-CN"/>
        </w:rPr>
        <w:t>。</w:t>
      </w:r>
      <w:r>
        <w:rPr>
          <w:color w:val="auto"/>
          <w:spacing w:val="4"/>
          <w:sz w:val="30"/>
          <w:szCs w:val="30"/>
          <w:highlight w:val="none"/>
        </w:rPr>
        <w:t>县城及以上河段</w:t>
      </w:r>
      <w:r>
        <w:rPr>
          <w:rFonts w:hint="eastAsia"/>
          <w:color w:val="auto"/>
          <w:sz w:val="30"/>
          <w:szCs w:val="30"/>
          <w:highlight w:val="none"/>
          <w:lang w:val="en-US" w:eastAsia="zh-CN"/>
        </w:rPr>
        <w:t>已建</w:t>
      </w:r>
      <w:r>
        <w:rPr>
          <w:color w:val="auto"/>
          <w:spacing w:val="4"/>
          <w:sz w:val="30"/>
          <w:szCs w:val="30"/>
          <w:highlight w:val="none"/>
        </w:rPr>
        <w:t>堤防</w:t>
      </w:r>
      <w:r>
        <w:rPr>
          <w:color w:val="auto"/>
          <w:sz w:val="30"/>
          <w:szCs w:val="30"/>
          <w:highlight w:val="none"/>
        </w:rPr>
        <w:t>31</w:t>
      </w:r>
      <w:r>
        <w:rPr>
          <w:color w:val="auto"/>
          <w:spacing w:val="4"/>
          <w:sz w:val="30"/>
          <w:szCs w:val="30"/>
          <w:highlight w:val="none"/>
        </w:rPr>
        <w:t>km，护岸12km，保护面积</w:t>
      </w:r>
      <w:r>
        <w:rPr>
          <w:color w:val="auto"/>
          <w:sz w:val="30"/>
          <w:szCs w:val="30"/>
          <w:highlight w:val="none"/>
        </w:rPr>
        <w:t>2</w:t>
      </w:r>
      <w:r>
        <w:rPr>
          <w:rFonts w:hint="eastAsia"/>
          <w:color w:val="auto"/>
          <w:sz w:val="30"/>
          <w:szCs w:val="30"/>
          <w:highlight w:val="none"/>
          <w:lang w:val="en-US" w:eastAsia="zh-CN"/>
        </w:rPr>
        <w:t>2</w:t>
      </w:r>
      <w:r>
        <w:rPr>
          <w:color w:val="auto"/>
          <w:spacing w:val="4"/>
          <w:sz w:val="30"/>
          <w:szCs w:val="30"/>
          <w:highlight w:val="none"/>
        </w:rPr>
        <w:t>km</w:t>
      </w:r>
      <w:r>
        <w:rPr>
          <w:color w:val="auto"/>
          <w:sz w:val="30"/>
          <w:szCs w:val="30"/>
          <w:highlight w:val="none"/>
          <w:vertAlign w:val="superscript"/>
        </w:rPr>
        <w:t>2</w:t>
      </w:r>
      <w:r>
        <w:rPr>
          <w:color w:val="auto"/>
          <w:spacing w:val="4"/>
          <w:sz w:val="30"/>
          <w:szCs w:val="30"/>
          <w:highlight w:val="none"/>
        </w:rPr>
        <w:t>，保护人口</w:t>
      </w:r>
      <w:r>
        <w:rPr>
          <w:color w:val="auto"/>
          <w:sz w:val="30"/>
          <w:szCs w:val="30"/>
          <w:highlight w:val="none"/>
        </w:rPr>
        <w:t>2</w:t>
      </w:r>
      <w:r>
        <w:rPr>
          <w:rFonts w:hint="eastAsia"/>
          <w:color w:val="auto"/>
          <w:sz w:val="30"/>
          <w:szCs w:val="30"/>
          <w:highlight w:val="none"/>
          <w:lang w:val="en-US" w:eastAsia="zh-CN"/>
        </w:rPr>
        <w:t>1</w:t>
      </w:r>
      <w:r>
        <w:rPr>
          <w:color w:val="auto"/>
          <w:spacing w:val="4"/>
          <w:sz w:val="30"/>
          <w:szCs w:val="30"/>
          <w:highlight w:val="none"/>
        </w:rPr>
        <w:t>万人；乡镇河段</w:t>
      </w:r>
      <w:r>
        <w:rPr>
          <w:rFonts w:hint="eastAsia"/>
          <w:color w:val="auto"/>
          <w:sz w:val="30"/>
          <w:szCs w:val="30"/>
          <w:highlight w:val="none"/>
          <w:lang w:val="en-US" w:eastAsia="zh-CN"/>
        </w:rPr>
        <w:t>已建</w:t>
      </w:r>
      <w:r>
        <w:rPr>
          <w:color w:val="auto"/>
          <w:spacing w:val="4"/>
          <w:sz w:val="30"/>
          <w:szCs w:val="30"/>
          <w:highlight w:val="none"/>
        </w:rPr>
        <w:t>堤防3.5km，护岸2.5 km，保护面积0.24km</w:t>
      </w:r>
      <w:r>
        <w:rPr>
          <w:color w:val="auto"/>
          <w:sz w:val="30"/>
          <w:szCs w:val="30"/>
          <w:highlight w:val="none"/>
          <w:vertAlign w:val="superscript"/>
        </w:rPr>
        <w:t>2</w:t>
      </w:r>
      <w:r>
        <w:rPr>
          <w:color w:val="auto"/>
          <w:spacing w:val="4"/>
          <w:sz w:val="30"/>
          <w:szCs w:val="30"/>
          <w:highlight w:val="none"/>
        </w:rPr>
        <w:t>，保护人口0.</w:t>
      </w:r>
      <w:r>
        <w:rPr>
          <w:rFonts w:hint="eastAsia"/>
          <w:color w:val="auto"/>
          <w:spacing w:val="4"/>
          <w:sz w:val="30"/>
          <w:szCs w:val="30"/>
          <w:highlight w:val="none"/>
          <w:lang w:val="en-US" w:eastAsia="zh-CN"/>
        </w:rPr>
        <w:t>9</w:t>
      </w:r>
      <w:r>
        <w:rPr>
          <w:color w:val="auto"/>
          <w:spacing w:val="4"/>
          <w:sz w:val="30"/>
          <w:szCs w:val="30"/>
          <w:highlight w:val="none"/>
        </w:rPr>
        <w:t>万人。沱江主要支流现状堤防护岸建设情况详见表7.2.</w:t>
      </w:r>
      <w:r>
        <w:rPr>
          <w:rFonts w:hint="eastAsia"/>
          <w:color w:val="auto"/>
          <w:spacing w:val="4"/>
          <w:sz w:val="30"/>
          <w:szCs w:val="30"/>
          <w:highlight w:val="none"/>
          <w:lang w:val="en-US" w:eastAsia="zh-CN"/>
        </w:rPr>
        <w:t>3</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rFonts w:hint="eastAsia" w:ascii="楷体_GB2312" w:hAnsi="楷体_GB2312" w:eastAsia="楷体_GB2312" w:cs="楷体_GB2312"/>
          <w:color w:val="auto"/>
          <w:spacing w:val="4"/>
          <w:sz w:val="30"/>
          <w:szCs w:val="30"/>
          <w:highlight w:val="none"/>
        </w:rPr>
      </w:pPr>
      <w:r>
        <w:rPr>
          <w:rFonts w:hint="eastAsia" w:ascii="楷体_GB2312" w:hAnsi="楷体_GB2312" w:eastAsia="楷体_GB2312" w:cs="楷体_GB2312"/>
          <w:color w:val="auto"/>
          <w:sz w:val="30"/>
          <w:szCs w:val="30"/>
          <w:highlight w:val="none"/>
        </w:rPr>
        <w:t>（三）</w:t>
      </w:r>
      <w:r>
        <w:rPr>
          <w:rFonts w:hint="eastAsia" w:ascii="楷体_GB2312" w:hAnsi="楷体_GB2312" w:eastAsia="楷体_GB2312" w:cs="楷体_GB2312"/>
          <w:color w:val="auto"/>
          <w:spacing w:val="4"/>
          <w:sz w:val="30"/>
          <w:szCs w:val="30"/>
          <w:highlight w:val="none"/>
        </w:rPr>
        <w:t>中小河流</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pacing w:val="4"/>
          <w:sz w:val="30"/>
          <w:szCs w:val="30"/>
          <w:highlight w:val="none"/>
        </w:rPr>
      </w:pPr>
      <w:r>
        <w:rPr>
          <w:color w:val="auto"/>
          <w:spacing w:val="4"/>
          <w:sz w:val="30"/>
          <w:szCs w:val="30"/>
          <w:highlight w:val="none"/>
        </w:rPr>
        <w:t>县城及以上河段</w:t>
      </w:r>
      <w:r>
        <w:rPr>
          <w:rFonts w:hint="eastAsia"/>
          <w:color w:val="auto"/>
          <w:sz w:val="30"/>
          <w:szCs w:val="30"/>
          <w:highlight w:val="none"/>
          <w:lang w:val="en-US" w:eastAsia="zh-CN"/>
        </w:rPr>
        <w:t>已建</w:t>
      </w:r>
      <w:r>
        <w:rPr>
          <w:color w:val="auto"/>
          <w:spacing w:val="4"/>
          <w:sz w:val="30"/>
          <w:szCs w:val="30"/>
          <w:highlight w:val="none"/>
        </w:rPr>
        <w:t>堤防</w:t>
      </w:r>
      <w:r>
        <w:rPr>
          <w:color w:val="auto"/>
          <w:sz w:val="30"/>
          <w:szCs w:val="30"/>
          <w:highlight w:val="none"/>
        </w:rPr>
        <w:t>22</w:t>
      </w:r>
      <w:r>
        <w:rPr>
          <w:rFonts w:hint="eastAsia"/>
          <w:color w:val="auto"/>
          <w:sz w:val="30"/>
          <w:szCs w:val="30"/>
          <w:highlight w:val="none"/>
          <w:lang w:val="en-US" w:eastAsia="zh-CN"/>
        </w:rPr>
        <w:t>5</w:t>
      </w:r>
      <w:r>
        <w:rPr>
          <w:color w:val="auto"/>
          <w:spacing w:val="4"/>
          <w:sz w:val="30"/>
          <w:szCs w:val="30"/>
          <w:highlight w:val="none"/>
        </w:rPr>
        <w:t>km，护岸0.54km，保护面积71km</w:t>
      </w:r>
      <w:r>
        <w:rPr>
          <w:color w:val="auto"/>
          <w:sz w:val="30"/>
          <w:szCs w:val="30"/>
          <w:highlight w:val="none"/>
          <w:vertAlign w:val="superscript"/>
        </w:rPr>
        <w:t>2</w:t>
      </w:r>
      <w:r>
        <w:rPr>
          <w:color w:val="auto"/>
          <w:spacing w:val="4"/>
          <w:sz w:val="30"/>
          <w:szCs w:val="30"/>
          <w:highlight w:val="none"/>
        </w:rPr>
        <w:t>，保护人口</w:t>
      </w:r>
      <w:r>
        <w:rPr>
          <w:color w:val="auto"/>
          <w:sz w:val="30"/>
          <w:szCs w:val="30"/>
          <w:highlight w:val="none"/>
        </w:rPr>
        <w:t>6</w:t>
      </w:r>
      <w:r>
        <w:rPr>
          <w:rFonts w:hint="eastAsia"/>
          <w:color w:val="auto"/>
          <w:sz w:val="30"/>
          <w:szCs w:val="30"/>
          <w:highlight w:val="none"/>
          <w:lang w:val="en-US" w:eastAsia="zh-CN"/>
        </w:rPr>
        <w:t>8</w:t>
      </w:r>
      <w:r>
        <w:rPr>
          <w:color w:val="auto"/>
          <w:spacing w:val="4"/>
          <w:sz w:val="30"/>
          <w:szCs w:val="30"/>
          <w:highlight w:val="none"/>
        </w:rPr>
        <w:t>万人；乡镇河段</w:t>
      </w:r>
      <w:r>
        <w:rPr>
          <w:rFonts w:hint="eastAsia"/>
          <w:color w:val="auto"/>
          <w:sz w:val="30"/>
          <w:szCs w:val="30"/>
          <w:highlight w:val="none"/>
          <w:lang w:val="en-US" w:eastAsia="zh-CN"/>
        </w:rPr>
        <w:t>已建</w:t>
      </w:r>
      <w:r>
        <w:rPr>
          <w:color w:val="auto"/>
          <w:spacing w:val="4"/>
          <w:sz w:val="30"/>
          <w:szCs w:val="30"/>
          <w:highlight w:val="none"/>
        </w:rPr>
        <w:t>堤防</w:t>
      </w:r>
      <w:r>
        <w:rPr>
          <w:color w:val="auto"/>
          <w:sz w:val="30"/>
          <w:szCs w:val="30"/>
          <w:highlight w:val="none"/>
        </w:rPr>
        <w:t>76</w:t>
      </w:r>
      <w:r>
        <w:rPr>
          <w:rFonts w:hint="eastAsia"/>
          <w:color w:val="auto"/>
          <w:sz w:val="30"/>
          <w:szCs w:val="30"/>
          <w:highlight w:val="none"/>
          <w:lang w:val="en-US" w:eastAsia="zh-CN"/>
        </w:rPr>
        <w:t>5</w:t>
      </w:r>
      <w:r>
        <w:rPr>
          <w:color w:val="auto"/>
          <w:spacing w:val="4"/>
          <w:sz w:val="30"/>
          <w:szCs w:val="30"/>
          <w:highlight w:val="none"/>
        </w:rPr>
        <w:t>km，护岸</w:t>
      </w:r>
      <w:r>
        <w:rPr>
          <w:color w:val="auto"/>
          <w:sz w:val="30"/>
          <w:szCs w:val="30"/>
          <w:highlight w:val="none"/>
        </w:rPr>
        <w:t>35</w:t>
      </w:r>
      <w:r>
        <w:rPr>
          <w:color w:val="auto"/>
          <w:spacing w:val="4"/>
          <w:sz w:val="30"/>
          <w:szCs w:val="30"/>
          <w:highlight w:val="none"/>
        </w:rPr>
        <w:t>km，保护面积</w:t>
      </w:r>
      <w:r>
        <w:rPr>
          <w:color w:val="auto"/>
          <w:sz w:val="30"/>
          <w:szCs w:val="30"/>
          <w:highlight w:val="none"/>
        </w:rPr>
        <w:t>5</w:t>
      </w:r>
      <w:r>
        <w:rPr>
          <w:rFonts w:hint="eastAsia"/>
          <w:color w:val="auto"/>
          <w:sz w:val="30"/>
          <w:szCs w:val="30"/>
          <w:highlight w:val="none"/>
          <w:lang w:val="en-US" w:eastAsia="zh-CN"/>
        </w:rPr>
        <w:t>6</w:t>
      </w:r>
      <w:r>
        <w:rPr>
          <w:color w:val="auto"/>
          <w:spacing w:val="4"/>
          <w:sz w:val="30"/>
          <w:szCs w:val="30"/>
          <w:highlight w:val="none"/>
        </w:rPr>
        <w:t>km</w:t>
      </w:r>
      <w:r>
        <w:rPr>
          <w:color w:val="auto"/>
          <w:sz w:val="30"/>
          <w:szCs w:val="30"/>
          <w:highlight w:val="none"/>
          <w:vertAlign w:val="superscript"/>
        </w:rPr>
        <w:t>2</w:t>
      </w:r>
      <w:r>
        <w:rPr>
          <w:color w:val="auto"/>
          <w:spacing w:val="4"/>
          <w:sz w:val="30"/>
          <w:szCs w:val="30"/>
          <w:highlight w:val="none"/>
        </w:rPr>
        <w:t>，保护人口</w:t>
      </w:r>
      <w:r>
        <w:rPr>
          <w:color w:val="auto"/>
          <w:sz w:val="30"/>
          <w:szCs w:val="30"/>
          <w:highlight w:val="none"/>
        </w:rPr>
        <w:t>75</w:t>
      </w:r>
      <w:r>
        <w:rPr>
          <w:color w:val="auto"/>
          <w:spacing w:val="4"/>
          <w:sz w:val="30"/>
          <w:szCs w:val="30"/>
          <w:highlight w:val="none"/>
        </w:rPr>
        <w:t>万人。沱江流域中小河流现状堤防护岸建设情况详见表7.2.</w:t>
      </w:r>
      <w:r>
        <w:rPr>
          <w:rFonts w:hint="eastAsia"/>
          <w:color w:val="auto"/>
          <w:spacing w:val="4"/>
          <w:sz w:val="30"/>
          <w:szCs w:val="30"/>
          <w:highlight w:val="none"/>
          <w:lang w:val="en-US" w:eastAsia="zh-CN"/>
        </w:rPr>
        <w:t>4</w:t>
      </w:r>
      <w:r>
        <w:rPr>
          <w:color w:val="auto"/>
          <w:spacing w:val="4"/>
          <w:sz w:val="30"/>
          <w:szCs w:val="30"/>
          <w:highlight w:val="none"/>
        </w:rPr>
        <w:t>。</w:t>
      </w:r>
    </w:p>
    <w:p>
      <w:pPr>
        <w:pStyle w:val="156"/>
        <w:spacing w:line="540" w:lineRule="exact"/>
        <w:ind w:firstLine="578"/>
        <w:rPr>
          <w:color w:val="auto"/>
          <w:spacing w:val="4"/>
          <w:sz w:val="30"/>
          <w:szCs w:val="30"/>
          <w:highlight w:val="none"/>
        </w:rPr>
      </w:pPr>
    </w:p>
    <w:p>
      <w:pPr>
        <w:pStyle w:val="156"/>
        <w:spacing w:before="163" w:after="163" w:line="540" w:lineRule="exact"/>
        <w:rPr>
          <w:color w:val="auto"/>
          <w:spacing w:val="4"/>
          <w:highlight w:val="none"/>
        </w:rPr>
        <w:sectPr>
          <w:footerReference r:id="rId17" w:type="default"/>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p>
    <w:p>
      <w:pPr>
        <w:pStyle w:val="6"/>
        <w:spacing w:beforeLines="0" w:line="240" w:lineRule="auto"/>
        <w:ind w:firstLine="0"/>
        <w:jc w:val="left"/>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1</w:t>
      </w:r>
      <w:r>
        <w:rPr>
          <w:b w:val="0"/>
          <w:bCs w:val="0"/>
          <w:color w:val="auto"/>
          <w:sz w:val="28"/>
        </w:rPr>
        <w:t xml:space="preserve">                              </w:t>
      </w:r>
      <w:r>
        <w:rPr>
          <w:rFonts w:hint="eastAsia"/>
          <w:b w:val="0"/>
          <w:bCs w:val="0"/>
          <w:color w:val="auto"/>
          <w:sz w:val="28"/>
          <w:lang w:val="en-US" w:eastAsia="zh-CN"/>
        </w:rPr>
        <w:t xml:space="preserve">  </w:t>
      </w:r>
      <w:r>
        <w:rPr>
          <w:rFonts w:ascii="Times New Roman"/>
          <w:b w:val="0"/>
          <w:bCs w:val="0"/>
          <w:color w:val="auto"/>
          <w:sz w:val="28"/>
          <w:highlight w:val="none"/>
        </w:rPr>
        <w:t>沱江流域现状堤防护岸建设情况表</w:t>
      </w:r>
    </w:p>
    <w:p>
      <w:pPr>
        <w:rPr>
          <w:rFonts w:eastAsia="仿宋_GB2312"/>
          <w:vanish/>
          <w:color w:val="auto"/>
          <w:spacing w:val="4"/>
          <w:highlight w:val="none"/>
        </w:rPr>
      </w:pPr>
    </w:p>
    <w:tbl>
      <w:tblPr>
        <w:tblStyle w:val="88"/>
        <w:tblW w:w="5000" w:type="pct"/>
        <w:jc w:val="center"/>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36"/>
        <w:gridCol w:w="1097"/>
        <w:gridCol w:w="1285"/>
        <w:gridCol w:w="635"/>
        <w:gridCol w:w="692"/>
        <w:gridCol w:w="661"/>
        <w:gridCol w:w="846"/>
        <w:gridCol w:w="1119"/>
        <w:gridCol w:w="960"/>
        <w:gridCol w:w="713"/>
        <w:gridCol w:w="910"/>
        <w:gridCol w:w="795"/>
        <w:gridCol w:w="746"/>
        <w:gridCol w:w="1212"/>
        <w:gridCol w:w="876"/>
        <w:gridCol w:w="728"/>
        <w:gridCol w:w="875"/>
      </w:tblGrid>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636"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序号</w:t>
            </w:r>
          </w:p>
        </w:tc>
        <w:tc>
          <w:tcPr>
            <w:tcW w:w="1097"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沱江流域</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河流分类</w:t>
            </w:r>
          </w:p>
        </w:tc>
        <w:tc>
          <w:tcPr>
            <w:tcW w:w="1285"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防洪保护区</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岸线总长</w:t>
            </w:r>
          </w:p>
        </w:tc>
        <w:tc>
          <w:tcPr>
            <w:tcW w:w="635"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堤防</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总长</w:t>
            </w:r>
          </w:p>
        </w:tc>
        <w:tc>
          <w:tcPr>
            <w:tcW w:w="692"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护岸</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总长</w:t>
            </w:r>
          </w:p>
        </w:tc>
        <w:tc>
          <w:tcPr>
            <w:tcW w:w="5209" w:type="dxa"/>
            <w:gridSpan w:val="6"/>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县城及以上河段</w:t>
            </w:r>
          </w:p>
        </w:tc>
        <w:tc>
          <w:tcPr>
            <w:tcW w:w="5232" w:type="dxa"/>
            <w:gridSpan w:val="6"/>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乡镇河段</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5" w:hRule="atLeast"/>
          <w:jc w:val="center"/>
        </w:trPr>
        <w:tc>
          <w:tcPr>
            <w:tcW w:w="636"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snapToGrid/>
              <w:spacing w:line="240" w:lineRule="exact"/>
              <w:rPr>
                <w:color w:val="auto"/>
                <w:sz w:val="21"/>
                <w:szCs w:val="21"/>
                <w:highlight w:val="none"/>
              </w:rPr>
            </w:pPr>
          </w:p>
        </w:tc>
        <w:tc>
          <w:tcPr>
            <w:tcW w:w="1097"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1285"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635"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692"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堤防</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护岸</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堤防</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级别</w:t>
            </w: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spacing w:val="-11"/>
                <w:w w:val="100"/>
                <w:kern w:val="0"/>
                <w:sz w:val="21"/>
                <w:szCs w:val="21"/>
                <w:highlight w:val="none"/>
              </w:rPr>
            </w:pPr>
            <w:r>
              <w:rPr>
                <w:rFonts w:eastAsia="楷体"/>
                <w:color w:val="auto"/>
                <w:spacing w:val="-11"/>
                <w:w w:val="100"/>
                <w:kern w:val="0"/>
                <w:sz w:val="21"/>
                <w:szCs w:val="21"/>
                <w:highlight w:val="none"/>
              </w:rPr>
              <w:t>防洪能力</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spacing w:val="-11"/>
                <w:w w:val="100"/>
                <w:kern w:val="0"/>
                <w:sz w:val="21"/>
                <w:szCs w:val="21"/>
                <w:highlight w:val="none"/>
              </w:rPr>
              <w:t>重现期</w:t>
            </w: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保护</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面积</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保护</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人口</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堤防</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护岸</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堤防</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级别</w:t>
            </w: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spacing w:val="-17"/>
                <w:w w:val="100"/>
                <w:kern w:val="0"/>
                <w:sz w:val="21"/>
                <w:szCs w:val="21"/>
                <w:highlight w:val="none"/>
              </w:rPr>
            </w:pPr>
            <w:r>
              <w:rPr>
                <w:rFonts w:eastAsia="楷体"/>
                <w:color w:val="auto"/>
                <w:spacing w:val="-17"/>
                <w:w w:val="100"/>
                <w:kern w:val="0"/>
                <w:sz w:val="21"/>
                <w:szCs w:val="21"/>
                <w:highlight w:val="none"/>
              </w:rPr>
              <w:t>防洪能力</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spacing w:val="-17"/>
                <w:w w:val="100"/>
                <w:kern w:val="0"/>
                <w:sz w:val="21"/>
                <w:szCs w:val="21"/>
                <w:highlight w:val="none"/>
              </w:rPr>
              <w:t>重现期</w:t>
            </w: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保护</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面积</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保护</w:t>
            </w:r>
          </w:p>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人口</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636"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snapToGrid/>
              <w:spacing w:line="240" w:lineRule="exact"/>
              <w:rPr>
                <w:color w:val="auto"/>
                <w:sz w:val="21"/>
                <w:szCs w:val="21"/>
                <w:highlight w:val="none"/>
              </w:rPr>
            </w:pPr>
          </w:p>
        </w:tc>
        <w:tc>
          <w:tcPr>
            <w:tcW w:w="1097"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128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63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69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b/>
                <w:bCs/>
                <w:color w:val="auto"/>
                <w:w w:val="100"/>
                <w:kern w:val="0"/>
                <w:sz w:val="21"/>
                <w:szCs w:val="21"/>
                <w:highlight w:val="none"/>
              </w:rPr>
            </w:pPr>
            <w:r>
              <w:rPr>
                <w:rFonts w:eastAsia="楷体"/>
                <w:color w:val="auto"/>
                <w:w w:val="100"/>
                <w:kern w:val="0"/>
                <w:sz w:val="21"/>
                <w:szCs w:val="21"/>
                <w:highlight w:val="none"/>
              </w:rPr>
              <w:t>km</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eastAsia" w:eastAsia="楷体"/>
                <w:color w:val="auto"/>
                <w:w w:val="100"/>
                <w:kern w:val="0"/>
                <w:sz w:val="21"/>
                <w:szCs w:val="21"/>
                <w:highlight w:val="none"/>
                <w:lang w:eastAsia="zh-CN"/>
              </w:rPr>
            </w:pPr>
            <w:r>
              <w:rPr>
                <w:rFonts w:eastAsia="楷体"/>
                <w:color w:val="auto"/>
                <w:w w:val="100"/>
                <w:kern w:val="0"/>
                <w:sz w:val="21"/>
                <w:szCs w:val="21"/>
                <w:highlight w:val="none"/>
              </w:rPr>
              <w:t>年</w:t>
            </w: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eastAsia" w:eastAsia="楷体"/>
                <w:color w:val="auto"/>
                <w:w w:val="100"/>
                <w:kern w:val="0"/>
                <w:sz w:val="21"/>
                <w:szCs w:val="21"/>
                <w:highlight w:val="none"/>
                <w:lang w:eastAsia="zh-CN"/>
              </w:rPr>
            </w:pPr>
            <w:r>
              <w:rPr>
                <w:rFonts w:eastAsia="楷体"/>
                <w:color w:val="auto"/>
                <w:w w:val="100"/>
                <w:kern w:val="0"/>
                <w:sz w:val="21"/>
                <w:szCs w:val="21"/>
                <w:highlight w:val="none"/>
              </w:rPr>
              <w:t>万人</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eastAsia" w:eastAsia="楷体"/>
                <w:color w:val="auto"/>
                <w:w w:val="100"/>
                <w:kern w:val="0"/>
                <w:sz w:val="21"/>
                <w:szCs w:val="21"/>
                <w:highlight w:val="none"/>
                <w:lang w:eastAsia="zh-CN"/>
              </w:rPr>
            </w:pPr>
            <w:r>
              <w:rPr>
                <w:rFonts w:eastAsia="楷体"/>
                <w:color w:val="auto"/>
                <w:w w:val="100"/>
                <w:kern w:val="0"/>
                <w:sz w:val="21"/>
                <w:szCs w:val="21"/>
                <w:highlight w:val="none"/>
              </w:rPr>
              <w:t>年</w:t>
            </w: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100"/>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exact"/>
              <w:jc w:val="center"/>
              <w:textAlignment w:val="center"/>
              <w:rPr>
                <w:rFonts w:hint="eastAsia" w:eastAsia="楷体"/>
                <w:color w:val="auto"/>
                <w:w w:val="100"/>
                <w:kern w:val="0"/>
                <w:sz w:val="21"/>
                <w:szCs w:val="21"/>
                <w:highlight w:val="none"/>
                <w:lang w:eastAsia="zh-CN"/>
              </w:rPr>
            </w:pPr>
            <w:r>
              <w:rPr>
                <w:rFonts w:eastAsia="楷体"/>
                <w:color w:val="auto"/>
                <w:w w:val="100"/>
                <w:kern w:val="0"/>
                <w:sz w:val="21"/>
                <w:szCs w:val="21"/>
                <w:highlight w:val="none"/>
              </w:rPr>
              <w:t>万人</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63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1</w:t>
            </w:r>
          </w:p>
        </w:tc>
        <w:tc>
          <w:tcPr>
            <w:tcW w:w="1097"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sz w:val="21"/>
                <w:szCs w:val="21"/>
                <w:highlight w:val="none"/>
              </w:rPr>
            </w:pPr>
            <w:r>
              <w:rPr>
                <w:rFonts w:eastAsia="楷体"/>
                <w:color w:val="auto"/>
                <w:w w:val="80"/>
                <w:kern w:val="0"/>
                <w:sz w:val="21"/>
                <w:szCs w:val="21"/>
                <w:highlight w:val="none"/>
              </w:rPr>
              <w:t>干流</w:t>
            </w:r>
          </w:p>
        </w:tc>
        <w:tc>
          <w:tcPr>
            <w:tcW w:w="128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462 </w:t>
            </w:r>
          </w:p>
        </w:tc>
        <w:tc>
          <w:tcPr>
            <w:tcW w:w="63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307 </w:t>
            </w:r>
          </w:p>
        </w:tc>
        <w:tc>
          <w:tcPr>
            <w:tcW w:w="69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75.7 </w:t>
            </w: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151 </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等线" w:hAnsi="等线" w:eastAsia="等线" w:cs="等线"/>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w:t>
            </w: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50</w:t>
            </w: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93.0 </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88.3 </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156 </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75.7 </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29.3 </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33.3 </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63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2</w:t>
            </w:r>
          </w:p>
        </w:tc>
        <w:tc>
          <w:tcPr>
            <w:tcW w:w="1097"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sz w:val="21"/>
                <w:szCs w:val="21"/>
                <w:highlight w:val="none"/>
              </w:rPr>
            </w:pPr>
            <w:r>
              <w:rPr>
                <w:rFonts w:eastAsia="楷体"/>
                <w:color w:val="auto"/>
                <w:w w:val="80"/>
                <w:kern w:val="0"/>
                <w:sz w:val="21"/>
                <w:szCs w:val="21"/>
                <w:highlight w:val="none"/>
              </w:rPr>
              <w:t>主要支流</w:t>
            </w:r>
          </w:p>
        </w:tc>
        <w:tc>
          <w:tcPr>
            <w:tcW w:w="128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49.5 </w:t>
            </w:r>
          </w:p>
        </w:tc>
        <w:tc>
          <w:tcPr>
            <w:tcW w:w="63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34.6 </w:t>
            </w:r>
          </w:p>
        </w:tc>
        <w:tc>
          <w:tcPr>
            <w:tcW w:w="69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14.9 </w:t>
            </w: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31.1 </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12.4 </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仿宋"/>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Fonts w:ascii="仿宋" w:hAnsi="仿宋" w:eastAsia="仿宋" w:cs="仿宋"/>
                <w:i w:val="0"/>
                <w:iCs w:val="0"/>
                <w:color w:val="auto"/>
                <w:kern w:val="0"/>
                <w:sz w:val="21"/>
                <w:szCs w:val="21"/>
                <w:u w:val="none"/>
                <w:lang w:val="en-US" w:eastAsia="zh-CN" w:bidi="ar"/>
              </w:rPr>
              <w:t>级及以下</w:t>
            </w: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21.7 </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20.8 </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2.52</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Fonts w:ascii="仿宋" w:hAnsi="仿宋" w:eastAsia="仿宋" w:cs="仿宋"/>
                <w:i w:val="0"/>
                <w:iCs w:val="0"/>
                <w:color w:val="auto"/>
                <w:kern w:val="0"/>
                <w:sz w:val="21"/>
                <w:szCs w:val="21"/>
                <w:u w:val="none"/>
                <w:lang w:val="en-US" w:eastAsia="zh-CN" w:bidi="ar"/>
              </w:rPr>
              <w:t>级及以下</w:t>
            </w: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0.87</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63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3</w:t>
            </w:r>
          </w:p>
        </w:tc>
        <w:tc>
          <w:tcPr>
            <w:tcW w:w="1097"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sz w:val="21"/>
                <w:szCs w:val="21"/>
                <w:highlight w:val="none"/>
              </w:rPr>
            </w:pPr>
            <w:r>
              <w:rPr>
                <w:rFonts w:eastAsia="楷体"/>
                <w:color w:val="auto"/>
                <w:w w:val="80"/>
                <w:kern w:val="0"/>
                <w:sz w:val="21"/>
                <w:szCs w:val="21"/>
                <w:highlight w:val="none"/>
              </w:rPr>
              <w:t>中小河流</w:t>
            </w:r>
          </w:p>
        </w:tc>
        <w:tc>
          <w:tcPr>
            <w:tcW w:w="128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1330 </w:t>
            </w:r>
          </w:p>
        </w:tc>
        <w:tc>
          <w:tcPr>
            <w:tcW w:w="63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989 </w:t>
            </w:r>
          </w:p>
        </w:tc>
        <w:tc>
          <w:tcPr>
            <w:tcW w:w="69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35.9 </w:t>
            </w: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225 </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Fonts w:ascii="仿宋" w:hAnsi="仿宋" w:eastAsia="仿宋" w:cs="仿宋"/>
                <w:i w:val="0"/>
                <w:iCs w:val="0"/>
                <w:color w:val="auto"/>
                <w:kern w:val="0"/>
                <w:sz w:val="21"/>
                <w:szCs w:val="21"/>
                <w:u w:val="none"/>
                <w:lang w:val="en-US" w:eastAsia="zh-CN" w:bidi="ar"/>
              </w:rPr>
              <w:t>级及以下</w:t>
            </w: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71.4 </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67.5 </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764 </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35.3 </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Fonts w:ascii="仿宋" w:hAnsi="仿宋" w:eastAsia="仿宋" w:cs="仿宋"/>
                <w:i w:val="0"/>
                <w:iCs w:val="0"/>
                <w:color w:val="auto"/>
                <w:kern w:val="0"/>
                <w:sz w:val="21"/>
                <w:szCs w:val="21"/>
                <w:u w:val="none"/>
                <w:lang w:val="en-US" w:eastAsia="zh-CN" w:bidi="ar"/>
              </w:rPr>
              <w:t>级及以下</w:t>
            </w: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55.5 </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75.2 </w:t>
            </w:r>
          </w:p>
        </w:tc>
      </w:tr>
      <w:tr>
        <w:tblPrEx>
          <w:tblBorders>
            <w:top w:val="single" w:color="000000" w:sz="8" w:space="0"/>
            <w:left w:val="single" w:color="000000" w:sz="4"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63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1097"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jc w:val="center"/>
              <w:textAlignment w:val="center"/>
              <w:rPr>
                <w:rFonts w:eastAsia="楷体"/>
                <w:color w:val="auto"/>
                <w:w w:val="80"/>
                <w:sz w:val="21"/>
                <w:szCs w:val="21"/>
                <w:highlight w:val="none"/>
              </w:rPr>
            </w:pPr>
            <w:r>
              <w:rPr>
                <w:rFonts w:eastAsia="楷体"/>
                <w:color w:val="auto"/>
                <w:w w:val="80"/>
                <w:kern w:val="0"/>
                <w:sz w:val="21"/>
                <w:szCs w:val="21"/>
                <w:highlight w:val="none"/>
              </w:rPr>
              <w:t>合计</w:t>
            </w:r>
          </w:p>
        </w:tc>
        <w:tc>
          <w:tcPr>
            <w:tcW w:w="128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1842 </w:t>
            </w:r>
          </w:p>
        </w:tc>
        <w:tc>
          <w:tcPr>
            <w:tcW w:w="63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1331 </w:t>
            </w:r>
          </w:p>
        </w:tc>
        <w:tc>
          <w:tcPr>
            <w:tcW w:w="692"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126 </w:t>
            </w:r>
          </w:p>
        </w:tc>
        <w:tc>
          <w:tcPr>
            <w:tcW w:w="66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407 </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c>
          <w:tcPr>
            <w:tcW w:w="1119" w:type="dxa"/>
            <w:tcBorders>
              <w:top w:val="single" w:color="auto" w:sz="4" w:space="0"/>
              <w:left w:val="single" w:color="auto" w:sz="4" w:space="0"/>
              <w:bottom w:val="single" w:color="auto" w:sz="4" w:space="0"/>
              <w:right w:val="single" w:color="auto" w:sz="4" w:space="0"/>
              <w:tl2br w:val="nil"/>
              <w:tr2bl w:val="nil"/>
            </w:tcBorders>
            <w:noWrap/>
            <w:vAlign w:val="center"/>
          </w:tcPr>
          <w:p>
            <w:pPr>
              <w:jc w:val="center"/>
              <w:rPr>
                <w:rFonts w:eastAsia="等线"/>
                <w:color w:val="auto"/>
                <w:sz w:val="21"/>
                <w:szCs w:val="21"/>
                <w:highlight w:val="none"/>
              </w:rPr>
            </w:pPr>
          </w:p>
        </w:tc>
        <w:tc>
          <w:tcPr>
            <w:tcW w:w="960" w:type="dxa"/>
            <w:tcBorders>
              <w:top w:val="single" w:color="auto" w:sz="4" w:space="0"/>
              <w:left w:val="single" w:color="auto" w:sz="4" w:space="0"/>
              <w:bottom w:val="single" w:color="auto" w:sz="4" w:space="0"/>
              <w:right w:val="single" w:color="auto" w:sz="4" w:space="0"/>
              <w:tl2br w:val="nil"/>
              <w:tr2bl w:val="nil"/>
            </w:tcBorders>
            <w:noWrap/>
            <w:vAlign w:val="center"/>
          </w:tcPr>
          <w:p>
            <w:pPr>
              <w:jc w:val="center"/>
              <w:rPr>
                <w:rFonts w:eastAsia="等线"/>
                <w:color w:val="auto"/>
                <w:sz w:val="21"/>
                <w:szCs w:val="21"/>
                <w:highlight w:val="none"/>
              </w:rPr>
            </w:pPr>
          </w:p>
        </w:tc>
        <w:tc>
          <w:tcPr>
            <w:tcW w:w="713"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186 </w:t>
            </w:r>
          </w:p>
        </w:tc>
        <w:tc>
          <w:tcPr>
            <w:tcW w:w="91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177 </w:t>
            </w:r>
          </w:p>
        </w:tc>
        <w:tc>
          <w:tcPr>
            <w:tcW w:w="7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924 </w:t>
            </w:r>
          </w:p>
        </w:tc>
        <w:tc>
          <w:tcPr>
            <w:tcW w:w="7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113 </w:t>
            </w:r>
          </w:p>
        </w:tc>
        <w:tc>
          <w:tcPr>
            <w:tcW w:w="1212" w:type="dxa"/>
            <w:tcBorders>
              <w:top w:val="single" w:color="auto" w:sz="4" w:space="0"/>
              <w:left w:val="single" w:color="auto" w:sz="4" w:space="0"/>
              <w:bottom w:val="single" w:color="auto" w:sz="4" w:space="0"/>
              <w:right w:val="single" w:color="auto" w:sz="4" w:space="0"/>
              <w:tl2br w:val="nil"/>
              <w:tr2bl w:val="nil"/>
            </w:tcBorders>
            <w:noWrap/>
            <w:vAlign w:val="center"/>
          </w:tcPr>
          <w:p>
            <w:pPr>
              <w:jc w:val="center"/>
              <w:rPr>
                <w:rFonts w:eastAsia="等线"/>
                <w:color w:val="auto"/>
                <w:sz w:val="21"/>
                <w:szCs w:val="21"/>
                <w:highlight w:val="none"/>
              </w:rPr>
            </w:pPr>
          </w:p>
        </w:tc>
        <w:tc>
          <w:tcPr>
            <w:tcW w:w="876" w:type="dxa"/>
            <w:tcBorders>
              <w:top w:val="single" w:color="auto" w:sz="4" w:space="0"/>
              <w:left w:val="single" w:color="auto" w:sz="4" w:space="0"/>
              <w:bottom w:val="single" w:color="auto" w:sz="4" w:space="0"/>
              <w:right w:val="single" w:color="auto" w:sz="4" w:space="0"/>
              <w:tl2br w:val="nil"/>
              <w:tr2bl w:val="nil"/>
            </w:tcBorders>
            <w:noWrap/>
            <w:vAlign w:val="center"/>
          </w:tcPr>
          <w:p>
            <w:pPr>
              <w:jc w:val="center"/>
              <w:rPr>
                <w:rFonts w:eastAsia="等线"/>
                <w:color w:val="auto"/>
                <w:sz w:val="21"/>
                <w:szCs w:val="21"/>
                <w:highlight w:val="none"/>
              </w:rPr>
            </w:pPr>
          </w:p>
        </w:tc>
        <w:tc>
          <w:tcPr>
            <w:tcW w:w="728"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85.1 </w:t>
            </w:r>
          </w:p>
        </w:tc>
        <w:tc>
          <w:tcPr>
            <w:tcW w:w="87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109 </w:t>
            </w:r>
          </w:p>
        </w:tc>
      </w:tr>
    </w:tbl>
    <w:p>
      <w:pPr>
        <w:pStyle w:val="6"/>
        <w:keepNext/>
        <w:keepLines/>
        <w:pageBreakBefore w:val="0"/>
        <w:widowControl w:val="0"/>
        <w:kinsoku/>
        <w:wordWrap/>
        <w:overflowPunct/>
        <w:topLinePunct w:val="0"/>
        <w:autoSpaceDE/>
        <w:autoSpaceDN/>
        <w:bidi w:val="0"/>
        <w:adjustRightInd/>
        <w:snapToGrid/>
        <w:spacing w:beforeLines="0" w:line="440" w:lineRule="exact"/>
        <w:ind w:firstLine="0"/>
        <w:jc w:val="both"/>
        <w:textAlignment w:val="auto"/>
        <w:rPr>
          <w:rFonts w:ascii="Times New Roman"/>
          <w:b w:val="0"/>
          <w:bCs w:val="0"/>
          <w:color w:val="auto"/>
          <w:sz w:val="28"/>
          <w:highlight w:val="none"/>
        </w:rPr>
      </w:pPr>
    </w:p>
    <w:p>
      <w:pPr>
        <w:pStyle w:val="6"/>
        <w:keepNext/>
        <w:keepLines/>
        <w:pageBreakBefore w:val="0"/>
        <w:widowControl w:val="0"/>
        <w:kinsoku/>
        <w:wordWrap/>
        <w:overflowPunct/>
        <w:topLinePunct w:val="0"/>
        <w:autoSpaceDE/>
        <w:autoSpaceDN/>
        <w:bidi w:val="0"/>
        <w:adjustRightInd/>
        <w:snapToGrid/>
        <w:spacing w:beforeLines="0" w:line="440" w:lineRule="exact"/>
        <w:ind w:firstLine="0"/>
        <w:jc w:val="both"/>
        <w:textAlignment w:val="auto"/>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2</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 xml:space="preserve"> 沱江干流现状堤防护岸建设情况表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877"/>
        <w:gridCol w:w="1241"/>
        <w:gridCol w:w="621"/>
        <w:gridCol w:w="678"/>
        <w:gridCol w:w="766"/>
        <w:gridCol w:w="1241"/>
        <w:gridCol w:w="914"/>
        <w:gridCol w:w="1139"/>
        <w:gridCol w:w="933"/>
        <w:gridCol w:w="846"/>
        <w:gridCol w:w="763"/>
        <w:gridCol w:w="1558"/>
        <w:gridCol w:w="1089"/>
        <w:gridCol w:w="1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227" w:type="pct"/>
            <w:vMerge w:val="restart"/>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序号</w:t>
            </w:r>
          </w:p>
        </w:tc>
        <w:tc>
          <w:tcPr>
            <w:tcW w:w="296" w:type="pct"/>
            <w:vMerge w:val="restart"/>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地级市</w:t>
            </w:r>
          </w:p>
        </w:tc>
        <w:tc>
          <w:tcPr>
            <w:tcW w:w="419" w:type="pct"/>
            <w:vMerge w:val="restart"/>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防洪保护区</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岸线总长</w:t>
            </w:r>
          </w:p>
        </w:tc>
        <w:tc>
          <w:tcPr>
            <w:tcW w:w="1812" w:type="pct"/>
            <w:gridSpan w:val="6"/>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县城及以上河段</w:t>
            </w:r>
          </w:p>
        </w:tc>
        <w:tc>
          <w:tcPr>
            <w:tcW w:w="2243" w:type="pct"/>
            <w:gridSpan w:val="6"/>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乡镇河段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227" w:type="pct"/>
            <w:vMerge w:val="continue"/>
            <w:noWrap/>
            <w:vAlign w:val="center"/>
          </w:tcPr>
          <w:p>
            <w:pPr>
              <w:rPr>
                <w:color w:val="auto"/>
                <w:sz w:val="21"/>
                <w:szCs w:val="21"/>
                <w:highlight w:val="none"/>
              </w:rPr>
            </w:pPr>
          </w:p>
        </w:tc>
        <w:tc>
          <w:tcPr>
            <w:tcW w:w="296" w:type="pct"/>
            <w:vMerge w:val="continue"/>
            <w:noWrap/>
            <w:vAlign w:val="center"/>
          </w:tcPr>
          <w:p>
            <w:pPr>
              <w:rPr>
                <w:color w:val="auto"/>
                <w:sz w:val="21"/>
                <w:szCs w:val="21"/>
                <w:highlight w:val="none"/>
              </w:rPr>
            </w:pPr>
          </w:p>
        </w:tc>
        <w:tc>
          <w:tcPr>
            <w:tcW w:w="419" w:type="pct"/>
            <w:vMerge w:val="continue"/>
            <w:noWrap/>
            <w:vAlign w:val="center"/>
          </w:tcPr>
          <w:p>
            <w:pPr>
              <w:rPr>
                <w:color w:val="auto"/>
                <w:sz w:val="21"/>
                <w:szCs w:val="21"/>
                <w:highlight w:val="none"/>
              </w:rPr>
            </w:pPr>
          </w:p>
        </w:tc>
        <w:tc>
          <w:tcPr>
            <w:tcW w:w="209"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堤防</w:t>
            </w:r>
          </w:p>
        </w:tc>
        <w:tc>
          <w:tcPr>
            <w:tcW w:w="229" w:type="pct"/>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护岸</w:t>
            </w:r>
          </w:p>
        </w:tc>
        <w:tc>
          <w:tcPr>
            <w:tcW w:w="259"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堤防</w:t>
            </w:r>
          </w:p>
          <w:p>
            <w:pPr>
              <w:jc w:val="center"/>
              <w:rPr>
                <w:rFonts w:eastAsia="楷体"/>
                <w:color w:val="auto"/>
                <w:kern w:val="0"/>
                <w:sz w:val="21"/>
                <w:szCs w:val="21"/>
                <w:highlight w:val="none"/>
              </w:rPr>
            </w:pPr>
            <w:r>
              <w:rPr>
                <w:rFonts w:eastAsia="楷体"/>
                <w:color w:val="auto"/>
                <w:kern w:val="0"/>
                <w:sz w:val="21"/>
                <w:szCs w:val="21"/>
                <w:highlight w:val="none"/>
              </w:rPr>
              <w:t>级别</w:t>
            </w:r>
          </w:p>
        </w:tc>
        <w:tc>
          <w:tcPr>
            <w:tcW w:w="419"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防洪能力</w:t>
            </w:r>
          </w:p>
          <w:p>
            <w:pPr>
              <w:widowControl/>
              <w:jc w:val="center"/>
              <w:rPr>
                <w:rFonts w:eastAsia="楷体"/>
                <w:color w:val="auto"/>
                <w:kern w:val="0"/>
                <w:sz w:val="21"/>
                <w:szCs w:val="21"/>
                <w:highlight w:val="none"/>
              </w:rPr>
            </w:pPr>
            <w:r>
              <w:rPr>
                <w:rFonts w:eastAsia="楷体"/>
                <w:color w:val="auto"/>
                <w:kern w:val="0"/>
                <w:sz w:val="21"/>
                <w:szCs w:val="21"/>
                <w:highlight w:val="none"/>
              </w:rPr>
              <w:t>重现期</w:t>
            </w:r>
          </w:p>
        </w:tc>
        <w:tc>
          <w:tcPr>
            <w:tcW w:w="309"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rPr>
                <w:rFonts w:eastAsia="楷体"/>
                <w:color w:val="auto"/>
                <w:kern w:val="0"/>
                <w:sz w:val="21"/>
                <w:szCs w:val="21"/>
                <w:highlight w:val="none"/>
              </w:rPr>
            </w:pPr>
            <w:r>
              <w:rPr>
                <w:rFonts w:eastAsia="楷体"/>
                <w:color w:val="auto"/>
                <w:kern w:val="0"/>
                <w:sz w:val="21"/>
                <w:szCs w:val="21"/>
                <w:highlight w:val="none"/>
              </w:rPr>
              <w:t>面积</w:t>
            </w:r>
          </w:p>
        </w:tc>
        <w:tc>
          <w:tcPr>
            <w:tcW w:w="385"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rPr>
                <w:rFonts w:eastAsia="楷体"/>
                <w:color w:val="auto"/>
                <w:kern w:val="0"/>
                <w:sz w:val="21"/>
                <w:szCs w:val="21"/>
                <w:highlight w:val="none"/>
              </w:rPr>
            </w:pPr>
            <w:r>
              <w:rPr>
                <w:rFonts w:eastAsia="楷体"/>
                <w:color w:val="auto"/>
                <w:kern w:val="0"/>
                <w:sz w:val="21"/>
                <w:szCs w:val="21"/>
                <w:highlight w:val="none"/>
              </w:rPr>
              <w:t>人口</w:t>
            </w:r>
          </w:p>
        </w:tc>
        <w:tc>
          <w:tcPr>
            <w:tcW w:w="315"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堤防</w:t>
            </w:r>
          </w:p>
        </w:tc>
        <w:tc>
          <w:tcPr>
            <w:tcW w:w="286" w:type="pct"/>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护岸</w:t>
            </w:r>
          </w:p>
        </w:tc>
        <w:tc>
          <w:tcPr>
            <w:tcW w:w="258"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堤防</w:t>
            </w:r>
          </w:p>
          <w:p>
            <w:pPr>
              <w:jc w:val="center"/>
              <w:rPr>
                <w:rFonts w:eastAsia="楷体"/>
                <w:color w:val="auto"/>
                <w:kern w:val="0"/>
                <w:sz w:val="21"/>
                <w:szCs w:val="21"/>
                <w:highlight w:val="none"/>
              </w:rPr>
            </w:pPr>
            <w:r>
              <w:rPr>
                <w:rFonts w:eastAsia="楷体"/>
                <w:color w:val="auto"/>
                <w:kern w:val="0"/>
                <w:sz w:val="21"/>
                <w:szCs w:val="21"/>
                <w:highlight w:val="none"/>
              </w:rPr>
              <w:t>级别</w:t>
            </w:r>
          </w:p>
        </w:tc>
        <w:tc>
          <w:tcPr>
            <w:tcW w:w="5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防洪能力</w:t>
            </w:r>
          </w:p>
          <w:p>
            <w:pPr>
              <w:widowControl/>
              <w:jc w:val="center"/>
              <w:rPr>
                <w:rFonts w:eastAsia="楷体"/>
                <w:color w:val="auto"/>
                <w:kern w:val="0"/>
                <w:sz w:val="21"/>
                <w:szCs w:val="21"/>
                <w:highlight w:val="none"/>
              </w:rPr>
            </w:pPr>
            <w:r>
              <w:rPr>
                <w:rFonts w:eastAsia="楷体"/>
                <w:color w:val="auto"/>
                <w:kern w:val="0"/>
                <w:sz w:val="21"/>
                <w:szCs w:val="21"/>
                <w:highlight w:val="none"/>
              </w:rPr>
              <w:t>重现期</w:t>
            </w:r>
          </w:p>
        </w:tc>
        <w:tc>
          <w:tcPr>
            <w:tcW w:w="36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保护面积</w:t>
            </w:r>
          </w:p>
        </w:tc>
        <w:tc>
          <w:tcPr>
            <w:tcW w:w="488"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rPr>
                <w:rFonts w:eastAsia="楷体"/>
                <w:color w:val="auto"/>
                <w:kern w:val="0"/>
                <w:sz w:val="21"/>
                <w:szCs w:val="21"/>
                <w:highlight w:val="none"/>
              </w:rPr>
            </w:pPr>
            <w:r>
              <w:rPr>
                <w:rFonts w:eastAsia="楷体"/>
                <w:color w:val="auto"/>
                <w:kern w:val="0"/>
                <w:sz w:val="21"/>
                <w:szCs w:val="21"/>
                <w:highlight w:val="none"/>
              </w:rPr>
              <w:t>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27" w:type="pct"/>
            <w:vMerge w:val="continue"/>
            <w:noWrap/>
            <w:vAlign w:val="center"/>
          </w:tcPr>
          <w:p>
            <w:pPr>
              <w:rPr>
                <w:color w:val="auto"/>
                <w:sz w:val="21"/>
                <w:szCs w:val="21"/>
                <w:highlight w:val="none"/>
              </w:rPr>
            </w:pPr>
          </w:p>
        </w:tc>
        <w:tc>
          <w:tcPr>
            <w:tcW w:w="296" w:type="pct"/>
            <w:vMerge w:val="continue"/>
            <w:noWrap/>
            <w:vAlign w:val="center"/>
          </w:tcPr>
          <w:p>
            <w:pPr>
              <w:rPr>
                <w:color w:val="auto"/>
                <w:sz w:val="21"/>
                <w:szCs w:val="21"/>
                <w:highlight w:val="none"/>
              </w:rPr>
            </w:pPr>
          </w:p>
        </w:tc>
        <w:tc>
          <w:tcPr>
            <w:tcW w:w="419" w:type="pct"/>
            <w:noWrap/>
            <w:vAlign w:val="center"/>
          </w:tcPr>
          <w:p>
            <w:pPr>
              <w:jc w:val="center"/>
              <w:rPr>
                <w:color w:val="auto"/>
                <w:sz w:val="21"/>
                <w:szCs w:val="21"/>
                <w:highlight w:val="none"/>
              </w:rPr>
            </w:pPr>
            <w:r>
              <w:rPr>
                <w:rFonts w:eastAsia="楷体"/>
                <w:color w:val="auto"/>
                <w:w w:val="100"/>
                <w:kern w:val="0"/>
                <w:sz w:val="21"/>
                <w:szCs w:val="21"/>
                <w:highlight w:val="none"/>
              </w:rPr>
              <w:t>km</w:t>
            </w:r>
          </w:p>
        </w:tc>
        <w:tc>
          <w:tcPr>
            <w:tcW w:w="209" w:type="pct"/>
            <w:noWrap/>
            <w:vAlign w:val="center"/>
          </w:tcPr>
          <w:p>
            <w:pPr>
              <w:jc w:val="center"/>
              <w:rPr>
                <w:rFonts w:eastAsia="楷体"/>
                <w:color w:val="auto"/>
                <w:kern w:val="0"/>
                <w:sz w:val="21"/>
                <w:szCs w:val="21"/>
                <w:highlight w:val="none"/>
              </w:rPr>
            </w:pPr>
            <w:r>
              <w:rPr>
                <w:rFonts w:eastAsia="楷体"/>
                <w:color w:val="auto"/>
                <w:w w:val="100"/>
                <w:kern w:val="0"/>
                <w:sz w:val="21"/>
                <w:szCs w:val="21"/>
                <w:highlight w:val="none"/>
              </w:rPr>
              <w:t>km</w:t>
            </w:r>
          </w:p>
        </w:tc>
        <w:tc>
          <w:tcPr>
            <w:tcW w:w="229" w:type="pct"/>
            <w:noWrap/>
            <w:vAlign w:val="center"/>
          </w:tcPr>
          <w:p>
            <w:pPr>
              <w:jc w:val="center"/>
              <w:rPr>
                <w:rFonts w:eastAsia="楷体"/>
                <w:color w:val="auto"/>
                <w:kern w:val="0"/>
                <w:sz w:val="21"/>
                <w:szCs w:val="21"/>
                <w:highlight w:val="none"/>
              </w:rPr>
            </w:pPr>
            <w:r>
              <w:rPr>
                <w:rFonts w:eastAsia="楷体"/>
                <w:color w:val="auto"/>
                <w:w w:val="100"/>
                <w:kern w:val="0"/>
                <w:sz w:val="21"/>
                <w:szCs w:val="21"/>
                <w:highlight w:val="none"/>
              </w:rPr>
              <w:t>km</w:t>
            </w:r>
          </w:p>
        </w:tc>
        <w:tc>
          <w:tcPr>
            <w:tcW w:w="259" w:type="pct"/>
            <w:noWrap/>
            <w:vAlign w:val="center"/>
          </w:tcPr>
          <w:p>
            <w:pPr>
              <w:jc w:val="center"/>
              <w:rPr>
                <w:rFonts w:eastAsia="楷体"/>
                <w:color w:val="auto"/>
                <w:kern w:val="0"/>
                <w:sz w:val="21"/>
                <w:szCs w:val="21"/>
                <w:highlight w:val="none"/>
              </w:rPr>
            </w:pPr>
          </w:p>
        </w:tc>
        <w:tc>
          <w:tcPr>
            <w:tcW w:w="419" w:type="pct"/>
            <w:noWrap/>
            <w:vAlign w:val="center"/>
          </w:tcPr>
          <w:p>
            <w:pPr>
              <w:jc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309" w:type="pct"/>
            <w:noWrap/>
            <w:vAlign w:val="center"/>
          </w:tcPr>
          <w:p>
            <w:pPr>
              <w:jc w:val="center"/>
              <w:rPr>
                <w:rFonts w:eastAsia="等线"/>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385" w:type="pct"/>
            <w:noWrap/>
            <w:vAlign w:val="center"/>
          </w:tcPr>
          <w:p>
            <w:pPr>
              <w:jc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c>
          <w:tcPr>
            <w:tcW w:w="315" w:type="pct"/>
            <w:noWrap/>
            <w:vAlign w:val="center"/>
          </w:tcPr>
          <w:p>
            <w:pPr>
              <w:jc w:val="center"/>
              <w:rPr>
                <w:rFonts w:eastAsia="楷体"/>
                <w:color w:val="auto"/>
                <w:kern w:val="0"/>
                <w:sz w:val="21"/>
                <w:szCs w:val="21"/>
                <w:highlight w:val="none"/>
              </w:rPr>
            </w:pPr>
            <w:r>
              <w:rPr>
                <w:rFonts w:eastAsia="楷体"/>
                <w:color w:val="auto"/>
                <w:w w:val="100"/>
                <w:kern w:val="0"/>
                <w:sz w:val="21"/>
                <w:szCs w:val="21"/>
                <w:highlight w:val="none"/>
              </w:rPr>
              <w:t>km</w:t>
            </w:r>
          </w:p>
        </w:tc>
        <w:tc>
          <w:tcPr>
            <w:tcW w:w="286" w:type="pct"/>
            <w:noWrap/>
            <w:vAlign w:val="center"/>
          </w:tcPr>
          <w:p>
            <w:pPr>
              <w:jc w:val="center"/>
              <w:rPr>
                <w:rFonts w:eastAsia="楷体"/>
                <w:color w:val="auto"/>
                <w:kern w:val="0"/>
                <w:sz w:val="21"/>
                <w:szCs w:val="21"/>
                <w:highlight w:val="none"/>
              </w:rPr>
            </w:pPr>
            <w:r>
              <w:rPr>
                <w:rFonts w:eastAsia="楷体"/>
                <w:color w:val="auto"/>
                <w:w w:val="100"/>
                <w:kern w:val="0"/>
                <w:sz w:val="21"/>
                <w:szCs w:val="21"/>
                <w:highlight w:val="none"/>
              </w:rPr>
              <w:t>km</w:t>
            </w:r>
          </w:p>
        </w:tc>
        <w:tc>
          <w:tcPr>
            <w:tcW w:w="258" w:type="pct"/>
            <w:noWrap/>
            <w:vAlign w:val="center"/>
          </w:tcPr>
          <w:p>
            <w:pPr>
              <w:jc w:val="center"/>
              <w:rPr>
                <w:rFonts w:eastAsia="楷体"/>
                <w:color w:val="auto"/>
                <w:kern w:val="0"/>
                <w:sz w:val="21"/>
                <w:szCs w:val="21"/>
                <w:highlight w:val="none"/>
              </w:rPr>
            </w:pPr>
          </w:p>
        </w:tc>
        <w:tc>
          <w:tcPr>
            <w:tcW w:w="527" w:type="pct"/>
            <w:noWrap/>
            <w:vAlign w:val="center"/>
          </w:tcPr>
          <w:p>
            <w:pPr>
              <w:jc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367" w:type="pct"/>
            <w:noWrap/>
            <w:vAlign w:val="center"/>
          </w:tcPr>
          <w:p>
            <w:pPr>
              <w:jc w:val="center"/>
              <w:rPr>
                <w:rFonts w:eastAsia="等线"/>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488" w:type="pct"/>
            <w:noWrap/>
            <w:vAlign w:val="center"/>
          </w:tcPr>
          <w:p>
            <w:pPr>
              <w:jc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w:t>
            </w: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德阳市</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158 </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33.9 </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w:t>
            </w:r>
          </w:p>
        </w:tc>
        <w:tc>
          <w:tcPr>
            <w:tcW w:w="41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eastAsia"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50</w:t>
            </w:r>
          </w:p>
        </w:tc>
        <w:tc>
          <w:tcPr>
            <w:tcW w:w="3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28.6 </w:t>
            </w:r>
          </w:p>
        </w:tc>
        <w:tc>
          <w:tcPr>
            <w:tcW w:w="38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33.2 </w:t>
            </w:r>
          </w:p>
        </w:tc>
        <w:tc>
          <w:tcPr>
            <w:tcW w:w="31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120 </w:t>
            </w:r>
          </w:p>
        </w:tc>
        <w:tc>
          <w:tcPr>
            <w:tcW w:w="286" w:type="pct"/>
            <w:noWrap/>
            <w:vAlign w:val="center"/>
          </w:tcPr>
          <w:p>
            <w:pPr>
              <w:jc w:val="center"/>
              <w:rPr>
                <w:rFonts w:eastAsia="等线"/>
                <w:color w:val="auto"/>
                <w:kern w:val="0"/>
                <w:sz w:val="21"/>
                <w:szCs w:val="21"/>
                <w:highlight w:val="none"/>
              </w:rPr>
            </w:pPr>
          </w:p>
        </w:tc>
        <w:tc>
          <w:tcPr>
            <w:tcW w:w="258"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527"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67"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18.9</w:t>
            </w:r>
          </w:p>
        </w:tc>
        <w:tc>
          <w:tcPr>
            <w:tcW w:w="488"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shd w:val="clear" w:color="auto" w:fill="auto"/>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w:t>
            </w:r>
          </w:p>
        </w:tc>
        <w:tc>
          <w:tcPr>
            <w:tcW w:w="296" w:type="pct"/>
            <w:shd w:val="clear" w:color="auto" w:fill="auto"/>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成都市</w:t>
            </w:r>
          </w:p>
        </w:tc>
        <w:tc>
          <w:tcPr>
            <w:tcW w:w="419" w:type="pct"/>
            <w:shd w:val="clear" w:color="auto" w:fill="auto"/>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137 </w:t>
            </w:r>
          </w:p>
        </w:tc>
        <w:tc>
          <w:tcPr>
            <w:tcW w:w="209"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37.6 </w:t>
            </w:r>
          </w:p>
        </w:tc>
        <w:tc>
          <w:tcPr>
            <w:tcW w:w="229" w:type="pct"/>
            <w:shd w:val="clear" w:color="auto" w:fill="auto"/>
            <w:noWrap/>
            <w:vAlign w:val="center"/>
          </w:tcPr>
          <w:p>
            <w:pPr>
              <w:jc w:val="center"/>
              <w:rPr>
                <w:rFonts w:eastAsia="楷体"/>
                <w:color w:val="auto"/>
                <w:kern w:val="0"/>
                <w:sz w:val="21"/>
                <w:szCs w:val="21"/>
                <w:highlight w:val="none"/>
              </w:rPr>
            </w:pPr>
          </w:p>
        </w:tc>
        <w:tc>
          <w:tcPr>
            <w:tcW w:w="259" w:type="pct"/>
            <w:shd w:val="clear" w:color="auto" w:fill="auto"/>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419"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09"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23.2 </w:t>
            </w:r>
          </w:p>
        </w:tc>
        <w:tc>
          <w:tcPr>
            <w:tcW w:w="385"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28.1 </w:t>
            </w:r>
          </w:p>
        </w:tc>
        <w:tc>
          <w:tcPr>
            <w:tcW w:w="315"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23.5 </w:t>
            </w:r>
          </w:p>
        </w:tc>
        <w:tc>
          <w:tcPr>
            <w:tcW w:w="286" w:type="pct"/>
            <w:shd w:val="clear" w:color="000000" w:fill="FFFFFF"/>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75.7 </w:t>
            </w:r>
          </w:p>
        </w:tc>
        <w:tc>
          <w:tcPr>
            <w:tcW w:w="258" w:type="pct"/>
            <w:shd w:val="clear" w:color="000000" w:fill="FFFFFF"/>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527" w:type="pct"/>
            <w:shd w:val="clear" w:color="auto" w:fill="auto"/>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67" w:type="pct"/>
            <w:shd w:val="clear" w:color="auto" w:fill="auto"/>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8.91</w:t>
            </w:r>
          </w:p>
        </w:tc>
        <w:tc>
          <w:tcPr>
            <w:tcW w:w="488" w:type="pct"/>
            <w:shd w:val="clear" w:color="000000" w:fill="FFFFFF"/>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w:t>
            </w: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资阳市</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92.9 </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16.8</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41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16.6 </w:t>
            </w:r>
          </w:p>
        </w:tc>
        <w:tc>
          <w:tcPr>
            <w:tcW w:w="38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315" w:type="pct"/>
            <w:noWrap/>
            <w:vAlign w:val="center"/>
          </w:tcPr>
          <w:p>
            <w:pPr>
              <w:jc w:val="center"/>
              <w:rPr>
                <w:rFonts w:eastAsia="等线"/>
                <w:color w:val="auto"/>
                <w:kern w:val="0"/>
                <w:sz w:val="21"/>
                <w:szCs w:val="21"/>
                <w:highlight w:val="none"/>
              </w:rPr>
            </w:pPr>
          </w:p>
        </w:tc>
        <w:tc>
          <w:tcPr>
            <w:tcW w:w="286" w:type="pct"/>
            <w:noWrap/>
            <w:vAlign w:val="center"/>
          </w:tcPr>
          <w:p>
            <w:pPr>
              <w:jc w:val="center"/>
              <w:rPr>
                <w:rFonts w:eastAsia="等线"/>
                <w:color w:val="auto"/>
                <w:kern w:val="0"/>
                <w:sz w:val="21"/>
                <w:szCs w:val="21"/>
                <w:highlight w:val="none"/>
              </w:rPr>
            </w:pPr>
          </w:p>
        </w:tc>
        <w:tc>
          <w:tcPr>
            <w:tcW w:w="258" w:type="pct"/>
            <w:noWrap/>
            <w:vAlign w:val="center"/>
          </w:tcPr>
          <w:p>
            <w:pPr>
              <w:jc w:val="center"/>
              <w:rPr>
                <w:rFonts w:eastAsia="等线"/>
                <w:color w:val="auto"/>
                <w:kern w:val="0"/>
                <w:sz w:val="21"/>
                <w:szCs w:val="21"/>
                <w:highlight w:val="none"/>
              </w:rPr>
            </w:pPr>
          </w:p>
        </w:tc>
        <w:tc>
          <w:tcPr>
            <w:tcW w:w="527"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67" w:type="pct"/>
            <w:noWrap/>
            <w:vAlign w:val="center"/>
          </w:tcPr>
          <w:p>
            <w:pPr>
              <w:jc w:val="center"/>
              <w:rPr>
                <w:color w:val="auto"/>
                <w:sz w:val="21"/>
                <w:szCs w:val="21"/>
                <w:highlight w:val="none"/>
              </w:rPr>
            </w:pPr>
          </w:p>
        </w:tc>
        <w:tc>
          <w:tcPr>
            <w:tcW w:w="488" w:type="pct"/>
            <w:noWrap/>
            <w:vAlign w:val="center"/>
          </w:tcPr>
          <w:p>
            <w:pPr>
              <w:jc w:val="center"/>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4</w:t>
            </w: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内江市</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47.4 </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44.6 </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w:t>
            </w:r>
          </w:p>
        </w:tc>
        <w:tc>
          <w:tcPr>
            <w:tcW w:w="41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50</w:t>
            </w:r>
          </w:p>
        </w:tc>
        <w:tc>
          <w:tcPr>
            <w:tcW w:w="3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14.3 </w:t>
            </w:r>
          </w:p>
        </w:tc>
        <w:tc>
          <w:tcPr>
            <w:tcW w:w="38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15.4</w:t>
            </w:r>
          </w:p>
        </w:tc>
        <w:tc>
          <w:tcPr>
            <w:tcW w:w="31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6.13</w:t>
            </w:r>
          </w:p>
        </w:tc>
        <w:tc>
          <w:tcPr>
            <w:tcW w:w="286" w:type="pct"/>
            <w:noWrap/>
            <w:vAlign w:val="center"/>
          </w:tcPr>
          <w:p>
            <w:pPr>
              <w:jc w:val="center"/>
              <w:rPr>
                <w:rFonts w:eastAsia="等线"/>
                <w:color w:val="auto"/>
                <w:kern w:val="0"/>
                <w:sz w:val="21"/>
                <w:szCs w:val="21"/>
                <w:highlight w:val="none"/>
              </w:rPr>
            </w:pPr>
          </w:p>
        </w:tc>
        <w:tc>
          <w:tcPr>
            <w:tcW w:w="258"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527"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67" w:type="pct"/>
            <w:noWrap/>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0.53</w:t>
            </w:r>
          </w:p>
        </w:tc>
        <w:tc>
          <w:tcPr>
            <w:tcW w:w="488" w:type="pct"/>
            <w:noWrap/>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5</w:t>
            </w: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自贡市</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19.9 </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15.0 </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41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9.0 </w:t>
            </w:r>
          </w:p>
        </w:tc>
        <w:tc>
          <w:tcPr>
            <w:tcW w:w="38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4.79</w:t>
            </w:r>
          </w:p>
        </w:tc>
        <w:tc>
          <w:tcPr>
            <w:tcW w:w="31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4.89</w:t>
            </w:r>
          </w:p>
        </w:tc>
        <w:tc>
          <w:tcPr>
            <w:tcW w:w="286" w:type="pct"/>
            <w:noWrap/>
            <w:vAlign w:val="center"/>
          </w:tcPr>
          <w:p>
            <w:pPr>
              <w:jc w:val="center"/>
              <w:rPr>
                <w:rFonts w:eastAsia="等线"/>
                <w:color w:val="auto"/>
                <w:kern w:val="0"/>
                <w:sz w:val="21"/>
                <w:szCs w:val="21"/>
                <w:highlight w:val="none"/>
              </w:rPr>
            </w:pPr>
          </w:p>
        </w:tc>
        <w:tc>
          <w:tcPr>
            <w:tcW w:w="258"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527"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67"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0.47</w:t>
            </w:r>
          </w:p>
        </w:tc>
        <w:tc>
          <w:tcPr>
            <w:tcW w:w="488"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6</w:t>
            </w: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泸州市</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7.45</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6.42</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41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 </w:t>
            </w:r>
          </w:p>
        </w:tc>
        <w:tc>
          <w:tcPr>
            <w:tcW w:w="38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0.7</w:t>
            </w:r>
          </w:p>
        </w:tc>
        <w:tc>
          <w:tcPr>
            <w:tcW w:w="315"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286" w:type="pct"/>
            <w:noWrap/>
            <w:vAlign w:val="center"/>
          </w:tcPr>
          <w:p>
            <w:pPr>
              <w:jc w:val="center"/>
              <w:rPr>
                <w:rFonts w:eastAsia="等线"/>
                <w:color w:val="auto"/>
                <w:kern w:val="0"/>
                <w:sz w:val="21"/>
                <w:szCs w:val="21"/>
                <w:highlight w:val="none"/>
              </w:rPr>
            </w:pPr>
          </w:p>
        </w:tc>
        <w:tc>
          <w:tcPr>
            <w:tcW w:w="258" w:type="pct"/>
            <w:noWrap/>
            <w:vAlign w:val="center"/>
          </w:tcPr>
          <w:p>
            <w:pPr>
              <w:jc w:val="center"/>
              <w:rPr>
                <w:rFonts w:eastAsia="等线"/>
                <w:color w:val="auto"/>
                <w:kern w:val="0"/>
                <w:sz w:val="21"/>
                <w:szCs w:val="21"/>
                <w:highlight w:val="none"/>
              </w:rPr>
            </w:pPr>
          </w:p>
        </w:tc>
        <w:tc>
          <w:tcPr>
            <w:tcW w:w="527"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楷体" w:hAnsi="楷体" w:eastAsia="楷体" w:cs="楷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67"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488"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7" w:type="pct"/>
            <w:noWrap/>
            <w:vAlign w:val="center"/>
          </w:tcPr>
          <w:p>
            <w:pPr>
              <w:widowControl/>
              <w:jc w:val="center"/>
              <w:rPr>
                <w:rFonts w:eastAsia="楷体"/>
                <w:color w:val="auto"/>
                <w:kern w:val="0"/>
                <w:sz w:val="21"/>
                <w:szCs w:val="21"/>
                <w:highlight w:val="none"/>
              </w:rPr>
            </w:pPr>
          </w:p>
        </w:tc>
        <w:tc>
          <w:tcPr>
            <w:tcW w:w="296" w:type="pct"/>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合计</w:t>
            </w:r>
          </w:p>
        </w:tc>
        <w:tc>
          <w:tcPr>
            <w:tcW w:w="419" w:type="pct"/>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462 </w:t>
            </w:r>
          </w:p>
        </w:tc>
        <w:tc>
          <w:tcPr>
            <w:tcW w:w="209"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151 </w:t>
            </w:r>
          </w:p>
        </w:tc>
        <w:tc>
          <w:tcPr>
            <w:tcW w:w="229" w:type="pct"/>
            <w:noWrap/>
            <w:vAlign w:val="center"/>
          </w:tcPr>
          <w:p>
            <w:pPr>
              <w:jc w:val="center"/>
              <w:rPr>
                <w:rFonts w:eastAsia="等线"/>
                <w:color w:val="auto"/>
                <w:kern w:val="0"/>
                <w:sz w:val="21"/>
                <w:szCs w:val="21"/>
                <w:highlight w:val="none"/>
              </w:rPr>
            </w:pPr>
          </w:p>
        </w:tc>
        <w:tc>
          <w:tcPr>
            <w:tcW w:w="259" w:type="pct"/>
            <w:noWrap/>
            <w:vAlign w:val="center"/>
          </w:tcPr>
          <w:p>
            <w:pPr>
              <w:jc w:val="center"/>
              <w:rPr>
                <w:rFonts w:eastAsia="等线"/>
                <w:color w:val="auto"/>
                <w:kern w:val="0"/>
                <w:sz w:val="21"/>
                <w:szCs w:val="21"/>
                <w:highlight w:val="none"/>
              </w:rPr>
            </w:pPr>
          </w:p>
        </w:tc>
        <w:tc>
          <w:tcPr>
            <w:tcW w:w="419" w:type="pct"/>
            <w:noWrap/>
            <w:vAlign w:val="center"/>
          </w:tcPr>
          <w:p>
            <w:pPr>
              <w:jc w:val="center"/>
              <w:rPr>
                <w:rFonts w:eastAsia="等线"/>
                <w:color w:val="auto"/>
                <w:kern w:val="0"/>
                <w:sz w:val="21"/>
                <w:szCs w:val="21"/>
                <w:highlight w:val="none"/>
              </w:rPr>
            </w:pPr>
          </w:p>
        </w:tc>
        <w:tc>
          <w:tcPr>
            <w:tcW w:w="309"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93.0 </w:t>
            </w:r>
          </w:p>
        </w:tc>
        <w:tc>
          <w:tcPr>
            <w:tcW w:w="385"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88.3 </w:t>
            </w:r>
          </w:p>
        </w:tc>
        <w:tc>
          <w:tcPr>
            <w:tcW w:w="315"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156 </w:t>
            </w:r>
          </w:p>
        </w:tc>
        <w:tc>
          <w:tcPr>
            <w:tcW w:w="286" w:type="pct"/>
            <w:noWrap/>
            <w:vAlign w:val="center"/>
          </w:tcPr>
          <w:p>
            <w:pPr>
              <w:keepNext w:val="0"/>
              <w:keepLines w:val="0"/>
              <w:widowControl/>
              <w:suppressLineNumbers w:val="0"/>
              <w:jc w:val="center"/>
              <w:textAlignment w:val="center"/>
              <w:rPr>
                <w:rFonts w:eastAsia="等线"/>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w:t>
            </w:r>
            <w:r>
              <w:rPr>
                <w:rFonts w:hint="eastAsia" w:eastAsia="宋体" w:cs="Times New Roman"/>
                <w:i w:val="0"/>
                <w:iCs w:val="0"/>
                <w:color w:val="auto"/>
                <w:kern w:val="0"/>
                <w:sz w:val="21"/>
                <w:szCs w:val="21"/>
                <w:u w:val="none"/>
                <w:lang w:val="en-US" w:eastAsia="zh-CN" w:bidi="ar"/>
              </w:rPr>
              <w:t>7</w:t>
            </w:r>
          </w:p>
        </w:tc>
        <w:tc>
          <w:tcPr>
            <w:tcW w:w="258" w:type="pct"/>
            <w:noWrap/>
            <w:vAlign w:val="center"/>
          </w:tcPr>
          <w:p>
            <w:pPr>
              <w:jc w:val="center"/>
              <w:rPr>
                <w:rFonts w:eastAsia="等线"/>
                <w:color w:val="auto"/>
                <w:sz w:val="21"/>
                <w:szCs w:val="21"/>
                <w:highlight w:val="none"/>
              </w:rPr>
            </w:pPr>
          </w:p>
        </w:tc>
        <w:tc>
          <w:tcPr>
            <w:tcW w:w="527" w:type="pct"/>
            <w:noWrap/>
            <w:vAlign w:val="center"/>
          </w:tcPr>
          <w:p>
            <w:pPr>
              <w:jc w:val="center"/>
              <w:rPr>
                <w:rFonts w:eastAsia="等线"/>
                <w:color w:val="auto"/>
                <w:kern w:val="0"/>
                <w:sz w:val="21"/>
                <w:szCs w:val="21"/>
                <w:highlight w:val="none"/>
              </w:rPr>
            </w:pPr>
          </w:p>
        </w:tc>
        <w:tc>
          <w:tcPr>
            <w:tcW w:w="367"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29.3 </w:t>
            </w:r>
          </w:p>
        </w:tc>
        <w:tc>
          <w:tcPr>
            <w:tcW w:w="488" w:type="pct"/>
            <w:noWrap/>
            <w:vAlign w:val="center"/>
          </w:tcPr>
          <w:p>
            <w:pPr>
              <w:keepNext w:val="0"/>
              <w:keepLines w:val="0"/>
              <w:widowControl/>
              <w:suppressLineNumbers w:val="0"/>
              <w:jc w:val="center"/>
              <w:textAlignment w:val="center"/>
              <w:rPr>
                <w:rFonts w:eastAsia="等线"/>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33.3 </w:t>
            </w:r>
          </w:p>
        </w:tc>
      </w:tr>
    </w:tbl>
    <w:p>
      <w:pPr>
        <w:rPr>
          <w:bCs/>
          <w:color w:val="auto"/>
          <w:highlight w:val="none"/>
        </w:rPr>
      </w:pPr>
      <w:r>
        <w:rPr>
          <w:rFonts w:hint="eastAsia" w:ascii="黑体" w:hAnsi="黑体" w:eastAsia="黑体" w:cs="黑体"/>
          <w:bCs/>
          <w:color w:val="auto"/>
          <w:sz w:val="28"/>
          <w:highlight w:val="none"/>
        </w:rPr>
        <w:t>表</w:t>
      </w:r>
      <w:r>
        <w:rPr>
          <w:bCs/>
          <w:color w:val="auto"/>
          <w:sz w:val="28"/>
          <w:highlight w:val="none"/>
        </w:rPr>
        <w:t>7.2.</w:t>
      </w:r>
      <w:r>
        <w:rPr>
          <w:rFonts w:hint="eastAsia"/>
          <w:bCs/>
          <w:color w:val="auto"/>
          <w:sz w:val="28"/>
          <w:highlight w:val="none"/>
          <w:lang w:val="en-US" w:eastAsia="zh-CN"/>
        </w:rPr>
        <w:t>3</w:t>
      </w:r>
      <w:r>
        <w:rPr>
          <w:bCs/>
          <w:color w:val="auto"/>
          <w:sz w:val="28"/>
          <w:highlight w:val="none"/>
        </w:rPr>
        <w:t xml:space="preserve">                         </w:t>
      </w:r>
      <w:r>
        <w:rPr>
          <w:rFonts w:hint="eastAsia" w:ascii="黑体" w:hAnsi="黑体" w:eastAsia="黑体" w:cs="黑体"/>
          <w:bCs/>
          <w:color w:val="auto"/>
          <w:sz w:val="28"/>
          <w:highlight w:val="none"/>
        </w:rPr>
        <w:t>沱江主要支流现状堤防护岸建设情况表</w:t>
      </w:r>
    </w:p>
    <w:tbl>
      <w:tblPr>
        <w:tblStyle w:val="88"/>
        <w:tblW w:w="5000" w:type="pct"/>
        <w:jc w:val="center"/>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Layout w:type="fixed"/>
        <w:tblCellMar>
          <w:top w:w="0" w:type="dxa"/>
          <w:left w:w="108" w:type="dxa"/>
          <w:bottom w:w="0" w:type="dxa"/>
          <w:right w:w="108" w:type="dxa"/>
        </w:tblCellMar>
      </w:tblPr>
      <w:tblGrid>
        <w:gridCol w:w="699"/>
        <w:gridCol w:w="946"/>
        <w:gridCol w:w="892"/>
        <w:gridCol w:w="1214"/>
        <w:gridCol w:w="663"/>
        <w:gridCol w:w="692"/>
        <w:gridCol w:w="1186"/>
        <w:gridCol w:w="1031"/>
        <w:gridCol w:w="748"/>
        <w:gridCol w:w="941"/>
        <w:gridCol w:w="719"/>
        <w:gridCol w:w="946"/>
        <w:gridCol w:w="1204"/>
        <w:gridCol w:w="1002"/>
        <w:gridCol w:w="989"/>
        <w:gridCol w:w="911"/>
      </w:tblGrid>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PrEx>
        <w:trPr>
          <w:trHeight w:val="429" w:hRule="atLeast"/>
          <w:jc w:val="center"/>
        </w:trPr>
        <w:tc>
          <w:tcPr>
            <w:tcW w:w="236"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序号</w:t>
            </w:r>
          </w:p>
        </w:tc>
        <w:tc>
          <w:tcPr>
            <w:tcW w:w="320"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地级市</w:t>
            </w:r>
          </w:p>
        </w:tc>
        <w:tc>
          <w:tcPr>
            <w:tcW w:w="301"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河流</w:t>
            </w:r>
          </w:p>
        </w:tc>
        <w:tc>
          <w:tcPr>
            <w:tcW w:w="410"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防洪保护区</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岸线总长</w:t>
            </w:r>
          </w:p>
        </w:tc>
        <w:tc>
          <w:tcPr>
            <w:tcW w:w="1779" w:type="pct"/>
            <w:gridSpan w:val="6"/>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县城及以上河段</w:t>
            </w:r>
          </w:p>
        </w:tc>
        <w:tc>
          <w:tcPr>
            <w:tcW w:w="1951" w:type="pct"/>
            <w:gridSpan w:val="6"/>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乡镇河段</w:t>
            </w: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CellMar>
            <w:top w:w="0" w:type="dxa"/>
            <w:left w:w="108" w:type="dxa"/>
            <w:bottom w:w="0" w:type="dxa"/>
            <w:right w:w="108" w:type="dxa"/>
          </w:tblCellMar>
        </w:tblPrEx>
        <w:trPr>
          <w:trHeight w:val="784" w:hRule="atLeast"/>
          <w:jc w:val="center"/>
        </w:trPr>
        <w:tc>
          <w:tcPr>
            <w:tcW w:w="236"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320"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301"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410" w:type="pct"/>
            <w:vMerge w:val="continue"/>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p>
        </w:tc>
        <w:tc>
          <w:tcPr>
            <w:tcW w:w="224"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堤防</w:t>
            </w:r>
          </w:p>
        </w:tc>
        <w:tc>
          <w:tcPr>
            <w:tcW w:w="234"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护岸</w:t>
            </w:r>
          </w:p>
        </w:tc>
        <w:tc>
          <w:tcPr>
            <w:tcW w:w="401"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堤防级别</w:t>
            </w:r>
          </w:p>
        </w:tc>
        <w:tc>
          <w:tcPr>
            <w:tcW w:w="348"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防洪能力</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重现期</w:t>
            </w:r>
          </w:p>
        </w:tc>
        <w:tc>
          <w:tcPr>
            <w:tcW w:w="252"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面积</w:t>
            </w:r>
          </w:p>
        </w:tc>
        <w:tc>
          <w:tcPr>
            <w:tcW w:w="318"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人口</w:t>
            </w:r>
          </w:p>
        </w:tc>
        <w:tc>
          <w:tcPr>
            <w:tcW w:w="243"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堤防</w:t>
            </w:r>
          </w:p>
        </w:tc>
        <w:tc>
          <w:tcPr>
            <w:tcW w:w="320"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护岸</w:t>
            </w:r>
          </w:p>
        </w:tc>
        <w:tc>
          <w:tcPr>
            <w:tcW w:w="407"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堤防级别</w:t>
            </w:r>
          </w:p>
        </w:tc>
        <w:tc>
          <w:tcPr>
            <w:tcW w:w="338"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防洪能力</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重现期</w:t>
            </w:r>
          </w:p>
        </w:tc>
        <w:tc>
          <w:tcPr>
            <w:tcW w:w="334"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面积</w:t>
            </w:r>
          </w:p>
        </w:tc>
        <w:tc>
          <w:tcPr>
            <w:tcW w:w="308"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人口</w:t>
            </w: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CellMar>
            <w:top w:w="0" w:type="dxa"/>
            <w:left w:w="108" w:type="dxa"/>
            <w:bottom w:w="0" w:type="dxa"/>
            <w:right w:w="108" w:type="dxa"/>
          </w:tblCellMar>
        </w:tblPrEx>
        <w:trPr>
          <w:trHeight w:val="317" w:hRule="atLeast"/>
          <w:jc w:val="center"/>
        </w:trPr>
        <w:tc>
          <w:tcPr>
            <w:tcW w:w="236"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320"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301" w:type="pct"/>
            <w:vMerge w:val="continue"/>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410"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224"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234"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401"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p>
        </w:tc>
        <w:tc>
          <w:tcPr>
            <w:tcW w:w="348" w:type="pct"/>
            <w:tcBorders>
              <w:top w:val="single" w:color="auto" w:sz="4" w:space="0"/>
              <w:tl2br w:val="nil"/>
              <w:tr2bl w:val="nil"/>
            </w:tcBorders>
            <w:noWrap/>
            <w:vAlign w:val="center"/>
          </w:tcPr>
          <w:p>
            <w:pPr>
              <w:widowControl/>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252"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318" w:type="pct"/>
            <w:tcBorders>
              <w:top w:val="single" w:color="auto" w:sz="4" w:space="0"/>
              <w:tl2br w:val="nil"/>
              <w:tr2bl w:val="nil"/>
            </w:tcBorders>
            <w:noWrap/>
            <w:vAlign w:val="center"/>
          </w:tcPr>
          <w:p>
            <w:pPr>
              <w:widowControl/>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c>
          <w:tcPr>
            <w:tcW w:w="243"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320"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407"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p>
        </w:tc>
        <w:tc>
          <w:tcPr>
            <w:tcW w:w="338" w:type="pct"/>
            <w:tcBorders>
              <w:top w:val="single" w:color="auto" w:sz="4" w:space="0"/>
              <w:tl2br w:val="nil"/>
              <w:tr2bl w:val="nil"/>
            </w:tcBorders>
            <w:noWrap/>
            <w:vAlign w:val="center"/>
          </w:tcPr>
          <w:p>
            <w:pPr>
              <w:widowControl/>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334"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308" w:type="pct"/>
            <w:tcBorders>
              <w:top w:val="single" w:color="auto" w:sz="4" w:space="0"/>
              <w:tl2br w:val="nil"/>
              <w:tr2bl w:val="nil"/>
            </w:tcBorders>
            <w:noWrap/>
            <w:vAlign w:val="center"/>
          </w:tcPr>
          <w:p>
            <w:pPr>
              <w:widowControl/>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PrEx>
        <w:trPr>
          <w:trHeight w:val="280" w:hRule="atLeast"/>
          <w:jc w:val="center"/>
        </w:trPr>
        <w:tc>
          <w:tcPr>
            <w:tcW w:w="236"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1</w:t>
            </w:r>
          </w:p>
        </w:tc>
        <w:tc>
          <w:tcPr>
            <w:tcW w:w="320"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内江市</w:t>
            </w:r>
          </w:p>
        </w:tc>
        <w:tc>
          <w:tcPr>
            <w:tcW w:w="301"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威远河</w:t>
            </w:r>
          </w:p>
        </w:tc>
        <w:tc>
          <w:tcPr>
            <w:tcW w:w="410"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3.35</w:t>
            </w:r>
          </w:p>
        </w:tc>
        <w:tc>
          <w:tcPr>
            <w:tcW w:w="22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3.35</w:t>
            </w:r>
          </w:p>
        </w:tc>
        <w:tc>
          <w:tcPr>
            <w:tcW w:w="234" w:type="pct"/>
            <w:tcBorders>
              <w:tl2br w:val="nil"/>
              <w:tr2bl w:val="nil"/>
            </w:tcBorders>
            <w:noWrap/>
            <w:vAlign w:val="center"/>
          </w:tcPr>
          <w:p>
            <w:pPr>
              <w:jc w:val="center"/>
              <w:rPr>
                <w:rFonts w:eastAsia="楷体"/>
                <w:color w:val="auto"/>
                <w:kern w:val="0"/>
                <w:sz w:val="21"/>
                <w:szCs w:val="21"/>
                <w:highlight w:val="none"/>
              </w:rPr>
            </w:pPr>
          </w:p>
        </w:tc>
        <w:tc>
          <w:tcPr>
            <w:tcW w:w="401"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Style w:val="734"/>
                <w:color w:val="auto"/>
                <w:sz w:val="21"/>
                <w:szCs w:val="21"/>
                <w:lang w:val="en-US" w:eastAsia="zh-CN" w:bidi="ar"/>
              </w:rPr>
              <w:t>级</w:t>
            </w:r>
          </w:p>
        </w:tc>
        <w:tc>
          <w:tcPr>
            <w:tcW w:w="34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7.45</w:t>
            </w:r>
          </w:p>
        </w:tc>
        <w:tc>
          <w:tcPr>
            <w:tcW w:w="31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7.73</w:t>
            </w:r>
          </w:p>
        </w:tc>
        <w:tc>
          <w:tcPr>
            <w:tcW w:w="243" w:type="pct"/>
            <w:tcBorders>
              <w:tl2br w:val="nil"/>
              <w:tr2bl w:val="nil"/>
            </w:tcBorders>
            <w:noWrap/>
            <w:vAlign w:val="center"/>
          </w:tcPr>
          <w:p>
            <w:pPr>
              <w:jc w:val="center"/>
              <w:rPr>
                <w:rFonts w:eastAsia="楷体"/>
                <w:color w:val="auto"/>
                <w:kern w:val="0"/>
                <w:sz w:val="21"/>
                <w:szCs w:val="21"/>
                <w:highlight w:val="none"/>
              </w:rPr>
            </w:pPr>
          </w:p>
        </w:tc>
        <w:tc>
          <w:tcPr>
            <w:tcW w:w="320" w:type="pct"/>
            <w:tcBorders>
              <w:tl2br w:val="nil"/>
              <w:tr2bl w:val="nil"/>
            </w:tcBorders>
            <w:noWrap/>
            <w:vAlign w:val="center"/>
          </w:tcPr>
          <w:p>
            <w:pPr>
              <w:jc w:val="center"/>
              <w:rPr>
                <w:rFonts w:eastAsia="楷体"/>
                <w:color w:val="auto"/>
                <w:kern w:val="0"/>
                <w:sz w:val="21"/>
                <w:szCs w:val="21"/>
                <w:highlight w:val="none"/>
              </w:rPr>
            </w:pPr>
          </w:p>
        </w:tc>
        <w:tc>
          <w:tcPr>
            <w:tcW w:w="407" w:type="pct"/>
            <w:tcBorders>
              <w:tl2br w:val="nil"/>
              <w:tr2bl w:val="nil"/>
            </w:tcBorders>
            <w:noWrap/>
            <w:vAlign w:val="center"/>
          </w:tcPr>
          <w:p>
            <w:pPr>
              <w:jc w:val="center"/>
              <w:rPr>
                <w:rFonts w:eastAsia="楷体"/>
                <w:color w:val="auto"/>
                <w:kern w:val="0"/>
                <w:sz w:val="21"/>
                <w:szCs w:val="21"/>
                <w:highlight w:val="none"/>
              </w:rPr>
            </w:pPr>
          </w:p>
        </w:tc>
        <w:tc>
          <w:tcPr>
            <w:tcW w:w="338" w:type="pct"/>
            <w:tcBorders>
              <w:tl2br w:val="nil"/>
              <w:tr2bl w:val="nil"/>
            </w:tcBorders>
            <w:noWrap/>
            <w:vAlign w:val="center"/>
          </w:tcPr>
          <w:p>
            <w:pPr>
              <w:jc w:val="center"/>
              <w:rPr>
                <w:rFonts w:eastAsia="楷体"/>
                <w:color w:val="auto"/>
                <w:kern w:val="0"/>
                <w:sz w:val="21"/>
                <w:szCs w:val="21"/>
                <w:highlight w:val="none"/>
              </w:rPr>
            </w:pPr>
          </w:p>
        </w:tc>
        <w:tc>
          <w:tcPr>
            <w:tcW w:w="334" w:type="pct"/>
            <w:tcBorders>
              <w:tl2br w:val="nil"/>
              <w:tr2bl w:val="nil"/>
            </w:tcBorders>
            <w:noWrap/>
            <w:vAlign w:val="center"/>
          </w:tcPr>
          <w:p>
            <w:pPr>
              <w:jc w:val="center"/>
              <w:rPr>
                <w:rFonts w:eastAsia="楷体"/>
                <w:color w:val="auto"/>
                <w:kern w:val="0"/>
                <w:sz w:val="21"/>
                <w:szCs w:val="21"/>
                <w:highlight w:val="none"/>
              </w:rPr>
            </w:pPr>
          </w:p>
        </w:tc>
        <w:tc>
          <w:tcPr>
            <w:tcW w:w="308" w:type="pct"/>
            <w:tcBorders>
              <w:tl2br w:val="nil"/>
              <w:tr2bl w:val="nil"/>
            </w:tcBorders>
            <w:noWrap/>
            <w:vAlign w:val="center"/>
          </w:tcPr>
          <w:p>
            <w:pPr>
              <w:jc w:val="center"/>
              <w:rPr>
                <w:rFonts w:eastAsia="楷体"/>
                <w:color w:val="auto"/>
                <w:kern w:val="0"/>
                <w:sz w:val="21"/>
                <w:szCs w:val="21"/>
                <w:highlight w:val="none"/>
              </w:rPr>
            </w:pP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PrEx>
        <w:trPr>
          <w:trHeight w:val="280" w:hRule="atLeast"/>
          <w:jc w:val="center"/>
        </w:trPr>
        <w:tc>
          <w:tcPr>
            <w:tcW w:w="236"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2</w:t>
            </w:r>
          </w:p>
        </w:tc>
        <w:tc>
          <w:tcPr>
            <w:tcW w:w="320"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自贡市</w:t>
            </w:r>
          </w:p>
        </w:tc>
        <w:tc>
          <w:tcPr>
            <w:tcW w:w="301"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釜溪河</w:t>
            </w:r>
          </w:p>
        </w:tc>
        <w:tc>
          <w:tcPr>
            <w:tcW w:w="410"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36.7 </w:t>
            </w:r>
          </w:p>
        </w:tc>
        <w:tc>
          <w:tcPr>
            <w:tcW w:w="22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21.8 </w:t>
            </w:r>
          </w:p>
        </w:tc>
        <w:tc>
          <w:tcPr>
            <w:tcW w:w="23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12.39</w:t>
            </w:r>
          </w:p>
        </w:tc>
        <w:tc>
          <w:tcPr>
            <w:tcW w:w="401"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w:t>
            </w:r>
            <w:r>
              <w:rPr>
                <w:rStyle w:val="734"/>
                <w:color w:val="auto"/>
                <w:sz w:val="21"/>
                <w:szCs w:val="21"/>
                <w:lang w:val="en-US" w:eastAsia="zh-CN" w:bidi="ar"/>
              </w:rPr>
              <w:t>级及以下</w:t>
            </w:r>
          </w:p>
        </w:tc>
        <w:tc>
          <w:tcPr>
            <w:tcW w:w="34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13.0 </w:t>
            </w:r>
          </w:p>
        </w:tc>
        <w:tc>
          <w:tcPr>
            <w:tcW w:w="31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243" w:type="pct"/>
            <w:tcBorders>
              <w:tl2br w:val="nil"/>
              <w:tr2bl w:val="nil"/>
            </w:tcBorders>
            <w:noWrap/>
            <w:vAlign w:val="center"/>
          </w:tcPr>
          <w:p>
            <w:pPr>
              <w:jc w:val="center"/>
              <w:rPr>
                <w:rFonts w:eastAsia="楷体"/>
                <w:color w:val="auto"/>
                <w:kern w:val="0"/>
                <w:sz w:val="21"/>
                <w:szCs w:val="21"/>
                <w:highlight w:val="none"/>
              </w:rPr>
            </w:pPr>
          </w:p>
        </w:tc>
        <w:tc>
          <w:tcPr>
            <w:tcW w:w="320"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2.52</w:t>
            </w:r>
          </w:p>
        </w:tc>
        <w:tc>
          <w:tcPr>
            <w:tcW w:w="407"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3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30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0.57</w:t>
            </w: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CellMar>
            <w:top w:w="0" w:type="dxa"/>
            <w:left w:w="108" w:type="dxa"/>
            <w:bottom w:w="0" w:type="dxa"/>
            <w:right w:w="108" w:type="dxa"/>
          </w:tblCellMar>
        </w:tblPrEx>
        <w:trPr>
          <w:trHeight w:val="280" w:hRule="atLeast"/>
          <w:jc w:val="center"/>
        </w:trPr>
        <w:tc>
          <w:tcPr>
            <w:tcW w:w="236"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3</w:t>
            </w:r>
          </w:p>
        </w:tc>
        <w:tc>
          <w:tcPr>
            <w:tcW w:w="320"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泸州市</w:t>
            </w:r>
          </w:p>
        </w:tc>
        <w:tc>
          <w:tcPr>
            <w:tcW w:w="301"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濑溪河</w:t>
            </w:r>
          </w:p>
        </w:tc>
        <w:tc>
          <w:tcPr>
            <w:tcW w:w="410"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9.48</w:t>
            </w:r>
          </w:p>
        </w:tc>
        <w:tc>
          <w:tcPr>
            <w:tcW w:w="22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5.98</w:t>
            </w:r>
          </w:p>
        </w:tc>
        <w:tc>
          <w:tcPr>
            <w:tcW w:w="234" w:type="pct"/>
            <w:tcBorders>
              <w:tl2br w:val="nil"/>
              <w:tr2bl w:val="nil"/>
            </w:tcBorders>
            <w:noWrap/>
            <w:vAlign w:val="center"/>
          </w:tcPr>
          <w:p>
            <w:pPr>
              <w:jc w:val="both"/>
              <w:rPr>
                <w:rFonts w:eastAsia="楷体"/>
                <w:color w:val="auto"/>
                <w:kern w:val="0"/>
                <w:sz w:val="21"/>
                <w:szCs w:val="21"/>
                <w:highlight w:val="none"/>
              </w:rPr>
            </w:pPr>
          </w:p>
        </w:tc>
        <w:tc>
          <w:tcPr>
            <w:tcW w:w="401"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34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Style w:val="734"/>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31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243"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20" w:type="pct"/>
            <w:tcBorders>
              <w:tl2br w:val="nil"/>
              <w:tr2bl w:val="nil"/>
            </w:tcBorders>
            <w:noWrap/>
            <w:vAlign w:val="center"/>
          </w:tcPr>
          <w:p>
            <w:pPr>
              <w:jc w:val="center"/>
              <w:rPr>
                <w:rFonts w:eastAsia="楷体"/>
                <w:color w:val="auto"/>
                <w:kern w:val="0"/>
                <w:sz w:val="21"/>
                <w:szCs w:val="21"/>
                <w:highlight w:val="none"/>
              </w:rPr>
            </w:pPr>
          </w:p>
        </w:tc>
        <w:tc>
          <w:tcPr>
            <w:tcW w:w="407"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Style w:val="734"/>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34"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308"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0.3</w:t>
            </w:r>
          </w:p>
        </w:tc>
      </w:tr>
      <w:tr>
        <w:tblPrEx>
          <w:tblBorders>
            <w:top w:val="single" w:color="000000" w:sz="8" w:space="0"/>
            <w:left w:val="single" w:color="000000" w:sz="8" w:space="0"/>
            <w:bottom w:val="single" w:color="000000" w:sz="8" w:space="0"/>
            <w:right w:val="single" w:color="000000" w:sz="4" w:space="0"/>
            <w:insideH w:val="single" w:color="000000" w:sz="8" w:space="0"/>
            <w:insideV w:val="single" w:color="000000" w:sz="4" w:space="0"/>
          </w:tblBorders>
          <w:tblCellMar>
            <w:top w:w="0" w:type="dxa"/>
            <w:left w:w="108" w:type="dxa"/>
            <w:bottom w:w="0" w:type="dxa"/>
            <w:right w:w="108" w:type="dxa"/>
          </w:tblCellMar>
        </w:tblPrEx>
        <w:trPr>
          <w:trHeight w:val="295" w:hRule="atLeast"/>
          <w:jc w:val="center"/>
        </w:trPr>
        <w:tc>
          <w:tcPr>
            <w:tcW w:w="236" w:type="pct"/>
            <w:tcBorders>
              <w:tl2br w:val="nil"/>
              <w:tr2bl w:val="nil"/>
            </w:tcBorders>
            <w:noWrap/>
            <w:vAlign w:val="center"/>
          </w:tcPr>
          <w:p>
            <w:pPr>
              <w:widowControl/>
              <w:jc w:val="center"/>
              <w:rPr>
                <w:rFonts w:eastAsia="楷体"/>
                <w:color w:val="auto"/>
                <w:kern w:val="0"/>
                <w:sz w:val="21"/>
                <w:szCs w:val="21"/>
                <w:highlight w:val="none"/>
              </w:rPr>
            </w:pPr>
          </w:p>
        </w:tc>
        <w:tc>
          <w:tcPr>
            <w:tcW w:w="320" w:type="pct"/>
            <w:tcBorders>
              <w:tl2br w:val="nil"/>
              <w:tr2bl w:val="nil"/>
            </w:tcBorders>
            <w:noWrap/>
            <w:vAlign w:val="center"/>
          </w:tcPr>
          <w:p>
            <w:pPr>
              <w:widowControl/>
              <w:jc w:val="center"/>
              <w:rPr>
                <w:rFonts w:eastAsia="楷体"/>
                <w:color w:val="auto"/>
                <w:kern w:val="0"/>
                <w:sz w:val="21"/>
                <w:szCs w:val="21"/>
                <w:highlight w:val="none"/>
              </w:rPr>
            </w:pPr>
            <w:r>
              <w:rPr>
                <w:rFonts w:eastAsia="楷体"/>
                <w:color w:val="auto"/>
                <w:kern w:val="0"/>
                <w:sz w:val="21"/>
                <w:szCs w:val="21"/>
                <w:highlight w:val="none"/>
              </w:rPr>
              <w:t>合计</w:t>
            </w:r>
          </w:p>
        </w:tc>
        <w:tc>
          <w:tcPr>
            <w:tcW w:w="301" w:type="pct"/>
            <w:tcBorders>
              <w:tl2br w:val="nil"/>
              <w:tr2bl w:val="nil"/>
            </w:tcBorders>
            <w:noWrap/>
            <w:vAlign w:val="bottom"/>
          </w:tcPr>
          <w:p>
            <w:pPr>
              <w:widowControl/>
              <w:jc w:val="center"/>
              <w:rPr>
                <w:rFonts w:eastAsia="楷体"/>
                <w:color w:val="auto"/>
                <w:kern w:val="0"/>
                <w:sz w:val="21"/>
                <w:szCs w:val="21"/>
                <w:highlight w:val="none"/>
              </w:rPr>
            </w:pPr>
          </w:p>
        </w:tc>
        <w:tc>
          <w:tcPr>
            <w:tcW w:w="410"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49.5 </w:t>
            </w:r>
          </w:p>
        </w:tc>
        <w:tc>
          <w:tcPr>
            <w:tcW w:w="224"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31.1 </w:t>
            </w:r>
          </w:p>
        </w:tc>
        <w:tc>
          <w:tcPr>
            <w:tcW w:w="234"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12.4 </w:t>
            </w:r>
          </w:p>
        </w:tc>
        <w:tc>
          <w:tcPr>
            <w:tcW w:w="401" w:type="pct"/>
            <w:tcBorders>
              <w:tl2br w:val="nil"/>
              <w:tr2bl w:val="nil"/>
            </w:tcBorders>
            <w:noWrap/>
            <w:vAlign w:val="center"/>
          </w:tcPr>
          <w:p>
            <w:pPr>
              <w:jc w:val="center"/>
              <w:rPr>
                <w:rFonts w:eastAsia="楷体"/>
                <w:color w:val="auto"/>
                <w:kern w:val="0"/>
                <w:sz w:val="21"/>
                <w:szCs w:val="21"/>
                <w:highlight w:val="none"/>
              </w:rPr>
            </w:pPr>
          </w:p>
        </w:tc>
        <w:tc>
          <w:tcPr>
            <w:tcW w:w="348" w:type="pct"/>
            <w:tcBorders>
              <w:tl2br w:val="nil"/>
              <w:tr2bl w:val="nil"/>
            </w:tcBorders>
            <w:noWrap/>
            <w:vAlign w:val="center"/>
          </w:tcPr>
          <w:p>
            <w:pPr>
              <w:jc w:val="center"/>
              <w:rPr>
                <w:rFonts w:eastAsia="楷体"/>
                <w:color w:val="auto"/>
                <w:kern w:val="0"/>
                <w:sz w:val="21"/>
                <w:szCs w:val="21"/>
                <w:highlight w:val="none"/>
              </w:rPr>
            </w:pPr>
          </w:p>
        </w:tc>
        <w:tc>
          <w:tcPr>
            <w:tcW w:w="252"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21.7 </w:t>
            </w:r>
          </w:p>
        </w:tc>
        <w:tc>
          <w:tcPr>
            <w:tcW w:w="318"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20.8 </w:t>
            </w:r>
          </w:p>
        </w:tc>
        <w:tc>
          <w:tcPr>
            <w:tcW w:w="243"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320"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2.52</w:t>
            </w:r>
          </w:p>
        </w:tc>
        <w:tc>
          <w:tcPr>
            <w:tcW w:w="407" w:type="pct"/>
            <w:tcBorders>
              <w:tl2br w:val="nil"/>
              <w:tr2bl w:val="nil"/>
            </w:tcBorders>
            <w:noWrap/>
            <w:vAlign w:val="center"/>
          </w:tcPr>
          <w:p>
            <w:pPr>
              <w:jc w:val="center"/>
              <w:rPr>
                <w:rFonts w:eastAsia="楷体"/>
                <w:color w:val="auto"/>
                <w:kern w:val="0"/>
                <w:sz w:val="21"/>
                <w:szCs w:val="21"/>
                <w:highlight w:val="none"/>
              </w:rPr>
            </w:pPr>
          </w:p>
        </w:tc>
        <w:tc>
          <w:tcPr>
            <w:tcW w:w="338" w:type="pct"/>
            <w:tcBorders>
              <w:tl2br w:val="nil"/>
              <w:tr2bl w:val="nil"/>
            </w:tcBorders>
            <w:noWrap/>
            <w:vAlign w:val="center"/>
          </w:tcPr>
          <w:p>
            <w:pPr>
              <w:jc w:val="center"/>
              <w:rPr>
                <w:rFonts w:eastAsia="楷体"/>
                <w:color w:val="auto"/>
                <w:kern w:val="0"/>
                <w:sz w:val="21"/>
                <w:szCs w:val="21"/>
                <w:highlight w:val="none"/>
              </w:rPr>
            </w:pPr>
          </w:p>
        </w:tc>
        <w:tc>
          <w:tcPr>
            <w:tcW w:w="334"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308" w:type="pct"/>
            <w:tcBorders>
              <w:tl2br w:val="nil"/>
              <w:tr2bl w:val="nil"/>
            </w:tcBorders>
            <w:noWrap/>
            <w:vAlign w:val="bottom"/>
          </w:tcPr>
          <w:p>
            <w:pPr>
              <w:keepNext w:val="0"/>
              <w:keepLines w:val="0"/>
              <w:widowControl/>
              <w:suppressLineNumbers w:val="0"/>
              <w:jc w:val="center"/>
              <w:textAlignment w:val="bottom"/>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0.87</w:t>
            </w:r>
          </w:p>
        </w:tc>
      </w:tr>
    </w:tbl>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4</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 xml:space="preserve"> 沱江流域中小河流现状堤防护岸建设情况表</w:t>
      </w:r>
    </w:p>
    <w:tbl>
      <w:tblPr>
        <w:tblStyle w:val="88"/>
        <w:tblW w:w="5000" w:type="pct"/>
        <w:jc w:val="center"/>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8"/>
        <w:gridCol w:w="960"/>
        <w:gridCol w:w="1297"/>
        <w:gridCol w:w="748"/>
        <w:gridCol w:w="761"/>
        <w:gridCol w:w="1174"/>
        <w:gridCol w:w="1116"/>
        <w:gridCol w:w="1021"/>
        <w:gridCol w:w="994"/>
        <w:gridCol w:w="889"/>
        <w:gridCol w:w="855"/>
        <w:gridCol w:w="1145"/>
        <w:gridCol w:w="1001"/>
        <w:gridCol w:w="1102"/>
        <w:gridCol w:w="1077"/>
      </w:tblGrid>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5" w:hRule="atLeast"/>
          <w:jc w:val="center"/>
        </w:trPr>
        <w:tc>
          <w:tcPr>
            <w:tcW w:w="219"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序号</w:t>
            </w:r>
          </w:p>
        </w:tc>
        <w:tc>
          <w:tcPr>
            <w:tcW w:w="324"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地级市</w:t>
            </w:r>
          </w:p>
        </w:tc>
        <w:tc>
          <w:tcPr>
            <w:tcW w:w="438"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防洪保护区</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岸线总长</w:t>
            </w:r>
          </w:p>
        </w:tc>
        <w:tc>
          <w:tcPr>
            <w:tcW w:w="1965" w:type="pct"/>
            <w:gridSpan w:val="6"/>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县城及以上河段</w:t>
            </w:r>
          </w:p>
        </w:tc>
        <w:tc>
          <w:tcPr>
            <w:tcW w:w="2051" w:type="pct"/>
            <w:gridSpan w:val="6"/>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乡镇河段</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2" w:hRule="atLeast"/>
          <w:jc w:val="center"/>
        </w:trPr>
        <w:tc>
          <w:tcPr>
            <w:tcW w:w="219" w:type="pct"/>
            <w:vMerge w:val="continue"/>
            <w:tcBorders>
              <w:tl2br w:val="nil"/>
              <w:tr2bl w:val="nil"/>
            </w:tcBorders>
            <w:noWrap/>
            <w:vAlign w:val="center"/>
          </w:tcPr>
          <w:p>
            <w:pPr>
              <w:rPr>
                <w:color w:val="auto"/>
                <w:sz w:val="21"/>
                <w:szCs w:val="21"/>
                <w:highlight w:val="none"/>
              </w:rPr>
            </w:pPr>
          </w:p>
        </w:tc>
        <w:tc>
          <w:tcPr>
            <w:tcW w:w="324" w:type="pct"/>
            <w:vMerge w:val="continue"/>
            <w:tcBorders>
              <w:tl2br w:val="nil"/>
              <w:tr2bl w:val="nil"/>
            </w:tcBorders>
            <w:noWrap/>
            <w:vAlign w:val="center"/>
          </w:tcPr>
          <w:p>
            <w:pPr>
              <w:rPr>
                <w:color w:val="auto"/>
                <w:sz w:val="21"/>
                <w:szCs w:val="21"/>
                <w:highlight w:val="none"/>
              </w:rPr>
            </w:pPr>
          </w:p>
        </w:tc>
        <w:tc>
          <w:tcPr>
            <w:tcW w:w="438" w:type="pct"/>
            <w:vMerge w:val="continue"/>
            <w:tcBorders>
              <w:bottom w:val="single" w:color="auto" w:sz="4" w:space="0"/>
              <w:tl2br w:val="nil"/>
              <w:tr2bl w:val="nil"/>
            </w:tcBorders>
            <w:noWrap/>
            <w:vAlign w:val="center"/>
          </w:tcPr>
          <w:p>
            <w:pPr>
              <w:rPr>
                <w:color w:val="auto"/>
                <w:sz w:val="21"/>
                <w:szCs w:val="21"/>
                <w:highlight w:val="none"/>
              </w:rPr>
            </w:pPr>
          </w:p>
        </w:tc>
        <w:tc>
          <w:tcPr>
            <w:tcW w:w="252"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堤防</w:t>
            </w:r>
          </w:p>
        </w:tc>
        <w:tc>
          <w:tcPr>
            <w:tcW w:w="257"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护岸</w:t>
            </w:r>
          </w:p>
        </w:tc>
        <w:tc>
          <w:tcPr>
            <w:tcW w:w="396"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堤防级别</w:t>
            </w:r>
          </w:p>
        </w:tc>
        <w:tc>
          <w:tcPr>
            <w:tcW w:w="377"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防洪能力</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重现期</w:t>
            </w:r>
          </w:p>
        </w:tc>
        <w:tc>
          <w:tcPr>
            <w:tcW w:w="345"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面积</w:t>
            </w:r>
          </w:p>
        </w:tc>
        <w:tc>
          <w:tcPr>
            <w:tcW w:w="336"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人口</w:t>
            </w:r>
          </w:p>
        </w:tc>
        <w:tc>
          <w:tcPr>
            <w:tcW w:w="300"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堤防</w:t>
            </w:r>
          </w:p>
        </w:tc>
        <w:tc>
          <w:tcPr>
            <w:tcW w:w="289"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护岸</w:t>
            </w:r>
          </w:p>
        </w:tc>
        <w:tc>
          <w:tcPr>
            <w:tcW w:w="387"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堤防级别</w:t>
            </w:r>
          </w:p>
        </w:tc>
        <w:tc>
          <w:tcPr>
            <w:tcW w:w="338" w:type="pct"/>
            <w:tcBorders>
              <w:bottom w:val="single" w:color="auto" w:sz="4" w:space="0"/>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防洪能力</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重现期</w:t>
            </w:r>
          </w:p>
        </w:tc>
        <w:tc>
          <w:tcPr>
            <w:tcW w:w="372"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面积</w:t>
            </w:r>
          </w:p>
        </w:tc>
        <w:tc>
          <w:tcPr>
            <w:tcW w:w="364" w:type="pct"/>
            <w:tcBorders>
              <w:bottom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保护</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人口</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219" w:type="pct"/>
            <w:vMerge w:val="continue"/>
            <w:tcBorders>
              <w:tl2br w:val="nil"/>
              <w:tr2bl w:val="nil"/>
            </w:tcBorders>
            <w:noWrap/>
            <w:vAlign w:val="center"/>
          </w:tcPr>
          <w:p>
            <w:pPr>
              <w:rPr>
                <w:color w:val="auto"/>
                <w:sz w:val="21"/>
                <w:szCs w:val="21"/>
                <w:highlight w:val="none"/>
              </w:rPr>
            </w:pPr>
          </w:p>
        </w:tc>
        <w:tc>
          <w:tcPr>
            <w:tcW w:w="324" w:type="pct"/>
            <w:vMerge w:val="continue"/>
            <w:tcBorders>
              <w:tl2br w:val="nil"/>
              <w:tr2bl w:val="nil"/>
            </w:tcBorders>
            <w:noWrap/>
            <w:vAlign w:val="center"/>
          </w:tcPr>
          <w:p>
            <w:pPr>
              <w:rPr>
                <w:color w:val="auto"/>
                <w:sz w:val="21"/>
                <w:szCs w:val="21"/>
                <w:highlight w:val="none"/>
              </w:rPr>
            </w:pPr>
          </w:p>
        </w:tc>
        <w:tc>
          <w:tcPr>
            <w:tcW w:w="438" w:type="pct"/>
            <w:tcBorders>
              <w:top w:val="single" w:color="auto" w:sz="4" w:space="0"/>
              <w:tl2br w:val="nil"/>
              <w:tr2bl w:val="nil"/>
            </w:tcBorders>
            <w:noWrap/>
            <w:vAlign w:val="center"/>
          </w:tcPr>
          <w:p>
            <w:pPr>
              <w:jc w:val="center"/>
              <w:rPr>
                <w:color w:val="auto"/>
                <w:sz w:val="21"/>
                <w:szCs w:val="21"/>
                <w:highlight w:val="none"/>
              </w:rPr>
            </w:pPr>
            <w:r>
              <w:rPr>
                <w:rFonts w:eastAsia="楷体"/>
                <w:color w:val="auto"/>
                <w:kern w:val="0"/>
                <w:sz w:val="21"/>
                <w:szCs w:val="21"/>
                <w:highlight w:val="none"/>
              </w:rPr>
              <w:t>km</w:t>
            </w:r>
          </w:p>
        </w:tc>
        <w:tc>
          <w:tcPr>
            <w:tcW w:w="252"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257"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396"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p>
        </w:tc>
        <w:tc>
          <w:tcPr>
            <w:tcW w:w="377" w:type="pct"/>
            <w:tcBorders>
              <w:top w:val="single" w:color="auto" w:sz="4" w:space="0"/>
              <w:tl2br w:val="nil"/>
              <w:tr2bl w:val="nil"/>
            </w:tcBorders>
            <w:noWrap/>
            <w:vAlign w:val="center"/>
          </w:tcPr>
          <w:p>
            <w:pPr>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345"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336" w:type="pct"/>
            <w:tcBorders>
              <w:top w:val="single" w:color="auto" w:sz="4" w:space="0"/>
              <w:tl2br w:val="nil"/>
              <w:tr2bl w:val="nil"/>
            </w:tcBorders>
            <w:noWrap/>
            <w:vAlign w:val="center"/>
          </w:tcPr>
          <w:p>
            <w:pPr>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c>
          <w:tcPr>
            <w:tcW w:w="300"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289"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kern w:val="0"/>
                <w:sz w:val="21"/>
                <w:szCs w:val="21"/>
                <w:highlight w:val="none"/>
              </w:rPr>
              <w:t>km</w:t>
            </w:r>
          </w:p>
        </w:tc>
        <w:tc>
          <w:tcPr>
            <w:tcW w:w="387" w:type="pct"/>
            <w:tcBorders>
              <w:top w:val="single" w:color="auto" w:sz="4" w:space="0"/>
              <w:tl2br w:val="nil"/>
              <w:tr2bl w:val="nil"/>
            </w:tcBorders>
            <w:noWrap/>
            <w:vAlign w:val="center"/>
          </w:tcPr>
          <w:p>
            <w:pPr>
              <w:widowControl/>
              <w:jc w:val="center"/>
              <w:textAlignment w:val="center"/>
              <w:rPr>
                <w:rFonts w:eastAsia="楷体"/>
                <w:color w:val="auto"/>
                <w:kern w:val="0"/>
                <w:sz w:val="21"/>
                <w:szCs w:val="21"/>
                <w:highlight w:val="none"/>
              </w:rPr>
            </w:pPr>
          </w:p>
        </w:tc>
        <w:tc>
          <w:tcPr>
            <w:tcW w:w="338" w:type="pct"/>
            <w:tcBorders>
              <w:top w:val="single" w:color="auto" w:sz="4" w:space="0"/>
              <w:tl2br w:val="nil"/>
              <w:tr2bl w:val="nil"/>
            </w:tcBorders>
            <w:noWrap/>
            <w:vAlign w:val="center"/>
          </w:tcPr>
          <w:p>
            <w:pPr>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年</w:t>
            </w:r>
          </w:p>
        </w:tc>
        <w:tc>
          <w:tcPr>
            <w:tcW w:w="372" w:type="pct"/>
            <w:tcBorders>
              <w:top w:val="single" w:color="auto" w:sz="4" w:space="0"/>
              <w:tl2br w:val="nil"/>
              <w:tr2bl w:val="nil"/>
            </w:tcBorders>
            <w:noWrap/>
            <w:vAlign w:val="center"/>
          </w:tcPr>
          <w:p>
            <w:pPr>
              <w:jc w:val="center"/>
              <w:textAlignment w:val="center"/>
              <w:rPr>
                <w:rFonts w:eastAsia="楷体"/>
                <w:color w:val="auto"/>
                <w:kern w:val="0"/>
                <w:sz w:val="21"/>
                <w:szCs w:val="21"/>
                <w:highlight w:val="none"/>
              </w:rPr>
            </w:pPr>
            <w:r>
              <w:rPr>
                <w:rFonts w:eastAsia="楷体"/>
                <w:color w:val="auto"/>
                <w:w w:val="100"/>
                <w:kern w:val="0"/>
                <w:sz w:val="21"/>
                <w:szCs w:val="21"/>
                <w:highlight w:val="none"/>
              </w:rPr>
              <w:t>km</w:t>
            </w:r>
            <w:r>
              <w:rPr>
                <w:rFonts w:eastAsia="楷体"/>
                <w:color w:val="auto"/>
                <w:w w:val="100"/>
                <w:kern w:val="0"/>
                <w:sz w:val="21"/>
                <w:szCs w:val="21"/>
                <w:highlight w:val="none"/>
                <w:vertAlign w:val="superscript"/>
              </w:rPr>
              <w:t>2</w:t>
            </w:r>
          </w:p>
        </w:tc>
        <w:tc>
          <w:tcPr>
            <w:tcW w:w="364" w:type="pct"/>
            <w:tcBorders>
              <w:top w:val="single" w:color="auto" w:sz="4" w:space="0"/>
              <w:tl2br w:val="nil"/>
              <w:tr2bl w:val="nil"/>
            </w:tcBorders>
            <w:noWrap/>
            <w:vAlign w:val="center"/>
          </w:tcPr>
          <w:p>
            <w:pPr>
              <w:jc w:val="center"/>
              <w:textAlignment w:val="center"/>
              <w:rPr>
                <w:rFonts w:hint="eastAsia" w:eastAsia="楷体"/>
                <w:color w:val="auto"/>
                <w:kern w:val="0"/>
                <w:sz w:val="21"/>
                <w:szCs w:val="21"/>
                <w:highlight w:val="none"/>
                <w:lang w:eastAsia="zh-CN"/>
              </w:rPr>
            </w:pPr>
            <w:r>
              <w:rPr>
                <w:rFonts w:eastAsia="楷体"/>
                <w:color w:val="auto"/>
                <w:w w:val="100"/>
                <w:kern w:val="0"/>
                <w:sz w:val="21"/>
                <w:szCs w:val="21"/>
                <w:highlight w:val="none"/>
              </w:rPr>
              <w:t>万人</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PrEx>
        <w:trPr>
          <w:trHeight w:val="280"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1</w:t>
            </w:r>
          </w:p>
        </w:tc>
        <w:tc>
          <w:tcPr>
            <w:tcW w:w="32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德阳市</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442 </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61.6</w:t>
            </w:r>
          </w:p>
        </w:tc>
        <w:tc>
          <w:tcPr>
            <w:tcW w:w="257" w:type="pct"/>
            <w:tcBorders>
              <w:tl2br w:val="nil"/>
              <w:tr2bl w:val="nil"/>
            </w:tcBorders>
            <w:noWrap/>
            <w:vAlign w:val="center"/>
          </w:tcPr>
          <w:p>
            <w:pPr>
              <w:jc w:val="center"/>
              <w:rPr>
                <w:rFonts w:eastAsia="楷体"/>
                <w:color w:val="auto"/>
                <w:sz w:val="21"/>
                <w:szCs w:val="21"/>
                <w:highlight w:val="none"/>
              </w:rPr>
            </w:pPr>
          </w:p>
        </w:tc>
        <w:tc>
          <w:tcPr>
            <w:tcW w:w="396"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37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44.9 </w:t>
            </w:r>
          </w:p>
        </w:tc>
        <w:tc>
          <w:tcPr>
            <w:tcW w:w="336"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46.9</w:t>
            </w:r>
          </w:p>
        </w:tc>
        <w:tc>
          <w:tcPr>
            <w:tcW w:w="300"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294 </w:t>
            </w:r>
          </w:p>
        </w:tc>
        <w:tc>
          <w:tcPr>
            <w:tcW w:w="289" w:type="pct"/>
            <w:tcBorders>
              <w:tl2br w:val="nil"/>
              <w:tr2bl w:val="nil"/>
            </w:tcBorders>
            <w:noWrap/>
            <w:vAlign w:val="center"/>
          </w:tcPr>
          <w:p>
            <w:pPr>
              <w:jc w:val="center"/>
              <w:rPr>
                <w:rFonts w:eastAsia="楷体"/>
                <w:color w:val="auto"/>
                <w:sz w:val="21"/>
                <w:szCs w:val="21"/>
                <w:highlight w:val="none"/>
              </w:rPr>
            </w:pPr>
          </w:p>
        </w:tc>
        <w:tc>
          <w:tcPr>
            <w:tcW w:w="38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p>
        </w:tc>
        <w:tc>
          <w:tcPr>
            <w:tcW w:w="338"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7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27.8 </w:t>
            </w:r>
          </w:p>
        </w:tc>
        <w:tc>
          <w:tcPr>
            <w:tcW w:w="364"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16.7 </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219" w:type="pct"/>
            <w:tcBorders>
              <w:tl2br w:val="nil"/>
              <w:tr2bl w:val="nil"/>
            </w:tcBorders>
            <w:shd w:val="clear" w:color="auto" w:fill="auto"/>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2</w:t>
            </w:r>
          </w:p>
        </w:tc>
        <w:tc>
          <w:tcPr>
            <w:tcW w:w="324" w:type="pct"/>
            <w:tcBorders>
              <w:tl2br w:val="nil"/>
              <w:tr2bl w:val="nil"/>
            </w:tcBorders>
            <w:shd w:val="clear" w:color="auto" w:fill="auto"/>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成都市</w:t>
            </w:r>
          </w:p>
        </w:tc>
        <w:tc>
          <w:tcPr>
            <w:tcW w:w="438" w:type="pct"/>
            <w:tcBorders>
              <w:tl2br w:val="nil"/>
              <w:tr2bl w:val="nil"/>
            </w:tcBorders>
            <w:shd w:val="clear" w:color="auto" w:fill="auto"/>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548 </w:t>
            </w:r>
          </w:p>
        </w:tc>
        <w:tc>
          <w:tcPr>
            <w:tcW w:w="252"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138 </w:t>
            </w:r>
          </w:p>
        </w:tc>
        <w:tc>
          <w:tcPr>
            <w:tcW w:w="257" w:type="pct"/>
            <w:tcBorders>
              <w:tl2br w:val="nil"/>
              <w:tr2bl w:val="nil"/>
            </w:tcBorders>
            <w:shd w:val="clear" w:color="auto" w:fill="FFFFFF"/>
            <w:noWrap/>
            <w:vAlign w:val="center"/>
          </w:tcPr>
          <w:p>
            <w:pPr>
              <w:jc w:val="center"/>
              <w:rPr>
                <w:rFonts w:eastAsia="楷体"/>
                <w:color w:val="auto"/>
                <w:sz w:val="21"/>
                <w:szCs w:val="21"/>
                <w:highlight w:val="none"/>
              </w:rPr>
            </w:pPr>
          </w:p>
        </w:tc>
        <w:tc>
          <w:tcPr>
            <w:tcW w:w="396" w:type="pct"/>
            <w:tcBorders>
              <w:tl2br w:val="nil"/>
              <w:tr2bl w:val="nil"/>
            </w:tcBorders>
            <w:shd w:val="clear" w:color="auto" w:fill="FFFFFF"/>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4级及以下</w:t>
            </w:r>
          </w:p>
        </w:tc>
        <w:tc>
          <w:tcPr>
            <w:tcW w:w="377" w:type="pct"/>
            <w:tcBorders>
              <w:tl2br w:val="nil"/>
              <w:tr2bl w:val="nil"/>
            </w:tcBorders>
            <w:shd w:val="clear" w:color="auto" w:fill="FFFFFF"/>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17.7 </w:t>
            </w:r>
          </w:p>
        </w:tc>
        <w:tc>
          <w:tcPr>
            <w:tcW w:w="336"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300"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379 </w:t>
            </w:r>
          </w:p>
        </w:tc>
        <w:tc>
          <w:tcPr>
            <w:tcW w:w="289"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31.4 </w:t>
            </w:r>
          </w:p>
        </w:tc>
        <w:tc>
          <w:tcPr>
            <w:tcW w:w="387" w:type="pct"/>
            <w:tcBorders>
              <w:tl2br w:val="nil"/>
              <w:tr2bl w:val="nil"/>
            </w:tcBorders>
            <w:shd w:val="clear" w:color="auto" w:fill="FFFFFF"/>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5级及以下</w:t>
            </w:r>
          </w:p>
        </w:tc>
        <w:tc>
          <w:tcPr>
            <w:tcW w:w="338" w:type="pct"/>
            <w:tcBorders>
              <w:tl2br w:val="nil"/>
              <w:tr2bl w:val="nil"/>
            </w:tcBorders>
            <w:shd w:val="clear" w:color="auto" w:fill="FFFFFF"/>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72"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17.7 </w:t>
            </w:r>
          </w:p>
        </w:tc>
        <w:tc>
          <w:tcPr>
            <w:tcW w:w="364" w:type="pct"/>
            <w:tcBorders>
              <w:tl2br w:val="nil"/>
              <w:tr2bl w:val="nil"/>
            </w:tcBorders>
            <w:shd w:val="clear" w:color="auto" w:fill="FFFFFF"/>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29.6 </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3</w:t>
            </w:r>
          </w:p>
        </w:tc>
        <w:tc>
          <w:tcPr>
            <w:tcW w:w="32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资阳市</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246 </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257" w:type="pct"/>
            <w:tcBorders>
              <w:tl2br w:val="nil"/>
              <w:tr2bl w:val="nil"/>
            </w:tcBorders>
            <w:noWrap/>
            <w:vAlign w:val="center"/>
          </w:tcPr>
          <w:p>
            <w:pPr>
              <w:jc w:val="center"/>
              <w:rPr>
                <w:rFonts w:eastAsia="楷体"/>
                <w:color w:val="auto"/>
                <w:sz w:val="21"/>
                <w:szCs w:val="21"/>
                <w:highlight w:val="none"/>
              </w:rPr>
            </w:pPr>
          </w:p>
        </w:tc>
        <w:tc>
          <w:tcPr>
            <w:tcW w:w="39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5～4</w:t>
            </w:r>
          </w:p>
        </w:tc>
        <w:tc>
          <w:tcPr>
            <w:tcW w:w="37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noWrap/>
            <w:vAlign w:val="center"/>
          </w:tcPr>
          <w:p>
            <w:pPr>
              <w:jc w:val="center"/>
              <w:rPr>
                <w:rFonts w:eastAsia="楷体"/>
                <w:color w:val="auto"/>
                <w:sz w:val="21"/>
                <w:szCs w:val="21"/>
                <w:highlight w:val="none"/>
              </w:rPr>
            </w:pPr>
          </w:p>
        </w:tc>
        <w:tc>
          <w:tcPr>
            <w:tcW w:w="336" w:type="pct"/>
            <w:tcBorders>
              <w:tl2br w:val="nil"/>
              <w:tr2bl w:val="nil"/>
            </w:tcBorders>
            <w:noWrap/>
            <w:vAlign w:val="center"/>
          </w:tcPr>
          <w:p>
            <w:pPr>
              <w:jc w:val="center"/>
              <w:rPr>
                <w:rFonts w:eastAsia="楷体"/>
                <w:color w:val="auto"/>
                <w:sz w:val="21"/>
                <w:szCs w:val="21"/>
                <w:highlight w:val="none"/>
              </w:rPr>
            </w:pPr>
          </w:p>
        </w:tc>
        <w:tc>
          <w:tcPr>
            <w:tcW w:w="300"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10.9 </w:t>
            </w:r>
          </w:p>
        </w:tc>
        <w:tc>
          <w:tcPr>
            <w:tcW w:w="289"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0.63</w:t>
            </w:r>
          </w:p>
        </w:tc>
        <w:tc>
          <w:tcPr>
            <w:tcW w:w="387"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7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1.13</w:t>
            </w:r>
          </w:p>
        </w:tc>
        <w:tc>
          <w:tcPr>
            <w:tcW w:w="364"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4.48</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4</w:t>
            </w:r>
          </w:p>
        </w:tc>
        <w:tc>
          <w:tcPr>
            <w:tcW w:w="32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内江市</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55.0 </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0.88</w:t>
            </w:r>
          </w:p>
        </w:tc>
        <w:tc>
          <w:tcPr>
            <w:tcW w:w="257" w:type="pct"/>
            <w:tcBorders>
              <w:tl2br w:val="nil"/>
              <w:tr2bl w:val="nil"/>
            </w:tcBorders>
            <w:noWrap/>
            <w:vAlign w:val="center"/>
          </w:tcPr>
          <w:p>
            <w:pPr>
              <w:jc w:val="center"/>
              <w:rPr>
                <w:rFonts w:eastAsia="楷体"/>
                <w:color w:val="auto"/>
                <w:sz w:val="21"/>
                <w:szCs w:val="21"/>
                <w:highlight w:val="none"/>
              </w:rPr>
            </w:pPr>
          </w:p>
        </w:tc>
        <w:tc>
          <w:tcPr>
            <w:tcW w:w="39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5～4</w:t>
            </w:r>
          </w:p>
        </w:tc>
        <w:tc>
          <w:tcPr>
            <w:tcW w:w="37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336"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1.21</w:t>
            </w:r>
          </w:p>
        </w:tc>
        <w:tc>
          <w:tcPr>
            <w:tcW w:w="300"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54.1 </w:t>
            </w:r>
          </w:p>
        </w:tc>
        <w:tc>
          <w:tcPr>
            <w:tcW w:w="289" w:type="pct"/>
            <w:tcBorders>
              <w:tl2br w:val="nil"/>
              <w:tr2bl w:val="nil"/>
            </w:tcBorders>
            <w:noWrap/>
            <w:vAlign w:val="center"/>
          </w:tcPr>
          <w:p>
            <w:pPr>
              <w:jc w:val="center"/>
              <w:rPr>
                <w:rFonts w:eastAsia="楷体"/>
                <w:color w:val="auto"/>
                <w:sz w:val="21"/>
                <w:szCs w:val="21"/>
                <w:highlight w:val="none"/>
              </w:rPr>
            </w:pPr>
          </w:p>
        </w:tc>
        <w:tc>
          <w:tcPr>
            <w:tcW w:w="387"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7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5.38</w:t>
            </w:r>
          </w:p>
        </w:tc>
        <w:tc>
          <w:tcPr>
            <w:tcW w:w="364"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17.7 </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PrEx>
        <w:trPr>
          <w:trHeight w:val="280"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5</w:t>
            </w:r>
          </w:p>
        </w:tc>
        <w:tc>
          <w:tcPr>
            <w:tcW w:w="32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自贡市</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32.6 </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4.99</w:t>
            </w:r>
          </w:p>
        </w:tc>
        <w:tc>
          <w:tcPr>
            <w:tcW w:w="257"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w:t>
            </w:r>
          </w:p>
        </w:tc>
        <w:tc>
          <w:tcPr>
            <w:tcW w:w="39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4级及以下</w:t>
            </w:r>
          </w:p>
        </w:tc>
        <w:tc>
          <w:tcPr>
            <w:tcW w:w="37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8.39</w:t>
            </w:r>
          </w:p>
        </w:tc>
        <w:tc>
          <w:tcPr>
            <w:tcW w:w="336"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300"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21.7 </w:t>
            </w:r>
          </w:p>
        </w:tc>
        <w:tc>
          <w:tcPr>
            <w:tcW w:w="289"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2.13</w:t>
            </w:r>
          </w:p>
        </w:tc>
        <w:tc>
          <w:tcPr>
            <w:tcW w:w="387"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7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3.25</w:t>
            </w:r>
          </w:p>
        </w:tc>
        <w:tc>
          <w:tcPr>
            <w:tcW w:w="364"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6.39</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6</w:t>
            </w:r>
          </w:p>
        </w:tc>
        <w:tc>
          <w:tcPr>
            <w:tcW w:w="32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泸州市</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5.19</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257" w:type="pct"/>
            <w:tcBorders>
              <w:tl2br w:val="nil"/>
              <w:tr2bl w:val="nil"/>
            </w:tcBorders>
            <w:noWrap/>
            <w:vAlign w:val="center"/>
          </w:tcPr>
          <w:p>
            <w:pPr>
              <w:jc w:val="center"/>
              <w:rPr>
                <w:rFonts w:eastAsia="楷体"/>
                <w:color w:val="auto"/>
                <w:sz w:val="21"/>
                <w:szCs w:val="21"/>
                <w:highlight w:val="none"/>
              </w:rPr>
            </w:pPr>
          </w:p>
        </w:tc>
        <w:tc>
          <w:tcPr>
            <w:tcW w:w="396"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5～4</w:t>
            </w:r>
          </w:p>
        </w:tc>
        <w:tc>
          <w:tcPr>
            <w:tcW w:w="377"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20</w:t>
            </w:r>
          </w:p>
        </w:tc>
        <w:tc>
          <w:tcPr>
            <w:tcW w:w="345"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0.4</w:t>
            </w:r>
          </w:p>
        </w:tc>
        <w:tc>
          <w:tcPr>
            <w:tcW w:w="336"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0.2</w:t>
            </w:r>
          </w:p>
        </w:tc>
        <w:tc>
          <w:tcPr>
            <w:tcW w:w="300"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23.8 </w:t>
            </w:r>
          </w:p>
        </w:tc>
        <w:tc>
          <w:tcPr>
            <w:tcW w:w="289"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3.34</w:t>
            </w:r>
          </w:p>
        </w:tc>
        <w:tc>
          <w:tcPr>
            <w:tcW w:w="387" w:type="pct"/>
            <w:tcBorders>
              <w:tl2br w:val="nil"/>
              <w:tr2bl w:val="nil"/>
            </w:tcBorders>
            <w:noWrap/>
            <w:vAlign w:val="center"/>
          </w:tcPr>
          <w:p>
            <w:pPr>
              <w:keepNext w:val="0"/>
              <w:keepLines w:val="0"/>
              <w:widowControl/>
              <w:suppressLineNumbers w:val="0"/>
              <w:jc w:val="center"/>
              <w:textAlignment w:val="center"/>
              <w:rPr>
                <w:rFonts w:hint="default" w:ascii="Times New Roman" w:hAnsi="Times New Roman" w:eastAsia="楷体" w:cs="Times New Roman"/>
                <w:color w:val="auto"/>
                <w:sz w:val="21"/>
                <w:szCs w:val="21"/>
                <w:highlight w:val="none"/>
              </w:rPr>
            </w:pPr>
            <w:r>
              <w:rPr>
                <w:rFonts w:hint="default" w:ascii="Times New Roman" w:hAnsi="Times New Roman" w:eastAsia="楷体" w:cs="Times New Roman"/>
                <w:i w:val="0"/>
                <w:iCs w:val="0"/>
                <w:color w:val="auto"/>
                <w:kern w:val="0"/>
                <w:sz w:val="21"/>
                <w:szCs w:val="21"/>
                <w:u w:val="none"/>
                <w:lang w:val="en-US" w:eastAsia="zh-CN" w:bidi="ar"/>
              </w:rPr>
              <w:t>5级及以下</w:t>
            </w:r>
          </w:p>
        </w:tc>
        <w:tc>
          <w:tcPr>
            <w:tcW w:w="338" w:type="pct"/>
            <w:tcBorders>
              <w:tl2br w:val="nil"/>
              <w:tr2bl w:val="nil"/>
            </w:tcBorders>
            <w:noWrap/>
            <w:vAlign w:val="center"/>
          </w:tcPr>
          <w:p>
            <w:pPr>
              <w:keepNext w:val="0"/>
              <w:keepLines w:val="0"/>
              <w:widowControl/>
              <w:suppressLineNumbers w:val="0"/>
              <w:jc w:val="center"/>
              <w:textAlignment w:val="center"/>
              <w:rPr>
                <w:rFonts w:eastAsia="仿宋"/>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ascii="仿宋" w:hAnsi="仿宋" w:eastAsia="仿宋" w:cs="仿宋"/>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10</w:t>
            </w:r>
          </w:p>
        </w:tc>
        <w:tc>
          <w:tcPr>
            <w:tcW w:w="372"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364"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6.71</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219" w:type="pct"/>
            <w:tcBorders>
              <w:tl2br w:val="nil"/>
              <w:tr2bl w:val="nil"/>
            </w:tcBorders>
            <w:noWrap/>
            <w:vAlign w:val="center"/>
          </w:tcPr>
          <w:p>
            <w:pPr>
              <w:widowControl/>
              <w:jc w:val="center"/>
              <w:textAlignment w:val="center"/>
              <w:rPr>
                <w:rFonts w:eastAsia="楷体"/>
                <w:color w:val="auto"/>
                <w:kern w:val="0"/>
                <w:sz w:val="21"/>
                <w:szCs w:val="21"/>
                <w:highlight w:val="none"/>
              </w:rPr>
            </w:pPr>
          </w:p>
        </w:tc>
        <w:tc>
          <w:tcPr>
            <w:tcW w:w="324"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合计</w:t>
            </w:r>
          </w:p>
        </w:tc>
        <w:tc>
          <w:tcPr>
            <w:tcW w:w="438" w:type="pct"/>
            <w:tcBorders>
              <w:tl2br w:val="nil"/>
              <w:tr2bl w:val="nil"/>
            </w:tcBorders>
            <w:noWrap/>
            <w:vAlign w:val="center"/>
          </w:tcPr>
          <w:p>
            <w:pPr>
              <w:keepNext w:val="0"/>
              <w:keepLines w:val="0"/>
              <w:widowControl/>
              <w:suppressLineNumbers w:val="0"/>
              <w:jc w:val="center"/>
              <w:textAlignment w:val="center"/>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1330 </w:t>
            </w:r>
          </w:p>
        </w:tc>
        <w:tc>
          <w:tcPr>
            <w:tcW w:w="252"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225 </w:t>
            </w:r>
          </w:p>
        </w:tc>
        <w:tc>
          <w:tcPr>
            <w:tcW w:w="257"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0.54</w:t>
            </w:r>
          </w:p>
        </w:tc>
        <w:tc>
          <w:tcPr>
            <w:tcW w:w="396" w:type="pct"/>
            <w:tcBorders>
              <w:tl2br w:val="nil"/>
              <w:tr2bl w:val="nil"/>
            </w:tcBorders>
            <w:noWrap/>
            <w:vAlign w:val="center"/>
          </w:tcPr>
          <w:p>
            <w:pPr>
              <w:jc w:val="center"/>
              <w:rPr>
                <w:rFonts w:eastAsia="楷体"/>
                <w:color w:val="auto"/>
                <w:sz w:val="21"/>
                <w:szCs w:val="21"/>
                <w:highlight w:val="none"/>
              </w:rPr>
            </w:pPr>
          </w:p>
        </w:tc>
        <w:tc>
          <w:tcPr>
            <w:tcW w:w="377" w:type="pct"/>
            <w:tcBorders>
              <w:tl2br w:val="nil"/>
              <w:tr2bl w:val="nil"/>
            </w:tcBorders>
            <w:noWrap/>
            <w:vAlign w:val="center"/>
          </w:tcPr>
          <w:p>
            <w:pPr>
              <w:jc w:val="center"/>
              <w:rPr>
                <w:rFonts w:eastAsia="楷体"/>
                <w:color w:val="auto"/>
                <w:sz w:val="21"/>
                <w:szCs w:val="21"/>
                <w:highlight w:val="none"/>
              </w:rPr>
            </w:pPr>
          </w:p>
        </w:tc>
        <w:tc>
          <w:tcPr>
            <w:tcW w:w="345"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71.4 </w:t>
            </w:r>
          </w:p>
        </w:tc>
        <w:tc>
          <w:tcPr>
            <w:tcW w:w="336" w:type="pct"/>
            <w:tcBorders>
              <w:tl2br w:val="nil"/>
              <w:tr2bl w:val="nil"/>
            </w:tcBorders>
            <w:noWrap/>
            <w:vAlign w:val="center"/>
          </w:tcPr>
          <w:p>
            <w:pPr>
              <w:keepNext w:val="0"/>
              <w:keepLines w:val="0"/>
              <w:widowControl/>
              <w:suppressLineNumbers w:val="0"/>
              <w:jc w:val="center"/>
              <w:textAlignment w:val="center"/>
              <w:rPr>
                <w:rFonts w:eastAsia="楷体"/>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67.5 </w:t>
            </w:r>
          </w:p>
        </w:tc>
        <w:tc>
          <w:tcPr>
            <w:tcW w:w="300"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764 </w:t>
            </w:r>
          </w:p>
        </w:tc>
        <w:tc>
          <w:tcPr>
            <w:tcW w:w="289"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35.3 </w:t>
            </w:r>
          </w:p>
        </w:tc>
        <w:tc>
          <w:tcPr>
            <w:tcW w:w="387" w:type="pct"/>
            <w:tcBorders>
              <w:tl2br w:val="nil"/>
              <w:tr2bl w:val="nil"/>
            </w:tcBorders>
            <w:noWrap/>
            <w:vAlign w:val="center"/>
          </w:tcPr>
          <w:p>
            <w:pPr>
              <w:jc w:val="center"/>
              <w:rPr>
                <w:rFonts w:hint="default" w:ascii="Times New Roman" w:hAnsi="Times New Roman" w:eastAsia="楷体" w:cs="Times New Roman"/>
                <w:color w:val="auto"/>
                <w:sz w:val="21"/>
                <w:szCs w:val="21"/>
                <w:highlight w:val="none"/>
              </w:rPr>
            </w:pPr>
          </w:p>
        </w:tc>
        <w:tc>
          <w:tcPr>
            <w:tcW w:w="338" w:type="pct"/>
            <w:tcBorders>
              <w:tl2br w:val="nil"/>
              <w:tr2bl w:val="nil"/>
            </w:tcBorders>
            <w:noWrap/>
            <w:vAlign w:val="center"/>
          </w:tcPr>
          <w:p>
            <w:pPr>
              <w:jc w:val="center"/>
              <w:rPr>
                <w:rFonts w:eastAsia="楷体"/>
                <w:color w:val="auto"/>
                <w:sz w:val="21"/>
                <w:szCs w:val="21"/>
                <w:highlight w:val="none"/>
              </w:rPr>
            </w:pPr>
          </w:p>
        </w:tc>
        <w:tc>
          <w:tcPr>
            <w:tcW w:w="372"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55.5 </w:t>
            </w:r>
          </w:p>
        </w:tc>
        <w:tc>
          <w:tcPr>
            <w:tcW w:w="364" w:type="pct"/>
            <w:tcBorders>
              <w:tl2br w:val="nil"/>
              <w:tr2bl w:val="nil"/>
            </w:tcBorders>
            <w:noWrap/>
            <w:vAlign w:val="bottom"/>
          </w:tcPr>
          <w:p>
            <w:pPr>
              <w:keepNext w:val="0"/>
              <w:keepLines w:val="0"/>
              <w:widowControl/>
              <w:suppressLineNumbers w:val="0"/>
              <w:jc w:val="center"/>
              <w:textAlignment w:val="bottom"/>
              <w:rPr>
                <w:rFonts w:eastAsia="楷体"/>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75.2 </w:t>
            </w:r>
          </w:p>
        </w:tc>
      </w:tr>
    </w:tbl>
    <w:p>
      <w:pPr>
        <w:pStyle w:val="6"/>
        <w:spacing w:beforeLines="0" w:line="240" w:lineRule="exact"/>
        <w:ind w:firstLine="0"/>
        <w:jc w:val="both"/>
        <w:rPr>
          <w:rFonts w:ascii="Times New Roman"/>
          <w:b w:val="0"/>
          <w:bCs w:val="0"/>
          <w:color w:val="auto"/>
          <w:sz w:val="28"/>
          <w:highlight w:val="none"/>
        </w:rPr>
      </w:pPr>
    </w:p>
    <w:p>
      <w:pPr>
        <w:pStyle w:val="6"/>
        <w:spacing w:beforeLines="0" w:line="240" w:lineRule="exact"/>
        <w:ind w:firstLine="0"/>
        <w:jc w:val="both"/>
        <w:rPr>
          <w:rFonts w:ascii="Times New Roman"/>
          <w:b w:val="0"/>
          <w:bCs w:val="0"/>
          <w:color w:val="auto"/>
          <w:sz w:val="28"/>
          <w:highlight w:val="none"/>
        </w:rPr>
      </w:pPr>
    </w:p>
    <w:p>
      <w:pPr>
        <w:pStyle w:val="6"/>
        <w:spacing w:beforeLines="0"/>
        <w:ind w:firstLine="0"/>
        <w:rPr>
          <w:rFonts w:ascii="Times New Roman"/>
          <w:color w:val="auto"/>
          <w:sz w:val="28"/>
          <w:highlight w:val="none"/>
        </w:rPr>
        <w:sectPr>
          <w:footerReference r:id="rId18" w:type="default"/>
          <w:pgSz w:w="16838" w:h="11905" w:orient="landscape"/>
          <w:pgMar w:top="1417" w:right="1134" w:bottom="1417" w:left="1134" w:header="851" w:footer="992" w:gutter="0"/>
          <w:pgBorders>
            <w:top w:val="none" w:sz="0" w:space="0"/>
            <w:left w:val="none" w:sz="0" w:space="0"/>
            <w:bottom w:val="none" w:sz="0" w:space="0"/>
            <w:right w:val="none" w:sz="0" w:space="0"/>
          </w:pgBorders>
          <w:pgNumType w:fmt="decimal"/>
          <w:cols w:space="720" w:num="1"/>
          <w:docGrid w:type="linesAndChars" w:linePitch="335" w:charSpace="-3276"/>
        </w:sectPr>
      </w:pPr>
    </w:p>
    <w:p>
      <w:pPr>
        <w:pStyle w:val="5"/>
        <w:keepNext/>
        <w:keepLines/>
        <w:pageBreakBefore w:val="0"/>
        <w:widowControl w:val="0"/>
        <w:kinsoku/>
        <w:wordWrap/>
        <w:overflowPunct/>
        <w:topLinePunct w:val="0"/>
        <w:autoSpaceDE/>
        <w:autoSpaceDN/>
        <w:bidi w:val="0"/>
        <w:adjustRightInd/>
        <w:snapToGrid/>
        <w:spacing w:before="0" w:after="0" w:line="540" w:lineRule="exact"/>
        <w:ind w:firstLine="600"/>
        <w:textAlignment w:val="auto"/>
        <w:rPr>
          <w:rStyle w:val="550"/>
          <w:rFonts w:hint="eastAsia" w:ascii="仿宋_GB2312" w:hAnsi="仿宋_GB2312" w:eastAsia="仿宋_GB2312" w:cs="仿宋_GB2312"/>
          <w:color w:val="auto"/>
          <w:highlight w:val="none"/>
        </w:rPr>
      </w:pPr>
      <w:r>
        <w:rPr>
          <w:rStyle w:val="550"/>
          <w:rFonts w:hint="eastAsia" w:ascii="黑体" w:hAnsi="黑体" w:eastAsia="黑体" w:cs="黑体"/>
          <w:b w:val="0"/>
          <w:bCs/>
          <w:color w:val="auto"/>
          <w:highlight w:val="none"/>
        </w:rPr>
        <w:t>二、堤防设计洪水标准</w:t>
      </w:r>
    </w:p>
    <w:p>
      <w:pPr>
        <w:pStyle w:val="156"/>
        <w:keepNext w:val="0"/>
        <w:keepLines w:val="0"/>
        <w:pageBreakBefore w:val="0"/>
        <w:widowControl w:val="0"/>
        <w:kinsoku/>
        <w:wordWrap/>
        <w:overflowPunct/>
        <w:topLinePunct w:val="0"/>
        <w:autoSpaceDE/>
        <w:autoSpaceDN/>
        <w:bidi w:val="0"/>
        <w:adjustRightInd/>
        <w:snapToGrid/>
        <w:spacing w:line="540" w:lineRule="exact"/>
        <w:ind w:firstLine="590"/>
        <w:textAlignment w:val="auto"/>
        <w:rPr>
          <w:rFonts w:hint="default" w:eastAsia="仿宋_GB2312"/>
          <w:color w:val="auto"/>
          <w:spacing w:val="4"/>
          <w:sz w:val="30"/>
          <w:szCs w:val="30"/>
          <w:highlight w:val="none"/>
          <w:lang w:val="en-US" w:eastAsia="zh-CN"/>
        </w:rPr>
      </w:pPr>
      <w:r>
        <w:rPr>
          <w:rFonts w:hint="eastAsia"/>
          <w:color w:val="auto"/>
          <w:spacing w:val="4"/>
          <w:sz w:val="30"/>
          <w:szCs w:val="30"/>
          <w:highlight w:val="none"/>
          <w:lang w:val="en-US" w:eastAsia="zh-CN"/>
        </w:rPr>
        <w:t>根据</w:t>
      </w:r>
      <w:r>
        <w:rPr>
          <w:rFonts w:eastAsia="仿宋_GB2312"/>
          <w:color w:val="auto"/>
          <w:spacing w:val="4"/>
          <w:sz w:val="30"/>
          <w:szCs w:val="30"/>
          <w:highlight w:val="none"/>
        </w:rPr>
        <w:t>《防洪标准》（GB50201</w:t>
      </w:r>
      <w:r>
        <w:rPr>
          <w:rFonts w:hint="eastAsia" w:ascii="宋体" w:hAnsi="宋体" w:eastAsia="宋体" w:cs="宋体"/>
          <w:color w:val="auto"/>
          <w:spacing w:val="4"/>
          <w:sz w:val="30"/>
          <w:szCs w:val="30"/>
          <w:highlight w:val="none"/>
        </w:rPr>
        <w:t>－</w:t>
      </w:r>
      <w:r>
        <w:rPr>
          <w:rFonts w:eastAsia="仿宋_GB2312"/>
          <w:color w:val="auto"/>
          <w:spacing w:val="4"/>
          <w:sz w:val="30"/>
          <w:szCs w:val="30"/>
          <w:highlight w:val="none"/>
        </w:rPr>
        <w:t>2014）</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各类防护对象的防洪标准，应根据经济、社会、政治、环境等因素对防洪安全的要求，统筹协调局部与整体、近期与长远及上下游、左右岸、干支流的关系，通过综合分析论证确定。有条件时，宜进行不同防洪标准所可能避免的洪灾损失与所需的防洪费用对比分析。堤防工程的防洪标准，应根据其保护对象或保护区的防洪标准，以及流域规划的要求分析确定；蓄、滞洪区堤防工程的防洪标准应根据流域规划的要求分析确定。</w:t>
      </w:r>
    </w:p>
    <w:p>
      <w:pPr>
        <w:pStyle w:val="156"/>
        <w:keepNext w:val="0"/>
        <w:keepLines w:val="0"/>
        <w:pageBreakBefore w:val="0"/>
        <w:widowControl w:val="0"/>
        <w:kinsoku/>
        <w:wordWrap/>
        <w:overflowPunct/>
        <w:topLinePunct w:val="0"/>
        <w:autoSpaceDE/>
        <w:autoSpaceDN/>
        <w:bidi w:val="0"/>
        <w:adjustRightInd/>
        <w:snapToGrid/>
        <w:spacing w:line="540" w:lineRule="exact"/>
        <w:ind w:firstLine="590"/>
        <w:textAlignment w:val="auto"/>
        <w:rPr>
          <w:rFonts w:hint="default"/>
          <w:color w:val="auto"/>
          <w:spacing w:val="4"/>
          <w:sz w:val="30"/>
          <w:szCs w:val="30"/>
          <w:highlight w:val="red"/>
          <w:lang w:val="en-US"/>
        </w:rPr>
      </w:pPr>
      <w:r>
        <w:rPr>
          <w:rFonts w:hint="eastAsia"/>
          <w:color w:val="auto"/>
          <w:spacing w:val="4"/>
          <w:sz w:val="30"/>
          <w:szCs w:val="30"/>
          <w:highlight w:val="none"/>
          <w:lang w:val="en-US" w:eastAsia="zh-CN"/>
        </w:rPr>
        <w:t>根据沱江流域地形与洪水特性，统筹考虑</w:t>
      </w:r>
      <w:r>
        <w:rPr>
          <w:color w:val="auto"/>
          <w:spacing w:val="4"/>
          <w:sz w:val="30"/>
          <w:szCs w:val="30"/>
          <w:highlight w:val="none"/>
        </w:rPr>
        <w:t>防护对象</w:t>
      </w:r>
      <w:r>
        <w:rPr>
          <w:rFonts w:hint="eastAsia"/>
          <w:color w:val="auto"/>
          <w:spacing w:val="4"/>
          <w:sz w:val="30"/>
          <w:szCs w:val="30"/>
          <w:highlight w:val="none"/>
          <w:lang w:val="en-US" w:eastAsia="zh-CN"/>
        </w:rPr>
        <w:t>重要性</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结合</w:t>
      </w:r>
      <w:r>
        <w:rPr>
          <w:color w:val="auto"/>
          <w:spacing w:val="4"/>
          <w:sz w:val="30"/>
          <w:szCs w:val="30"/>
          <w:highlight w:val="none"/>
        </w:rPr>
        <w:t>堤防建设</w:t>
      </w:r>
      <w:r>
        <w:rPr>
          <w:rFonts w:hint="eastAsia"/>
          <w:color w:val="auto"/>
          <w:spacing w:val="4"/>
          <w:sz w:val="30"/>
          <w:szCs w:val="30"/>
          <w:highlight w:val="none"/>
          <w:lang w:eastAsia="zh-CN"/>
        </w:rPr>
        <w:t>、</w:t>
      </w:r>
      <w:r>
        <w:rPr>
          <w:color w:val="auto"/>
          <w:spacing w:val="4"/>
          <w:sz w:val="30"/>
          <w:szCs w:val="30"/>
          <w:highlight w:val="none"/>
        </w:rPr>
        <w:t>防洪水库调蓄作用、河道整治</w:t>
      </w:r>
      <w:r>
        <w:rPr>
          <w:rFonts w:hint="eastAsia"/>
          <w:color w:val="auto"/>
          <w:spacing w:val="4"/>
          <w:sz w:val="30"/>
          <w:szCs w:val="30"/>
          <w:highlight w:val="none"/>
          <w:lang w:val="en-US" w:eastAsia="zh-CN"/>
        </w:rPr>
        <w:t>等，确定堤防工程设计洪水标准为10～50年一遇。</w:t>
      </w:r>
    </w:p>
    <w:p>
      <w:pPr>
        <w:pStyle w:val="5"/>
        <w:keepNext/>
        <w:keepLines/>
        <w:pageBreakBefore w:val="0"/>
        <w:widowControl w:val="0"/>
        <w:kinsoku/>
        <w:wordWrap/>
        <w:overflowPunct/>
        <w:topLinePunct w:val="0"/>
        <w:autoSpaceDE/>
        <w:autoSpaceDN/>
        <w:bidi w:val="0"/>
        <w:adjustRightInd/>
        <w:snapToGrid/>
        <w:spacing w:before="0" w:after="0" w:line="540" w:lineRule="exact"/>
        <w:ind w:firstLine="600"/>
        <w:textAlignment w:val="auto"/>
        <w:rPr>
          <w:rStyle w:val="550"/>
          <w:rFonts w:hint="eastAsia" w:ascii="仿宋_GB2312" w:hAnsi="仿宋_GB2312" w:eastAsia="仿宋_GB2312" w:cs="仿宋_GB2312"/>
          <w:color w:val="auto"/>
          <w:highlight w:val="none"/>
        </w:rPr>
      </w:pPr>
      <w:r>
        <w:rPr>
          <w:rStyle w:val="550"/>
          <w:rFonts w:hint="eastAsia" w:ascii="黑体" w:hAnsi="黑体" w:eastAsia="黑体" w:cs="黑体"/>
          <w:b w:val="0"/>
          <w:bCs/>
          <w:color w:val="auto"/>
          <w:highlight w:val="none"/>
        </w:rPr>
        <w:t>三、堤防护岸规划</w:t>
      </w:r>
    </w:p>
    <w:p>
      <w:pPr>
        <w:pStyle w:val="156"/>
        <w:keepNext w:val="0"/>
        <w:keepLines w:val="0"/>
        <w:pageBreakBefore w:val="0"/>
        <w:widowControl w:val="0"/>
        <w:kinsoku/>
        <w:wordWrap/>
        <w:overflowPunct/>
        <w:topLinePunct w:val="0"/>
        <w:autoSpaceDE/>
        <w:autoSpaceDN/>
        <w:bidi w:val="0"/>
        <w:adjustRightInd/>
        <w:snapToGrid/>
        <w:spacing w:line="540" w:lineRule="exact"/>
        <w:ind w:firstLine="590"/>
        <w:textAlignment w:val="auto"/>
        <w:rPr>
          <w:color w:val="auto"/>
          <w:spacing w:val="4"/>
          <w:sz w:val="30"/>
          <w:szCs w:val="30"/>
          <w:highlight w:val="none"/>
        </w:rPr>
      </w:pPr>
      <w:r>
        <w:rPr>
          <w:color w:val="auto"/>
          <w:spacing w:val="4"/>
          <w:sz w:val="30"/>
          <w:szCs w:val="30"/>
          <w:highlight w:val="none"/>
        </w:rPr>
        <w:t>沱江流域现状防洪工程以堤防为主，规划拟建堤防1092km，其中城区段26</w:t>
      </w:r>
      <w:r>
        <w:rPr>
          <w:rFonts w:hint="eastAsia"/>
          <w:color w:val="auto"/>
          <w:spacing w:val="4"/>
          <w:sz w:val="30"/>
          <w:szCs w:val="30"/>
          <w:highlight w:val="none"/>
          <w:lang w:val="en-US" w:eastAsia="zh-CN"/>
        </w:rPr>
        <w:t>2</w:t>
      </w:r>
      <w:r>
        <w:rPr>
          <w:color w:val="auto"/>
          <w:spacing w:val="4"/>
          <w:sz w:val="30"/>
          <w:szCs w:val="30"/>
          <w:highlight w:val="none"/>
        </w:rPr>
        <w:t>km，乡镇段8</w:t>
      </w:r>
      <w:r>
        <w:rPr>
          <w:rFonts w:hint="eastAsia"/>
          <w:color w:val="auto"/>
          <w:spacing w:val="4"/>
          <w:sz w:val="30"/>
          <w:szCs w:val="30"/>
          <w:highlight w:val="none"/>
          <w:lang w:val="en-US" w:eastAsia="zh-CN"/>
        </w:rPr>
        <w:t>30</w:t>
      </w:r>
      <w:r>
        <w:rPr>
          <w:color w:val="auto"/>
          <w:spacing w:val="4"/>
          <w:sz w:val="30"/>
          <w:szCs w:val="30"/>
          <w:highlight w:val="none"/>
        </w:rPr>
        <w:t>km；拟建护岸18</w:t>
      </w:r>
      <w:r>
        <w:rPr>
          <w:rFonts w:hint="eastAsia"/>
          <w:color w:val="auto"/>
          <w:spacing w:val="4"/>
          <w:sz w:val="30"/>
          <w:szCs w:val="30"/>
          <w:highlight w:val="none"/>
          <w:lang w:val="en-US" w:eastAsia="zh-CN"/>
        </w:rPr>
        <w:t>5</w:t>
      </w:r>
      <w:r>
        <w:rPr>
          <w:color w:val="auto"/>
          <w:spacing w:val="4"/>
          <w:sz w:val="30"/>
          <w:szCs w:val="30"/>
          <w:highlight w:val="none"/>
        </w:rPr>
        <w:t>km，其中城区段1</w:t>
      </w:r>
      <w:r>
        <w:rPr>
          <w:rFonts w:hint="eastAsia"/>
          <w:color w:val="auto"/>
          <w:spacing w:val="4"/>
          <w:sz w:val="30"/>
          <w:szCs w:val="30"/>
          <w:highlight w:val="none"/>
          <w:lang w:val="en-US" w:eastAsia="zh-CN"/>
        </w:rPr>
        <w:t>3</w:t>
      </w:r>
      <w:r>
        <w:rPr>
          <w:color w:val="auto"/>
          <w:spacing w:val="4"/>
          <w:sz w:val="30"/>
          <w:szCs w:val="30"/>
          <w:highlight w:val="none"/>
        </w:rPr>
        <w:t>km，乡镇段172km；规划加高加固堤防15</w:t>
      </w:r>
      <w:r>
        <w:rPr>
          <w:rFonts w:hint="eastAsia"/>
          <w:color w:val="auto"/>
          <w:spacing w:val="4"/>
          <w:sz w:val="30"/>
          <w:szCs w:val="30"/>
          <w:highlight w:val="none"/>
          <w:lang w:val="en-US" w:eastAsia="zh-CN"/>
        </w:rPr>
        <w:t>4</w:t>
      </w:r>
      <w:r>
        <w:rPr>
          <w:color w:val="auto"/>
          <w:spacing w:val="4"/>
          <w:sz w:val="30"/>
          <w:szCs w:val="30"/>
          <w:highlight w:val="none"/>
        </w:rPr>
        <w:t>km，其中城区段39km，乡镇段11</w:t>
      </w:r>
      <w:r>
        <w:rPr>
          <w:rFonts w:hint="eastAsia"/>
          <w:color w:val="auto"/>
          <w:spacing w:val="4"/>
          <w:sz w:val="30"/>
          <w:szCs w:val="30"/>
          <w:highlight w:val="none"/>
          <w:lang w:val="en-US" w:eastAsia="zh-CN"/>
        </w:rPr>
        <w:t>5</w:t>
      </w:r>
      <w:r>
        <w:rPr>
          <w:color w:val="auto"/>
          <w:spacing w:val="4"/>
          <w:sz w:val="30"/>
          <w:szCs w:val="30"/>
          <w:highlight w:val="none"/>
        </w:rPr>
        <w:t>km。规划新</w:t>
      </w:r>
      <w:r>
        <w:rPr>
          <w:rFonts w:hint="eastAsia"/>
          <w:color w:val="auto"/>
          <w:spacing w:val="4"/>
          <w:sz w:val="30"/>
          <w:szCs w:val="30"/>
          <w:highlight w:val="none"/>
        </w:rPr>
        <w:t>（</w:t>
      </w:r>
      <w:r>
        <w:rPr>
          <w:color w:val="auto"/>
          <w:spacing w:val="4"/>
          <w:sz w:val="30"/>
          <w:szCs w:val="30"/>
          <w:highlight w:val="none"/>
        </w:rPr>
        <w:t>改</w:t>
      </w:r>
      <w:r>
        <w:rPr>
          <w:rFonts w:hint="eastAsia"/>
          <w:color w:val="auto"/>
          <w:spacing w:val="4"/>
          <w:sz w:val="30"/>
          <w:szCs w:val="30"/>
          <w:highlight w:val="none"/>
        </w:rPr>
        <w:t>）</w:t>
      </w:r>
      <w:r>
        <w:rPr>
          <w:color w:val="auto"/>
          <w:spacing w:val="4"/>
          <w:sz w:val="30"/>
          <w:szCs w:val="30"/>
          <w:highlight w:val="none"/>
        </w:rPr>
        <w:t>建堤防、护岸等项目应兼顾行洪和水生态保护，</w:t>
      </w:r>
      <w:r>
        <w:rPr>
          <w:rFonts w:hint="eastAsia"/>
          <w:color w:val="auto"/>
          <w:spacing w:val="4"/>
          <w:sz w:val="30"/>
          <w:szCs w:val="30"/>
          <w:highlight w:val="none"/>
          <w:lang w:val="en-US" w:eastAsia="zh-CN"/>
        </w:rPr>
        <w:t>禁止</w:t>
      </w:r>
      <w:r>
        <w:rPr>
          <w:color w:val="auto"/>
          <w:spacing w:val="4"/>
          <w:sz w:val="30"/>
          <w:szCs w:val="30"/>
          <w:highlight w:val="none"/>
        </w:rPr>
        <w:t>滩涂种植等占用河岸行为，维护好岸线自然生态。沱江流域堤防护岸规划</w:t>
      </w:r>
      <w:r>
        <w:rPr>
          <w:rFonts w:hint="eastAsia"/>
          <w:color w:val="auto"/>
          <w:spacing w:val="4"/>
          <w:sz w:val="30"/>
          <w:szCs w:val="30"/>
          <w:highlight w:val="none"/>
          <w:lang w:val="en-US" w:eastAsia="zh-CN"/>
        </w:rPr>
        <w:t>成果详</w:t>
      </w:r>
      <w:r>
        <w:rPr>
          <w:color w:val="auto"/>
          <w:spacing w:val="4"/>
          <w:sz w:val="30"/>
          <w:szCs w:val="30"/>
          <w:highlight w:val="none"/>
        </w:rPr>
        <w:t>见表7.2.</w:t>
      </w:r>
      <w:r>
        <w:rPr>
          <w:rFonts w:hint="eastAsia"/>
          <w:color w:val="auto"/>
          <w:spacing w:val="4"/>
          <w:sz w:val="30"/>
          <w:szCs w:val="30"/>
          <w:highlight w:val="none"/>
          <w:lang w:val="en-US" w:eastAsia="zh-CN"/>
        </w:rPr>
        <w:t>5</w:t>
      </w:r>
      <w:r>
        <w:rPr>
          <w:color w:val="auto"/>
          <w:spacing w:val="4"/>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90"/>
        <w:textAlignment w:val="auto"/>
        <w:rPr>
          <w:rFonts w:hint="eastAsia" w:ascii="楷体_GB2312" w:hAnsi="楷体_GB2312" w:eastAsia="楷体_GB2312" w:cs="楷体_GB2312"/>
          <w:color w:val="auto"/>
          <w:spacing w:val="4"/>
          <w:sz w:val="30"/>
          <w:szCs w:val="30"/>
          <w:highlight w:val="none"/>
        </w:rPr>
      </w:pPr>
      <w:r>
        <w:rPr>
          <w:rFonts w:hint="eastAsia" w:ascii="楷体_GB2312" w:hAnsi="楷体_GB2312" w:eastAsia="楷体_GB2312" w:cs="楷体_GB2312"/>
          <w:color w:val="auto"/>
          <w:spacing w:val="4"/>
          <w:sz w:val="30"/>
          <w:szCs w:val="30"/>
          <w:highlight w:val="none"/>
        </w:rPr>
        <w:t>（一）沱江干流</w:t>
      </w:r>
    </w:p>
    <w:p>
      <w:pPr>
        <w:pStyle w:val="156"/>
        <w:keepNext w:val="0"/>
        <w:keepLines w:val="0"/>
        <w:pageBreakBefore w:val="0"/>
        <w:widowControl w:val="0"/>
        <w:kinsoku/>
        <w:wordWrap/>
        <w:overflowPunct/>
        <w:topLinePunct w:val="0"/>
        <w:autoSpaceDE/>
        <w:autoSpaceDN/>
        <w:bidi w:val="0"/>
        <w:adjustRightInd/>
        <w:snapToGrid/>
        <w:spacing w:line="540" w:lineRule="exact"/>
        <w:ind w:firstLine="590"/>
        <w:textAlignment w:val="auto"/>
        <w:rPr>
          <w:color w:val="auto"/>
          <w:spacing w:val="4"/>
          <w:sz w:val="30"/>
          <w:szCs w:val="30"/>
          <w:highlight w:val="none"/>
        </w:rPr>
      </w:pPr>
      <w:r>
        <w:rPr>
          <w:color w:val="auto"/>
          <w:spacing w:val="4"/>
          <w:sz w:val="30"/>
          <w:szCs w:val="30"/>
          <w:highlight w:val="none"/>
        </w:rPr>
        <w:t>沱江干流拟新建堤防33</w:t>
      </w:r>
      <w:r>
        <w:rPr>
          <w:rFonts w:hint="eastAsia"/>
          <w:color w:val="auto"/>
          <w:spacing w:val="4"/>
          <w:sz w:val="30"/>
          <w:szCs w:val="30"/>
          <w:highlight w:val="none"/>
          <w:lang w:val="en-US" w:eastAsia="zh-CN"/>
        </w:rPr>
        <w:t>7</w:t>
      </w:r>
      <w:r>
        <w:rPr>
          <w:color w:val="auto"/>
          <w:spacing w:val="4"/>
          <w:sz w:val="30"/>
          <w:szCs w:val="30"/>
          <w:highlight w:val="none"/>
        </w:rPr>
        <w:t>km，其中城区段136km，乡镇段20</w:t>
      </w:r>
      <w:r>
        <w:rPr>
          <w:rFonts w:hint="eastAsia"/>
          <w:color w:val="auto"/>
          <w:spacing w:val="4"/>
          <w:sz w:val="30"/>
          <w:szCs w:val="30"/>
          <w:highlight w:val="none"/>
          <w:lang w:val="en-US" w:eastAsia="zh-CN"/>
        </w:rPr>
        <w:t>1</w:t>
      </w:r>
      <w:r>
        <w:rPr>
          <w:color w:val="auto"/>
          <w:spacing w:val="4"/>
          <w:sz w:val="30"/>
          <w:szCs w:val="30"/>
          <w:highlight w:val="none"/>
        </w:rPr>
        <w:t>km。新建护岸3</w:t>
      </w:r>
      <w:r>
        <w:rPr>
          <w:rFonts w:hint="eastAsia"/>
          <w:color w:val="auto"/>
          <w:spacing w:val="4"/>
          <w:sz w:val="30"/>
          <w:szCs w:val="30"/>
          <w:highlight w:val="none"/>
          <w:lang w:val="en-US" w:eastAsia="zh-CN"/>
        </w:rPr>
        <w:t>7</w:t>
      </w:r>
      <w:r>
        <w:rPr>
          <w:color w:val="auto"/>
          <w:spacing w:val="4"/>
          <w:sz w:val="30"/>
          <w:szCs w:val="30"/>
          <w:highlight w:val="none"/>
        </w:rPr>
        <w:t>km，其中城区段1</w:t>
      </w:r>
      <w:r>
        <w:rPr>
          <w:rFonts w:hint="eastAsia"/>
          <w:color w:val="auto"/>
          <w:spacing w:val="4"/>
          <w:sz w:val="30"/>
          <w:szCs w:val="30"/>
          <w:highlight w:val="none"/>
          <w:lang w:val="en-US" w:eastAsia="zh-CN"/>
        </w:rPr>
        <w:t>3</w:t>
      </w:r>
      <w:r>
        <w:rPr>
          <w:color w:val="auto"/>
          <w:spacing w:val="4"/>
          <w:sz w:val="30"/>
          <w:szCs w:val="30"/>
          <w:highlight w:val="none"/>
        </w:rPr>
        <w:t>km，乡镇段24km。规划加高加固堤防2</w:t>
      </w:r>
      <w:r>
        <w:rPr>
          <w:rFonts w:hint="eastAsia"/>
          <w:color w:val="auto"/>
          <w:spacing w:val="4"/>
          <w:sz w:val="30"/>
          <w:szCs w:val="30"/>
          <w:highlight w:val="none"/>
          <w:lang w:val="en-US" w:eastAsia="zh-CN"/>
        </w:rPr>
        <w:t>1</w:t>
      </w:r>
      <w:r>
        <w:rPr>
          <w:color w:val="auto"/>
          <w:spacing w:val="4"/>
          <w:sz w:val="30"/>
          <w:szCs w:val="30"/>
          <w:highlight w:val="none"/>
        </w:rPr>
        <w:t>km，其中城区段</w:t>
      </w:r>
      <w:r>
        <w:rPr>
          <w:rFonts w:hint="eastAsia"/>
          <w:color w:val="auto"/>
          <w:spacing w:val="4"/>
          <w:sz w:val="30"/>
          <w:szCs w:val="30"/>
          <w:highlight w:val="none"/>
          <w:lang w:val="en-US" w:eastAsia="zh-CN"/>
        </w:rPr>
        <w:t>8</w:t>
      </w:r>
      <w:r>
        <w:rPr>
          <w:color w:val="auto"/>
          <w:spacing w:val="4"/>
          <w:sz w:val="30"/>
          <w:szCs w:val="30"/>
          <w:highlight w:val="none"/>
        </w:rPr>
        <w:t>km，乡镇段13km。沱江干流堤防护岸规划</w:t>
      </w:r>
      <w:r>
        <w:rPr>
          <w:rFonts w:hint="eastAsia"/>
          <w:color w:val="auto"/>
          <w:spacing w:val="4"/>
          <w:sz w:val="30"/>
          <w:szCs w:val="30"/>
          <w:highlight w:val="none"/>
          <w:lang w:val="en-US" w:eastAsia="zh-CN"/>
        </w:rPr>
        <w:t>情况详</w:t>
      </w:r>
      <w:r>
        <w:rPr>
          <w:color w:val="auto"/>
          <w:spacing w:val="4"/>
          <w:sz w:val="30"/>
          <w:szCs w:val="30"/>
          <w:highlight w:val="none"/>
        </w:rPr>
        <w:t>见表7.2.</w:t>
      </w:r>
      <w:r>
        <w:rPr>
          <w:rFonts w:hint="eastAsia"/>
          <w:color w:val="auto"/>
          <w:spacing w:val="4"/>
          <w:sz w:val="30"/>
          <w:szCs w:val="30"/>
          <w:highlight w:val="none"/>
          <w:lang w:val="en-US" w:eastAsia="zh-CN"/>
        </w:rPr>
        <w:t>6</w:t>
      </w:r>
      <w:r>
        <w:rPr>
          <w:color w:val="auto"/>
          <w:spacing w:val="4"/>
          <w:sz w:val="30"/>
          <w:szCs w:val="30"/>
          <w:highlight w:val="none"/>
        </w:rPr>
        <w:t>。</w:t>
      </w:r>
    </w:p>
    <w:p>
      <w:pPr>
        <w:pStyle w:val="156"/>
        <w:spacing w:line="540" w:lineRule="exact"/>
        <w:ind w:firstLine="590"/>
        <w:rPr>
          <w:rFonts w:hint="eastAsia" w:ascii="楷体_GB2312" w:hAnsi="楷体_GB2312" w:eastAsia="楷体_GB2312" w:cs="楷体_GB2312"/>
          <w:color w:val="auto"/>
          <w:spacing w:val="4"/>
          <w:sz w:val="30"/>
          <w:szCs w:val="30"/>
          <w:highlight w:val="none"/>
        </w:rPr>
      </w:pPr>
      <w:r>
        <w:rPr>
          <w:rFonts w:hint="eastAsia" w:ascii="楷体_GB2312" w:hAnsi="楷体_GB2312" w:eastAsia="楷体_GB2312" w:cs="楷体_GB2312"/>
          <w:color w:val="auto"/>
          <w:spacing w:val="4"/>
          <w:sz w:val="30"/>
          <w:szCs w:val="30"/>
          <w:highlight w:val="none"/>
        </w:rPr>
        <w:t>（二）主要支流</w:t>
      </w:r>
    </w:p>
    <w:p>
      <w:pPr>
        <w:pStyle w:val="156"/>
        <w:spacing w:line="540" w:lineRule="exact"/>
        <w:ind w:firstLine="590"/>
        <w:rPr>
          <w:color w:val="auto"/>
          <w:spacing w:val="4"/>
          <w:sz w:val="30"/>
          <w:szCs w:val="30"/>
          <w:highlight w:val="none"/>
        </w:rPr>
      </w:pPr>
      <w:r>
        <w:rPr>
          <w:color w:val="auto"/>
          <w:spacing w:val="4"/>
          <w:sz w:val="30"/>
          <w:szCs w:val="30"/>
          <w:highlight w:val="none"/>
        </w:rPr>
        <w:t>沱江主要支流包括釜溪河、濑溪河、威远河，拟新建堤防129km，其中城区段1</w:t>
      </w:r>
      <w:r>
        <w:rPr>
          <w:rFonts w:hint="eastAsia"/>
          <w:color w:val="auto"/>
          <w:spacing w:val="4"/>
          <w:sz w:val="30"/>
          <w:szCs w:val="30"/>
          <w:highlight w:val="none"/>
          <w:lang w:val="en-US" w:eastAsia="zh-CN"/>
        </w:rPr>
        <w:t>7</w:t>
      </w:r>
      <w:r>
        <w:rPr>
          <w:color w:val="auto"/>
          <w:spacing w:val="4"/>
          <w:sz w:val="30"/>
          <w:szCs w:val="30"/>
          <w:highlight w:val="none"/>
        </w:rPr>
        <w:t>km，乡镇段112km。规划加高加固堤防7.6km（均为城区段）。沱江主要支流堤防护岸规划</w:t>
      </w:r>
      <w:r>
        <w:rPr>
          <w:rFonts w:hint="eastAsia"/>
          <w:color w:val="auto"/>
          <w:spacing w:val="4"/>
          <w:sz w:val="30"/>
          <w:szCs w:val="30"/>
          <w:highlight w:val="none"/>
          <w:lang w:val="en-US" w:eastAsia="zh-CN"/>
        </w:rPr>
        <w:t>情况详</w:t>
      </w:r>
      <w:r>
        <w:rPr>
          <w:color w:val="auto"/>
          <w:spacing w:val="4"/>
          <w:sz w:val="30"/>
          <w:szCs w:val="30"/>
          <w:highlight w:val="none"/>
        </w:rPr>
        <w:t>见表7.2.</w:t>
      </w:r>
      <w:r>
        <w:rPr>
          <w:rFonts w:hint="eastAsia"/>
          <w:color w:val="auto"/>
          <w:spacing w:val="4"/>
          <w:sz w:val="30"/>
          <w:szCs w:val="30"/>
          <w:highlight w:val="none"/>
          <w:lang w:val="en-US" w:eastAsia="zh-CN"/>
        </w:rPr>
        <w:t>7</w:t>
      </w:r>
      <w:r>
        <w:rPr>
          <w:color w:val="auto"/>
          <w:spacing w:val="4"/>
          <w:sz w:val="30"/>
          <w:szCs w:val="30"/>
          <w:highlight w:val="none"/>
        </w:rPr>
        <w:t>。</w:t>
      </w:r>
    </w:p>
    <w:p>
      <w:pPr>
        <w:pStyle w:val="156"/>
        <w:spacing w:line="540" w:lineRule="exact"/>
        <w:ind w:firstLine="590"/>
        <w:rPr>
          <w:rFonts w:hint="eastAsia" w:ascii="楷体_GB2312" w:hAnsi="楷体_GB2312" w:eastAsia="楷体_GB2312" w:cs="楷体_GB2312"/>
          <w:color w:val="auto"/>
          <w:spacing w:val="4"/>
          <w:sz w:val="30"/>
          <w:szCs w:val="30"/>
          <w:highlight w:val="none"/>
        </w:rPr>
      </w:pPr>
      <w:r>
        <w:rPr>
          <w:rFonts w:hint="eastAsia" w:ascii="楷体_GB2312" w:hAnsi="楷体_GB2312" w:eastAsia="楷体_GB2312" w:cs="楷体_GB2312"/>
          <w:color w:val="auto"/>
          <w:spacing w:val="4"/>
          <w:sz w:val="30"/>
          <w:szCs w:val="30"/>
          <w:highlight w:val="none"/>
        </w:rPr>
        <w:t>（三）中小河流</w:t>
      </w:r>
    </w:p>
    <w:p>
      <w:pPr>
        <w:pStyle w:val="156"/>
        <w:spacing w:line="540" w:lineRule="exact"/>
        <w:ind w:firstLine="590"/>
        <w:rPr>
          <w:color w:val="auto"/>
          <w:spacing w:val="4"/>
          <w:sz w:val="30"/>
          <w:szCs w:val="30"/>
          <w:highlight w:val="none"/>
        </w:rPr>
        <w:sectPr>
          <w:footerReference r:id="rId19" w:type="default"/>
          <w:pgSz w:w="11905"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35" w:charSpace="-2709"/>
        </w:sectPr>
      </w:pPr>
      <w:r>
        <w:rPr>
          <w:color w:val="auto"/>
          <w:spacing w:val="4"/>
          <w:sz w:val="30"/>
          <w:szCs w:val="30"/>
          <w:highlight w:val="none"/>
        </w:rPr>
        <w:t>沱江流域中小河流拟新建堤防627km，其中城区段1</w:t>
      </w:r>
      <w:r>
        <w:rPr>
          <w:rFonts w:hint="eastAsia"/>
          <w:color w:val="auto"/>
          <w:spacing w:val="4"/>
          <w:sz w:val="30"/>
          <w:szCs w:val="30"/>
          <w:highlight w:val="none"/>
          <w:lang w:val="en-US" w:eastAsia="zh-CN"/>
        </w:rPr>
        <w:t>10</w:t>
      </w:r>
      <w:r>
        <w:rPr>
          <w:color w:val="auto"/>
          <w:spacing w:val="4"/>
          <w:sz w:val="30"/>
          <w:szCs w:val="30"/>
          <w:highlight w:val="none"/>
        </w:rPr>
        <w:t>km，乡镇段517km。新建护岸14</w:t>
      </w:r>
      <w:r>
        <w:rPr>
          <w:rFonts w:hint="eastAsia"/>
          <w:color w:val="auto"/>
          <w:spacing w:val="4"/>
          <w:sz w:val="30"/>
          <w:szCs w:val="30"/>
          <w:highlight w:val="none"/>
          <w:lang w:val="en-US" w:eastAsia="zh-CN"/>
        </w:rPr>
        <w:t>8</w:t>
      </w:r>
      <w:r>
        <w:rPr>
          <w:color w:val="auto"/>
          <w:spacing w:val="4"/>
          <w:sz w:val="30"/>
          <w:szCs w:val="30"/>
          <w:highlight w:val="none"/>
        </w:rPr>
        <w:t>km（均为乡镇段）。规划加高加固堤防125km，其中城区段24km，乡镇段101km。沱江流域中小河流堤防护岸规划</w:t>
      </w:r>
      <w:r>
        <w:rPr>
          <w:rFonts w:hint="eastAsia"/>
          <w:color w:val="auto"/>
          <w:spacing w:val="4"/>
          <w:sz w:val="30"/>
          <w:szCs w:val="30"/>
          <w:highlight w:val="none"/>
          <w:lang w:val="en-US" w:eastAsia="zh-CN"/>
        </w:rPr>
        <w:t>情况详</w:t>
      </w:r>
      <w:r>
        <w:rPr>
          <w:color w:val="auto"/>
          <w:spacing w:val="4"/>
          <w:sz w:val="30"/>
          <w:szCs w:val="30"/>
          <w:highlight w:val="none"/>
        </w:rPr>
        <w:t>见表7.2.</w:t>
      </w:r>
      <w:r>
        <w:rPr>
          <w:rFonts w:hint="eastAsia"/>
          <w:color w:val="auto"/>
          <w:spacing w:val="4"/>
          <w:sz w:val="30"/>
          <w:szCs w:val="30"/>
          <w:highlight w:val="none"/>
          <w:lang w:val="en-US" w:eastAsia="zh-CN"/>
        </w:rPr>
        <w:t>8</w:t>
      </w:r>
      <w:r>
        <w:rPr>
          <w:color w:val="auto"/>
          <w:spacing w:val="4"/>
          <w:sz w:val="30"/>
          <w:szCs w:val="30"/>
          <w:highlight w:val="none"/>
        </w:rPr>
        <w:t>。</w:t>
      </w:r>
    </w:p>
    <w:p>
      <w:pPr>
        <w:pStyle w:val="6"/>
        <w:spacing w:beforeLines="0" w:line="280" w:lineRule="exact"/>
        <w:ind w:firstLine="0"/>
        <w:jc w:val="both"/>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5</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沱江流域堤防护岸规划</w:t>
      </w:r>
      <w:r>
        <w:rPr>
          <w:rFonts w:hint="eastAsia" w:ascii="Times New Roman"/>
          <w:b w:val="0"/>
          <w:bCs w:val="0"/>
          <w:color w:val="auto"/>
          <w:sz w:val="28"/>
          <w:highlight w:val="none"/>
          <w:lang w:val="en-US" w:eastAsia="zh-CN"/>
        </w:rPr>
        <w:t>成果</w:t>
      </w:r>
      <w:r>
        <w:rPr>
          <w:rFonts w:ascii="Times New Roman"/>
          <w:b w:val="0"/>
          <w:bCs w:val="0"/>
          <w:color w:val="auto"/>
          <w:sz w:val="28"/>
          <w:highlight w:val="none"/>
        </w:rPr>
        <w:t xml:space="preserve">表    </w:t>
      </w:r>
    </w:p>
    <w:p>
      <w:pPr>
        <w:pStyle w:val="6"/>
        <w:spacing w:beforeLines="0" w:line="280" w:lineRule="exact"/>
        <w:ind w:firstLine="0"/>
        <w:jc w:val="right"/>
        <w:rPr>
          <w:rFonts w:ascii="Times New Roman" w:eastAsia="仿宋_GB2312"/>
          <w:b w:val="0"/>
          <w:bCs w:val="0"/>
          <w:color w:val="auto"/>
          <w:sz w:val="21"/>
          <w:szCs w:val="21"/>
          <w:highlight w:val="none"/>
        </w:rPr>
      </w:pPr>
      <w:r>
        <w:rPr>
          <w:rFonts w:ascii="Times New Roman" w:eastAsia="仿宋_GB2312"/>
          <w:b w:val="0"/>
          <w:bCs w:val="0"/>
          <w:color w:val="auto"/>
          <w:sz w:val="21"/>
          <w:szCs w:val="21"/>
          <w:highlight w:val="none"/>
        </w:rPr>
        <w:t>单位：km</w:t>
      </w:r>
    </w:p>
    <w:tbl>
      <w:tblPr>
        <w:tblStyle w:val="88"/>
        <w:tblpPr w:leftFromText="180" w:rightFromText="180" w:vertAnchor="text" w:horzAnchor="page" w:tblpX="1128" w:tblpY="260"/>
        <w:tblOverlap w:val="never"/>
        <w:tblW w:w="5000" w:type="pct"/>
        <w:tblInd w:w="0" w:type="dxa"/>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1"/>
        <w:gridCol w:w="634"/>
        <w:gridCol w:w="572"/>
        <w:gridCol w:w="776"/>
        <w:gridCol w:w="634"/>
        <w:gridCol w:w="642"/>
        <w:gridCol w:w="773"/>
        <w:gridCol w:w="637"/>
        <w:gridCol w:w="572"/>
        <w:gridCol w:w="811"/>
        <w:gridCol w:w="572"/>
        <w:gridCol w:w="572"/>
        <w:gridCol w:w="811"/>
        <w:gridCol w:w="640"/>
        <w:gridCol w:w="572"/>
        <w:gridCol w:w="776"/>
        <w:gridCol w:w="640"/>
        <w:gridCol w:w="572"/>
        <w:gridCol w:w="811"/>
        <w:gridCol w:w="573"/>
        <w:gridCol w:w="573"/>
        <w:gridCol w:w="812"/>
      </w:tblGrid>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trPr>
        <w:tc>
          <w:tcPr>
            <w:tcW w:w="264" w:type="pct"/>
            <w:vMerge w:val="restart"/>
            <w:tcBorders>
              <w:tl2br w:val="nil"/>
              <w:tr2bl w:val="nil"/>
            </w:tcBorders>
            <w:noWrap/>
            <w:vAlign w:val="center"/>
          </w:tcPr>
          <w:p>
            <w:pPr>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河流分类</w:t>
            </w:r>
          </w:p>
        </w:tc>
        <w:tc>
          <w:tcPr>
            <w:tcW w:w="681" w:type="pct"/>
            <w:gridSpan w:val="3"/>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规划汇总</w:t>
            </w:r>
          </w:p>
        </w:tc>
        <w:tc>
          <w:tcPr>
            <w:tcW w:w="2026" w:type="pct"/>
            <w:gridSpan w:val="9"/>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县城及以上河段</w:t>
            </w:r>
          </w:p>
        </w:tc>
        <w:tc>
          <w:tcPr>
            <w:tcW w:w="2027" w:type="pct"/>
            <w:gridSpan w:val="9"/>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乡镇河段</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64" w:type="pct"/>
            <w:vMerge w:val="continue"/>
            <w:tcBorders>
              <w:tl2br w:val="nil"/>
              <w:tr2bl w:val="nil"/>
            </w:tcBorders>
            <w:noWrap/>
            <w:vAlign w:val="center"/>
          </w:tcPr>
          <w:p>
            <w:pPr>
              <w:jc w:val="center"/>
              <w:textAlignment w:val="center"/>
              <w:rPr>
                <w:rFonts w:eastAsia="楷体"/>
                <w:color w:val="auto"/>
                <w:w w:val="80"/>
                <w:kern w:val="0"/>
                <w:sz w:val="21"/>
                <w:szCs w:val="21"/>
                <w:highlight w:val="none"/>
              </w:rPr>
            </w:pPr>
          </w:p>
        </w:tc>
        <w:tc>
          <w:tcPr>
            <w:tcW w:w="415" w:type="pct"/>
            <w:gridSpan w:val="2"/>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5" w:type="pct"/>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415" w:type="pct"/>
            <w:gridSpan w:val="2"/>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规划新建</w:t>
            </w:r>
          </w:p>
        </w:tc>
        <w:tc>
          <w:tcPr>
            <w:tcW w:w="265" w:type="pct"/>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682" w:type="pct"/>
            <w:gridSpan w:val="3"/>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663" w:type="pct"/>
            <w:gridSpan w:val="3"/>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c>
          <w:tcPr>
            <w:tcW w:w="417" w:type="pct"/>
            <w:gridSpan w:val="2"/>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6" w:type="pct"/>
            <w:vMerge w:val="restar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683" w:type="pct"/>
            <w:gridSpan w:val="3"/>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660" w:type="pct"/>
            <w:gridSpan w:val="3"/>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3" w:hRule="atLeast"/>
        </w:trPr>
        <w:tc>
          <w:tcPr>
            <w:tcW w:w="264" w:type="pct"/>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415" w:type="pct"/>
            <w:gridSpan w:val="2"/>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265" w:type="pct"/>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415" w:type="pct"/>
            <w:gridSpan w:val="2"/>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265" w:type="pct"/>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416" w:type="pct"/>
            <w:gridSpan w:val="2"/>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6"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394" w:type="pct"/>
            <w:gridSpan w:val="2"/>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9"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417" w:type="pct"/>
            <w:gridSpan w:val="2"/>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266" w:type="pct"/>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417" w:type="pct"/>
            <w:gridSpan w:val="2"/>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6"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394" w:type="pct"/>
            <w:gridSpan w:val="2"/>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266"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64" w:type="pct"/>
            <w:vMerge w:val="continue"/>
            <w:tcBorders>
              <w:tl2br w:val="nil"/>
              <w:tr2bl w:val="nil"/>
            </w:tcBorders>
            <w:noWrap/>
            <w:vAlign w:val="center"/>
          </w:tcPr>
          <w:p>
            <w:pPr>
              <w:widowControl/>
              <w:jc w:val="center"/>
              <w:textAlignment w:val="center"/>
              <w:rPr>
                <w:rFonts w:eastAsia="楷体"/>
                <w:color w:val="auto"/>
                <w:w w:val="80"/>
                <w:kern w:val="0"/>
                <w:sz w:val="21"/>
                <w:szCs w:val="21"/>
                <w:highlight w:val="none"/>
              </w:rPr>
            </w:pPr>
          </w:p>
        </w:tc>
        <w:tc>
          <w:tcPr>
            <w:tcW w:w="218"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5"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218"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5"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219"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9"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220"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220"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197"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266" w:type="pct"/>
            <w:tcBorders>
              <w:tl2br w:val="nil"/>
              <w:tr2bl w:val="nil"/>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64"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干流</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337 </w:t>
            </w:r>
          </w:p>
        </w:tc>
        <w:tc>
          <w:tcPr>
            <w:tcW w:w="19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37.0 </w:t>
            </w: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20.7 </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136 </w:t>
            </w:r>
          </w:p>
        </w:tc>
        <w:tc>
          <w:tcPr>
            <w:tcW w:w="19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12.91</w:t>
            </w: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21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111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24.8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w:t>
            </w:r>
          </w:p>
        </w:tc>
        <w:tc>
          <w:tcPr>
            <w:tcW w:w="269" w:type="pct"/>
            <w:tcBorders>
              <w:tl2br w:val="nil"/>
              <w:tr2bl w:val="nil"/>
            </w:tcBorders>
            <w:noWrap/>
            <w:vAlign w:val="center"/>
          </w:tcPr>
          <w:p>
            <w:pPr>
              <w:jc w:val="center"/>
              <w:rPr>
                <w:rFonts w:eastAsia="楷体"/>
                <w:color w:val="auto"/>
                <w:w w:val="80"/>
                <w:kern w:val="0"/>
                <w:sz w:val="21"/>
                <w:szCs w:val="21"/>
                <w:highlight w:val="none"/>
              </w:rPr>
            </w:pP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201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24.1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13.1 </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149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13.1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51.4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13.3</w:t>
            </w:r>
          </w:p>
        </w:tc>
        <w:tc>
          <w:tcPr>
            <w:tcW w:w="266" w:type="pct"/>
            <w:tcBorders>
              <w:tl2br w:val="nil"/>
              <w:tr2bl w:val="nil"/>
            </w:tcBorders>
            <w:noWrap/>
            <w:vAlign w:val="center"/>
          </w:tcPr>
          <w:p>
            <w:pPr>
              <w:jc w:val="center"/>
              <w:rPr>
                <w:rFonts w:eastAsia="楷体"/>
                <w:color w:val="auto"/>
                <w:w w:val="80"/>
                <w:kern w:val="0"/>
                <w:sz w:val="21"/>
                <w:szCs w:val="21"/>
                <w:highlight w:val="none"/>
              </w:rPr>
            </w:pP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64"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主要支流</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c>
          <w:tcPr>
            <w:tcW w:w="196" w:type="pct"/>
            <w:tcBorders>
              <w:tl2br w:val="nil"/>
              <w:tr2bl w:val="nil"/>
            </w:tcBorders>
            <w:noWrap/>
            <w:vAlign w:val="center"/>
          </w:tcPr>
          <w:p>
            <w:pPr>
              <w:jc w:val="center"/>
              <w:rPr>
                <w:rFonts w:eastAsia="楷体"/>
                <w:color w:val="auto"/>
                <w:w w:val="80"/>
                <w:kern w:val="0"/>
                <w:sz w:val="21"/>
                <w:szCs w:val="21"/>
                <w:highlight w:val="none"/>
              </w:rPr>
            </w:pP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7.64</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16.9 </w:t>
            </w:r>
          </w:p>
        </w:tc>
        <w:tc>
          <w:tcPr>
            <w:tcW w:w="196" w:type="pct"/>
            <w:tcBorders>
              <w:tl2br w:val="nil"/>
              <w:tr2bl w:val="nil"/>
            </w:tcBorders>
            <w:noWrap/>
            <w:vAlign w:val="center"/>
          </w:tcPr>
          <w:p>
            <w:pPr>
              <w:jc w:val="center"/>
              <w:rPr>
                <w:rFonts w:eastAsia="楷体"/>
                <w:color w:val="auto"/>
                <w:w w:val="80"/>
                <w:kern w:val="0"/>
                <w:sz w:val="21"/>
                <w:szCs w:val="21"/>
                <w:highlight w:val="none"/>
              </w:rPr>
            </w:pP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7.64</w:t>
            </w:r>
          </w:p>
        </w:tc>
        <w:tc>
          <w:tcPr>
            <w:tcW w:w="21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13.9 </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2.64</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112 </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6" w:type="pct"/>
            <w:tcBorders>
              <w:tl2br w:val="nil"/>
              <w:tr2bl w:val="nil"/>
            </w:tcBorders>
            <w:noWrap/>
            <w:vAlign w:val="center"/>
          </w:tcPr>
          <w:p>
            <w:pPr>
              <w:jc w:val="center"/>
              <w:rPr>
                <w:rFonts w:eastAsia="楷体"/>
                <w:color w:val="auto"/>
                <w:w w:val="80"/>
                <w:kern w:val="0"/>
                <w:sz w:val="21"/>
                <w:szCs w:val="21"/>
                <w:highlight w:val="none"/>
              </w:rPr>
            </w:pP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101 </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6" w:type="pct"/>
            <w:tcBorders>
              <w:tl2br w:val="nil"/>
              <w:tr2bl w:val="nil"/>
            </w:tcBorders>
            <w:noWrap/>
            <w:vAlign w:val="center"/>
          </w:tcPr>
          <w:p>
            <w:pPr>
              <w:jc w:val="center"/>
              <w:rPr>
                <w:rFonts w:eastAsia="楷体"/>
                <w:color w:val="auto"/>
                <w:w w:val="80"/>
                <w:kern w:val="0"/>
                <w:sz w:val="21"/>
                <w:szCs w:val="21"/>
                <w:highlight w:val="none"/>
              </w:rPr>
            </w:pP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11.5</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6" w:type="pct"/>
            <w:tcBorders>
              <w:tl2br w:val="nil"/>
              <w:tr2bl w:val="nil"/>
            </w:tcBorders>
            <w:noWrap/>
            <w:vAlign w:val="center"/>
          </w:tcPr>
          <w:p>
            <w:pPr>
              <w:jc w:val="center"/>
              <w:rPr>
                <w:rFonts w:eastAsia="楷体"/>
                <w:color w:val="auto"/>
                <w:w w:val="80"/>
                <w:kern w:val="0"/>
                <w:sz w:val="21"/>
                <w:szCs w:val="21"/>
                <w:highlight w:val="none"/>
              </w:rPr>
            </w:pP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64"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中小河流</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626 </w:t>
            </w:r>
          </w:p>
        </w:tc>
        <w:tc>
          <w:tcPr>
            <w:tcW w:w="19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109 </w:t>
            </w:r>
          </w:p>
        </w:tc>
        <w:tc>
          <w:tcPr>
            <w:tcW w:w="196" w:type="pct"/>
            <w:tcBorders>
              <w:tl2br w:val="nil"/>
              <w:tr2bl w:val="nil"/>
            </w:tcBorders>
            <w:noWrap/>
            <w:vAlign w:val="center"/>
          </w:tcPr>
          <w:p>
            <w:pPr>
              <w:jc w:val="center"/>
              <w:rPr>
                <w:rFonts w:eastAsia="楷体"/>
                <w:color w:val="auto"/>
                <w:w w:val="80"/>
                <w:kern w:val="0"/>
                <w:sz w:val="21"/>
                <w:szCs w:val="21"/>
                <w:highlight w:val="none"/>
              </w:rPr>
            </w:pP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24.1 </w:t>
            </w:r>
          </w:p>
        </w:tc>
        <w:tc>
          <w:tcPr>
            <w:tcW w:w="21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95.5</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14.1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w:t>
            </w:r>
          </w:p>
        </w:tc>
        <w:tc>
          <w:tcPr>
            <w:tcW w:w="197" w:type="pct"/>
            <w:tcBorders>
              <w:tl2br w:val="nil"/>
              <w:tr2bl w:val="nil"/>
            </w:tcBorders>
            <w:noWrap/>
            <w:vAlign w:val="center"/>
          </w:tcPr>
          <w:p>
            <w:pPr>
              <w:jc w:val="center"/>
              <w:rPr>
                <w:rFonts w:eastAsia="楷体"/>
                <w:color w:val="auto"/>
                <w:w w:val="80"/>
                <w:kern w:val="0"/>
                <w:sz w:val="21"/>
                <w:szCs w:val="21"/>
                <w:highlight w:val="none"/>
              </w:rPr>
            </w:pPr>
          </w:p>
        </w:tc>
        <w:tc>
          <w:tcPr>
            <w:tcW w:w="26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517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101.3</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282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49.1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89</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235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98.9</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w:t>
            </w:r>
          </w:p>
        </w:tc>
      </w:tr>
      <w:tr>
        <w:tblPrEx>
          <w:tblBorders>
            <w:top w:val="single" w:color="000000" w:sz="8" w:space="0"/>
            <w:left w:val="single" w:color="000000" w:sz="8" w:space="0"/>
            <w:bottom w:val="single" w:color="000000" w:sz="8"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264" w:type="pct"/>
            <w:tcBorders>
              <w:tl2br w:val="nil"/>
              <w:tr2bl w:val="nil"/>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合计</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1092 </w:t>
            </w:r>
          </w:p>
        </w:tc>
        <w:tc>
          <w:tcPr>
            <w:tcW w:w="19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185 </w:t>
            </w: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154 </w:t>
            </w:r>
          </w:p>
        </w:tc>
        <w:tc>
          <w:tcPr>
            <w:tcW w:w="218"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263 </w:t>
            </w:r>
          </w:p>
        </w:tc>
        <w:tc>
          <w:tcPr>
            <w:tcW w:w="19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c>
          <w:tcPr>
            <w:tcW w:w="265"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39.3 </w:t>
            </w:r>
          </w:p>
        </w:tc>
        <w:tc>
          <w:tcPr>
            <w:tcW w:w="21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221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24.3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41.2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w:t>
            </w:r>
          </w:p>
        </w:tc>
        <w:tc>
          <w:tcPr>
            <w:tcW w:w="269"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830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172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114 </w:t>
            </w:r>
          </w:p>
        </w:tc>
        <w:tc>
          <w:tcPr>
            <w:tcW w:w="220"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532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59.9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102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298 </w:t>
            </w:r>
          </w:p>
        </w:tc>
        <w:tc>
          <w:tcPr>
            <w:tcW w:w="197"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112 </w:t>
            </w:r>
          </w:p>
        </w:tc>
        <w:tc>
          <w:tcPr>
            <w:tcW w:w="266" w:type="pct"/>
            <w:tcBorders>
              <w:tl2br w:val="nil"/>
              <w:tr2bl w:val="nil"/>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w:t>
            </w:r>
          </w:p>
        </w:tc>
      </w:tr>
    </w:tbl>
    <w:p>
      <w:pPr>
        <w:pStyle w:val="6"/>
        <w:spacing w:beforeLines="0" w:line="280" w:lineRule="exact"/>
        <w:ind w:firstLine="0"/>
        <w:jc w:val="both"/>
        <w:rPr>
          <w:rFonts w:ascii="Times New Roman"/>
          <w:b w:val="0"/>
          <w:bCs w:val="0"/>
          <w:color w:val="auto"/>
          <w:sz w:val="28"/>
          <w:highlight w:val="none"/>
        </w:rPr>
      </w:pPr>
    </w:p>
    <w:p>
      <w:pPr>
        <w:pStyle w:val="6"/>
        <w:spacing w:beforeLines="0" w:line="280" w:lineRule="exact"/>
        <w:ind w:firstLine="0"/>
        <w:jc w:val="both"/>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6</w:t>
      </w:r>
      <w:r>
        <w:rPr>
          <w:rFonts w:ascii="Times New Roman"/>
          <w:b w:val="0"/>
          <w:bCs w:val="0"/>
          <w:color w:val="auto"/>
          <w:sz w:val="28"/>
          <w:highlight w:val="none"/>
        </w:rPr>
        <w:t xml:space="preserve">                                   沱江干流堤防护岸规划</w:t>
      </w:r>
      <w:r>
        <w:rPr>
          <w:rFonts w:hint="eastAsia" w:ascii="Times New Roman"/>
          <w:b w:val="0"/>
          <w:bCs w:val="0"/>
          <w:color w:val="auto"/>
          <w:sz w:val="28"/>
          <w:highlight w:val="none"/>
          <w:lang w:val="en-US" w:eastAsia="zh-CN"/>
        </w:rPr>
        <w:t>情况</w:t>
      </w:r>
      <w:r>
        <w:rPr>
          <w:rFonts w:ascii="Times New Roman"/>
          <w:b w:val="0"/>
          <w:bCs w:val="0"/>
          <w:color w:val="auto"/>
          <w:sz w:val="28"/>
          <w:highlight w:val="none"/>
        </w:rPr>
        <w:t xml:space="preserve">表  </w:t>
      </w:r>
    </w:p>
    <w:p>
      <w:pPr>
        <w:pStyle w:val="6"/>
        <w:spacing w:beforeLines="0" w:line="280" w:lineRule="exact"/>
        <w:ind w:firstLine="0"/>
        <w:jc w:val="right"/>
        <w:rPr>
          <w:rFonts w:ascii="Times New Roman" w:eastAsia="仿宋_GB2312"/>
          <w:b w:val="0"/>
          <w:bCs w:val="0"/>
          <w:color w:val="auto"/>
          <w:sz w:val="21"/>
          <w:szCs w:val="21"/>
          <w:highlight w:val="none"/>
        </w:rPr>
      </w:pPr>
      <w:r>
        <w:rPr>
          <w:rFonts w:ascii="Times New Roman" w:eastAsia="仿宋_GB2312"/>
          <w:b w:val="0"/>
          <w:bCs w:val="0"/>
          <w:color w:val="auto"/>
          <w:sz w:val="21"/>
          <w:szCs w:val="21"/>
          <w:highlight w:val="none"/>
        </w:rPr>
        <w:t>单位：km</w:t>
      </w:r>
    </w:p>
    <w:tbl>
      <w:tblPr>
        <w:tblStyle w:val="88"/>
        <w:tblW w:w="0" w:type="auto"/>
        <w:tblInd w:w="0" w:type="dxa"/>
        <w:tblLayout w:type="fixed"/>
        <w:tblCellMar>
          <w:top w:w="0" w:type="dxa"/>
          <w:left w:w="108" w:type="dxa"/>
          <w:bottom w:w="0" w:type="dxa"/>
          <w:right w:w="108" w:type="dxa"/>
        </w:tblCellMar>
      </w:tblPr>
      <w:tblGrid>
        <w:gridCol w:w="663"/>
        <w:gridCol w:w="663"/>
        <w:gridCol w:w="592"/>
        <w:gridCol w:w="802"/>
        <w:gridCol w:w="663"/>
        <w:gridCol w:w="592"/>
        <w:gridCol w:w="802"/>
        <w:gridCol w:w="663"/>
        <w:gridCol w:w="592"/>
        <w:gridCol w:w="807"/>
        <w:gridCol w:w="696"/>
        <w:gridCol w:w="664"/>
        <w:gridCol w:w="558"/>
        <w:gridCol w:w="662"/>
        <w:gridCol w:w="591"/>
        <w:gridCol w:w="801"/>
        <w:gridCol w:w="662"/>
        <w:gridCol w:w="591"/>
        <w:gridCol w:w="804"/>
        <w:gridCol w:w="591"/>
        <w:gridCol w:w="641"/>
        <w:gridCol w:w="686"/>
      </w:tblGrid>
      <w:tr>
        <w:trPr>
          <w:trHeight w:val="310" w:hRule="atLeast"/>
        </w:trPr>
        <w:tc>
          <w:tcPr>
            <w:tcW w:w="663" w:type="dxa"/>
            <w:vMerge w:val="restart"/>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地级市</w:t>
            </w:r>
          </w:p>
        </w:tc>
        <w:tc>
          <w:tcPr>
            <w:tcW w:w="1255" w:type="dxa"/>
            <w:gridSpan w:val="2"/>
            <w:vMerge w:val="restart"/>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02" w:type="dxa"/>
            <w:vMerge w:val="restart"/>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6037" w:type="dxa"/>
            <w:gridSpan w:val="9"/>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县城及以上河段</w:t>
            </w:r>
          </w:p>
        </w:tc>
        <w:tc>
          <w:tcPr>
            <w:tcW w:w="6029" w:type="dxa"/>
            <w:gridSpan w:val="9"/>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乡镇河段</w:t>
            </w:r>
          </w:p>
        </w:tc>
      </w:tr>
      <w:tr>
        <w:tblPrEx>
          <w:tblCellMar>
            <w:top w:w="0" w:type="dxa"/>
            <w:left w:w="108" w:type="dxa"/>
            <w:bottom w:w="0" w:type="dxa"/>
            <w:right w:w="108" w:type="dxa"/>
          </w:tblCellMar>
        </w:tblPrEx>
        <w:trPr>
          <w:trHeight w:val="280" w:hRule="atLeast"/>
        </w:trPr>
        <w:tc>
          <w:tcPr>
            <w:tcW w:w="663" w:type="dxa"/>
            <w:vMerge w:val="continue"/>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5"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02"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5" w:type="dxa"/>
            <w:gridSpan w:val="2"/>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02"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2062"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1918"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c>
          <w:tcPr>
            <w:tcW w:w="1253" w:type="dxa"/>
            <w:gridSpan w:val="2"/>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01"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2057"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1918"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r>
      <w:tr>
        <w:tblPrEx>
          <w:tblCellMar>
            <w:top w:w="0" w:type="dxa"/>
            <w:left w:w="108" w:type="dxa"/>
            <w:bottom w:w="0" w:type="dxa"/>
            <w:right w:w="108" w:type="dxa"/>
          </w:tblCellMar>
        </w:tblPrEx>
        <w:trPr>
          <w:trHeight w:val="280" w:hRule="atLeast"/>
        </w:trPr>
        <w:tc>
          <w:tcPr>
            <w:tcW w:w="663" w:type="dxa"/>
            <w:vMerge w:val="continue"/>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5"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02"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02" w:type="dxa"/>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5"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0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1360"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55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1253"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01" w:type="dxa"/>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53"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0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1232"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686"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r>
      <w:tr>
        <w:trPr>
          <w:trHeight w:val="280" w:hRule="atLeast"/>
        </w:trPr>
        <w:tc>
          <w:tcPr>
            <w:tcW w:w="663" w:type="dxa"/>
            <w:vMerge w:val="continue"/>
            <w:tcBorders>
              <w:top w:val="single" w:color="000000" w:sz="8" w:space="0"/>
              <w:left w:val="single" w:color="000000" w:sz="8" w:space="0"/>
              <w:bottom w:val="single" w:color="auto"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0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3"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0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3"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07"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96"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4"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558"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1"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01"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2"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1"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04"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1"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41" w:type="dxa"/>
            <w:tcBorders>
              <w:top w:val="single" w:color="000000" w:sz="4" w:space="0"/>
              <w:left w:val="single" w:color="000000" w:sz="4"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686" w:type="dxa"/>
            <w:tcBorders>
              <w:top w:val="single" w:color="000000" w:sz="4" w:space="0"/>
              <w:left w:val="single" w:color="000000" w:sz="4" w:space="0"/>
              <w:bottom w:val="single" w:color="000000" w:sz="4" w:space="0"/>
              <w:right w:val="single" w:color="000000" w:sz="8"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r>
      <w:tr>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德阳市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2.05</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11.4 </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0.96</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4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成都市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105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5.8</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1.97</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76.7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76.7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28.6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5.8</w:t>
            </w:r>
          </w:p>
        </w:tc>
        <w:tc>
          <w:tcPr>
            <w:tcW w:w="80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28.6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5.8</w:t>
            </w:r>
          </w:p>
        </w:tc>
        <w:tc>
          <w:tcPr>
            <w:tcW w:w="8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4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资阳市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64.4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6.6</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10.6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8.42</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2.13</w:t>
            </w: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53.8</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6.6</w:t>
            </w:r>
          </w:p>
        </w:tc>
        <w:tc>
          <w:tcPr>
            <w:tcW w:w="80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28.3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25.5 </w:t>
            </w:r>
          </w:p>
        </w:tc>
        <w:tc>
          <w:tcPr>
            <w:tcW w:w="6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6.6</w:t>
            </w: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内江市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71.7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16.2 </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29.8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4.51</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7.12</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8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22.64</w:t>
            </w:r>
          </w:p>
        </w:tc>
        <w:tc>
          <w:tcPr>
            <w:tcW w:w="66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w:t>
            </w: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42.0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11.7 </w:t>
            </w:r>
          </w:p>
        </w:tc>
        <w:tc>
          <w:tcPr>
            <w:tcW w:w="80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16.0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4.96</w:t>
            </w:r>
          </w:p>
        </w:tc>
        <w:tc>
          <w:tcPr>
            <w:tcW w:w="80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26.0 </w:t>
            </w:r>
          </w:p>
        </w:tc>
        <w:tc>
          <w:tcPr>
            <w:tcW w:w="6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6.7</w:t>
            </w: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自贡市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38.9 </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36.1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36.1 </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4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3"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泸州市</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54.3</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8.4</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7.32</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15.2</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8.4</w:t>
            </w:r>
          </w:p>
        </w:tc>
        <w:tc>
          <w:tcPr>
            <w:tcW w:w="8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6.42</w:t>
            </w:r>
          </w:p>
        </w:tc>
        <w:tc>
          <w:tcPr>
            <w:tcW w:w="66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15.2</w:t>
            </w:r>
          </w:p>
        </w:tc>
        <w:tc>
          <w:tcPr>
            <w:tcW w:w="59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8.4</w:t>
            </w:r>
          </w:p>
        </w:tc>
        <w:tc>
          <w:tcPr>
            <w:tcW w:w="8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6.42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5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39.1</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w:t>
            </w:r>
          </w:p>
        </w:tc>
        <w:tc>
          <w:tcPr>
            <w:tcW w:w="66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39.1</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0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0.9</w:t>
            </w:r>
          </w:p>
        </w:tc>
        <w:tc>
          <w:tcPr>
            <w:tcW w:w="59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4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6"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95" w:hRule="atLeast"/>
        </w:trPr>
        <w:tc>
          <w:tcPr>
            <w:tcW w:w="663" w:type="dxa"/>
            <w:tcBorders>
              <w:top w:val="single" w:color="000000" w:sz="4" w:space="0"/>
              <w:left w:val="single" w:color="000000" w:sz="8" w:space="0"/>
              <w:bottom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合计</w:t>
            </w:r>
          </w:p>
        </w:tc>
        <w:tc>
          <w:tcPr>
            <w:tcW w:w="66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337</w:t>
            </w:r>
          </w:p>
        </w:tc>
        <w:tc>
          <w:tcPr>
            <w:tcW w:w="59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37.0 </w:t>
            </w:r>
          </w:p>
        </w:tc>
        <w:tc>
          <w:tcPr>
            <w:tcW w:w="80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20.7 </w:t>
            </w:r>
          </w:p>
        </w:tc>
        <w:tc>
          <w:tcPr>
            <w:tcW w:w="66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136 </w:t>
            </w:r>
          </w:p>
        </w:tc>
        <w:tc>
          <w:tcPr>
            <w:tcW w:w="59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c>
          <w:tcPr>
            <w:tcW w:w="80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66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111 </w:t>
            </w:r>
          </w:p>
        </w:tc>
        <w:tc>
          <w:tcPr>
            <w:tcW w:w="59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w:t>
            </w:r>
          </w:p>
        </w:tc>
        <w:tc>
          <w:tcPr>
            <w:tcW w:w="807"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696"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24.77</w:t>
            </w:r>
          </w:p>
        </w:tc>
        <w:tc>
          <w:tcPr>
            <w:tcW w:w="66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3.31</w:t>
            </w:r>
          </w:p>
        </w:tc>
        <w:tc>
          <w:tcPr>
            <w:tcW w:w="558"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66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201 </w:t>
            </w:r>
          </w:p>
        </w:tc>
        <w:tc>
          <w:tcPr>
            <w:tcW w:w="59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24.1 </w:t>
            </w:r>
          </w:p>
        </w:tc>
        <w:tc>
          <w:tcPr>
            <w:tcW w:w="80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13.1 </w:t>
            </w:r>
          </w:p>
        </w:tc>
        <w:tc>
          <w:tcPr>
            <w:tcW w:w="66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149 </w:t>
            </w:r>
          </w:p>
        </w:tc>
        <w:tc>
          <w:tcPr>
            <w:tcW w:w="59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80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13.1 </w:t>
            </w:r>
          </w:p>
        </w:tc>
        <w:tc>
          <w:tcPr>
            <w:tcW w:w="59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51.4 </w:t>
            </w:r>
          </w:p>
        </w:tc>
        <w:tc>
          <w:tcPr>
            <w:tcW w:w="64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13.3</w:t>
            </w:r>
          </w:p>
        </w:tc>
        <w:tc>
          <w:tcPr>
            <w:tcW w:w="686" w:type="dxa"/>
            <w:tcBorders>
              <w:top w:val="single" w:color="000000" w:sz="4" w:space="0"/>
              <w:left w:val="single" w:color="000000" w:sz="4" w:space="0"/>
              <w:bottom w:val="single" w:color="000000" w:sz="8" w:space="0"/>
              <w:right w:val="single" w:color="000000" w:sz="8" w:space="0"/>
            </w:tcBorders>
            <w:noWrap/>
            <w:vAlign w:val="center"/>
          </w:tcPr>
          <w:p>
            <w:pPr>
              <w:rPr>
                <w:rFonts w:eastAsia="楷体"/>
                <w:color w:val="auto"/>
                <w:w w:val="80"/>
                <w:kern w:val="0"/>
                <w:sz w:val="21"/>
                <w:szCs w:val="21"/>
                <w:highlight w:val="none"/>
              </w:rPr>
            </w:pPr>
          </w:p>
        </w:tc>
      </w:tr>
    </w:tbl>
    <w:p>
      <w:pPr>
        <w:pStyle w:val="6"/>
        <w:spacing w:beforeLines="0" w:line="280" w:lineRule="exact"/>
        <w:ind w:firstLine="0"/>
        <w:jc w:val="both"/>
        <w:rPr>
          <w:rFonts w:ascii="Times New Roman"/>
          <w:b w:val="0"/>
          <w:bCs w:val="0"/>
          <w:color w:val="auto"/>
          <w:sz w:val="28"/>
          <w:highlight w:val="none"/>
        </w:rPr>
      </w:pPr>
    </w:p>
    <w:p>
      <w:pPr>
        <w:pStyle w:val="6"/>
        <w:spacing w:beforeLines="0" w:line="280" w:lineRule="exact"/>
        <w:ind w:firstLine="0"/>
        <w:jc w:val="both"/>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7</w:t>
      </w:r>
      <w:r>
        <w:rPr>
          <w:rFonts w:ascii="Times New Roman"/>
          <w:b w:val="0"/>
          <w:bCs w:val="0"/>
          <w:color w:val="auto"/>
          <w:sz w:val="28"/>
          <w:highlight w:val="none"/>
        </w:rPr>
        <w:t xml:space="preserve">                                 沱江主要支流堤防护岸规划</w:t>
      </w:r>
      <w:r>
        <w:rPr>
          <w:rFonts w:hint="eastAsia" w:ascii="Times New Roman"/>
          <w:b w:val="0"/>
          <w:bCs w:val="0"/>
          <w:color w:val="auto"/>
          <w:sz w:val="28"/>
          <w:highlight w:val="none"/>
          <w:lang w:val="en-US" w:eastAsia="zh-CN"/>
        </w:rPr>
        <w:t>情况</w:t>
      </w:r>
      <w:r>
        <w:rPr>
          <w:rFonts w:ascii="Times New Roman"/>
          <w:b w:val="0"/>
          <w:bCs w:val="0"/>
          <w:color w:val="auto"/>
          <w:sz w:val="28"/>
          <w:highlight w:val="none"/>
        </w:rPr>
        <w:t xml:space="preserve">表  </w:t>
      </w:r>
    </w:p>
    <w:p>
      <w:pPr>
        <w:pStyle w:val="6"/>
        <w:spacing w:beforeLines="0" w:line="280" w:lineRule="exact"/>
        <w:ind w:firstLine="0"/>
        <w:jc w:val="right"/>
        <w:rPr>
          <w:rFonts w:ascii="Times New Roman" w:eastAsia="仿宋_GB2312"/>
          <w:b w:val="0"/>
          <w:bCs w:val="0"/>
          <w:color w:val="auto"/>
          <w:sz w:val="21"/>
          <w:szCs w:val="21"/>
          <w:highlight w:val="none"/>
        </w:rPr>
      </w:pPr>
      <w:r>
        <w:rPr>
          <w:rFonts w:ascii="Times New Roman" w:eastAsia="仿宋_GB2312"/>
          <w:b w:val="0"/>
          <w:bCs w:val="0"/>
          <w:color w:val="auto"/>
          <w:sz w:val="21"/>
          <w:szCs w:val="21"/>
          <w:highlight w:val="none"/>
        </w:rPr>
        <w:t xml:space="preserve">  单位：km</w:t>
      </w:r>
    </w:p>
    <w:tbl>
      <w:tblPr>
        <w:tblStyle w:val="88"/>
        <w:tblpPr w:leftFromText="180" w:rightFromText="180" w:vertAnchor="text" w:horzAnchor="page" w:tblpX="1128" w:tblpY="258"/>
        <w:tblOverlap w:val="never"/>
        <w:tblW w:w="0" w:type="auto"/>
        <w:tblInd w:w="0" w:type="dxa"/>
        <w:tblLayout w:type="fixed"/>
        <w:tblCellMar>
          <w:top w:w="0" w:type="dxa"/>
          <w:left w:w="108" w:type="dxa"/>
          <w:bottom w:w="0" w:type="dxa"/>
          <w:right w:w="108" w:type="dxa"/>
        </w:tblCellMar>
      </w:tblPr>
      <w:tblGrid>
        <w:gridCol w:w="690"/>
        <w:gridCol w:w="689"/>
        <w:gridCol w:w="544"/>
        <w:gridCol w:w="834"/>
        <w:gridCol w:w="615"/>
        <w:gridCol w:w="544"/>
        <w:gridCol w:w="834"/>
        <w:gridCol w:w="615"/>
        <w:gridCol w:w="544"/>
        <w:gridCol w:w="834"/>
        <w:gridCol w:w="544"/>
        <w:gridCol w:w="544"/>
        <w:gridCol w:w="834"/>
        <w:gridCol w:w="689"/>
        <w:gridCol w:w="544"/>
        <w:gridCol w:w="834"/>
        <w:gridCol w:w="689"/>
        <w:gridCol w:w="544"/>
        <w:gridCol w:w="834"/>
        <w:gridCol w:w="615"/>
        <w:gridCol w:w="544"/>
        <w:gridCol w:w="828"/>
      </w:tblGrid>
      <w:tr>
        <w:tblPrEx>
          <w:tblCellMar>
            <w:top w:w="0" w:type="dxa"/>
            <w:left w:w="108" w:type="dxa"/>
            <w:bottom w:w="0" w:type="dxa"/>
            <w:right w:w="108" w:type="dxa"/>
          </w:tblCellMar>
        </w:tblPrEx>
        <w:trPr>
          <w:trHeight w:val="310" w:hRule="atLeast"/>
        </w:trPr>
        <w:tc>
          <w:tcPr>
            <w:tcW w:w="690" w:type="dxa"/>
            <w:vMerge w:val="restart"/>
            <w:tcBorders>
              <w:top w:val="single" w:color="000000" w:sz="8" w:space="0"/>
              <w:left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地级市</w:t>
            </w:r>
          </w:p>
        </w:tc>
        <w:tc>
          <w:tcPr>
            <w:tcW w:w="1233" w:type="dxa"/>
            <w:gridSpan w:val="2"/>
            <w:vMerge w:val="restart"/>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vMerge w:val="restart"/>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5908" w:type="dxa"/>
            <w:gridSpan w:val="9"/>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县城及以上河段</w:t>
            </w:r>
          </w:p>
        </w:tc>
        <w:tc>
          <w:tcPr>
            <w:tcW w:w="6121" w:type="dxa"/>
            <w:gridSpan w:val="9"/>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乡镇河段</w:t>
            </w:r>
          </w:p>
        </w:tc>
      </w:tr>
      <w:tr>
        <w:tblPrEx>
          <w:tblCellMar>
            <w:top w:w="0" w:type="dxa"/>
            <w:left w:w="108" w:type="dxa"/>
            <w:bottom w:w="0" w:type="dxa"/>
            <w:right w:w="108" w:type="dxa"/>
          </w:tblCellMar>
        </w:tblPrEx>
        <w:trPr>
          <w:trHeight w:val="280" w:hRule="atLeast"/>
        </w:trPr>
        <w:tc>
          <w:tcPr>
            <w:tcW w:w="690" w:type="dxa"/>
            <w:vMerge w:val="continue"/>
            <w:tcBorders>
              <w:left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33"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34"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59" w:type="dxa"/>
            <w:gridSpan w:val="2"/>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993"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1922"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c>
          <w:tcPr>
            <w:tcW w:w="1233"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2067"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1987"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r>
      <w:tr>
        <w:tblPrEx>
          <w:tblCellMar>
            <w:top w:w="0" w:type="dxa"/>
            <w:left w:w="108" w:type="dxa"/>
            <w:bottom w:w="0" w:type="dxa"/>
            <w:right w:w="108" w:type="dxa"/>
          </w:tblCellMar>
        </w:tblPrEx>
        <w:trPr>
          <w:trHeight w:val="280" w:hRule="atLeast"/>
        </w:trPr>
        <w:tc>
          <w:tcPr>
            <w:tcW w:w="690" w:type="dxa"/>
            <w:vMerge w:val="continue"/>
            <w:tcBorders>
              <w:left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33"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34"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59"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34" w:type="dxa"/>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59"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088"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233"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34" w:type="dxa"/>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33"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159"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28"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r>
      <w:tr>
        <w:tblPrEx>
          <w:tblCellMar>
            <w:top w:w="0" w:type="dxa"/>
            <w:left w:w="108" w:type="dxa"/>
            <w:bottom w:w="0" w:type="dxa"/>
            <w:right w:w="108" w:type="dxa"/>
          </w:tblCellMar>
        </w:tblPrEx>
        <w:trPr>
          <w:trHeight w:val="372" w:hRule="atLeast"/>
        </w:trPr>
        <w:tc>
          <w:tcPr>
            <w:tcW w:w="690" w:type="dxa"/>
            <w:vMerge w:val="continue"/>
            <w:tcBorders>
              <w:left w:val="single" w:color="000000" w:sz="8" w:space="0"/>
              <w:bottom w:val="single" w:color="auto"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3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28"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r>
      <w:tr>
        <w:tblPrEx>
          <w:tblCellMar>
            <w:top w:w="0" w:type="dxa"/>
            <w:left w:w="108" w:type="dxa"/>
            <w:bottom w:w="0" w:type="dxa"/>
            <w:right w:w="108" w:type="dxa"/>
          </w:tblCellMar>
        </w:tblPrEx>
        <w:trPr>
          <w:trHeight w:val="280" w:hRule="atLeast"/>
        </w:trPr>
        <w:tc>
          <w:tcPr>
            <w:tcW w:w="690"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内江市</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28"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90"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自贡市</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7.44</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2.64</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3.94</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2.64</w:t>
            </w: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3.94</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2.64</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28"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90"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泸州市</w:t>
            </w: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92.6</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92.6</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92.6</w:t>
            </w: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4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28"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95" w:hRule="atLeast"/>
        </w:trPr>
        <w:tc>
          <w:tcPr>
            <w:tcW w:w="690" w:type="dxa"/>
            <w:tcBorders>
              <w:top w:val="single" w:color="000000" w:sz="4" w:space="0"/>
              <w:left w:val="single" w:color="000000" w:sz="8" w:space="0"/>
              <w:bottom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合计</w:t>
            </w:r>
          </w:p>
        </w:tc>
        <w:tc>
          <w:tcPr>
            <w:tcW w:w="68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129 </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7.64</w:t>
            </w:r>
          </w:p>
        </w:tc>
        <w:tc>
          <w:tcPr>
            <w:tcW w:w="61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16.94</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7.64</w:t>
            </w:r>
          </w:p>
        </w:tc>
        <w:tc>
          <w:tcPr>
            <w:tcW w:w="61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13.94</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2.64</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68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112 </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68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101 </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3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61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11.5</w:t>
            </w:r>
          </w:p>
        </w:tc>
        <w:tc>
          <w:tcPr>
            <w:tcW w:w="54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28" w:type="dxa"/>
            <w:tcBorders>
              <w:top w:val="single" w:color="000000" w:sz="4" w:space="0"/>
              <w:left w:val="single" w:color="000000" w:sz="4" w:space="0"/>
              <w:bottom w:val="single" w:color="000000" w:sz="8" w:space="0"/>
              <w:right w:val="single" w:color="000000" w:sz="8" w:space="0"/>
            </w:tcBorders>
            <w:noWrap/>
            <w:vAlign w:val="center"/>
          </w:tcPr>
          <w:p>
            <w:pPr>
              <w:rPr>
                <w:rFonts w:eastAsia="楷体"/>
                <w:color w:val="auto"/>
                <w:w w:val="80"/>
                <w:kern w:val="0"/>
                <w:sz w:val="21"/>
                <w:szCs w:val="21"/>
                <w:highlight w:val="none"/>
              </w:rPr>
            </w:pPr>
          </w:p>
        </w:tc>
      </w:tr>
    </w:tbl>
    <w:p>
      <w:pPr>
        <w:pStyle w:val="6"/>
        <w:spacing w:beforeLines="0" w:line="280" w:lineRule="exact"/>
        <w:ind w:firstLine="0"/>
        <w:jc w:val="both"/>
        <w:rPr>
          <w:rFonts w:ascii="Times New Roman"/>
          <w:b w:val="0"/>
          <w:bCs w:val="0"/>
          <w:color w:val="auto"/>
          <w:sz w:val="28"/>
          <w:highlight w:val="none"/>
        </w:rPr>
      </w:pPr>
    </w:p>
    <w:p>
      <w:pPr>
        <w:pStyle w:val="6"/>
        <w:spacing w:beforeLines="0" w:line="280" w:lineRule="exact"/>
        <w:ind w:firstLine="0"/>
        <w:jc w:val="both"/>
        <w:rPr>
          <w:rFonts w:ascii="Times New Roman"/>
          <w:b w:val="0"/>
          <w:bCs w:val="0"/>
          <w:color w:val="auto"/>
          <w:sz w:val="28"/>
          <w:highlight w:val="none"/>
        </w:rPr>
      </w:pPr>
      <w:r>
        <w:rPr>
          <w:rFonts w:ascii="Times New Roman"/>
          <w:b w:val="0"/>
          <w:bCs w:val="0"/>
          <w:color w:val="auto"/>
          <w:sz w:val="28"/>
          <w:highlight w:val="none"/>
        </w:rPr>
        <w:t>表7.2.</w:t>
      </w:r>
      <w:r>
        <w:rPr>
          <w:rFonts w:hint="eastAsia" w:ascii="Times New Roman"/>
          <w:b w:val="0"/>
          <w:bCs w:val="0"/>
          <w:color w:val="auto"/>
          <w:sz w:val="28"/>
          <w:highlight w:val="none"/>
          <w:lang w:val="en-US" w:eastAsia="zh-CN"/>
        </w:rPr>
        <w:t>8</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 xml:space="preserve"> </w:t>
      </w:r>
      <w:r>
        <w:rPr>
          <w:rFonts w:hint="eastAsia" w:ascii="Times New Roman"/>
          <w:b w:val="0"/>
          <w:bCs w:val="0"/>
          <w:color w:val="auto"/>
          <w:sz w:val="28"/>
          <w:highlight w:val="none"/>
          <w:lang w:val="en-US" w:eastAsia="zh-CN"/>
        </w:rPr>
        <w:t xml:space="preserve">    </w:t>
      </w:r>
      <w:r>
        <w:rPr>
          <w:rFonts w:ascii="Times New Roman"/>
          <w:b w:val="0"/>
          <w:bCs w:val="0"/>
          <w:color w:val="auto"/>
          <w:sz w:val="28"/>
          <w:highlight w:val="none"/>
        </w:rPr>
        <w:t>沱江流域中小河流堤防护岸规划</w:t>
      </w:r>
      <w:r>
        <w:rPr>
          <w:rFonts w:hint="eastAsia" w:ascii="Times New Roman"/>
          <w:b w:val="0"/>
          <w:bCs w:val="0"/>
          <w:color w:val="auto"/>
          <w:sz w:val="28"/>
          <w:highlight w:val="none"/>
          <w:lang w:val="en-US" w:eastAsia="zh-CN"/>
        </w:rPr>
        <w:t>情况</w:t>
      </w:r>
      <w:r>
        <w:rPr>
          <w:rFonts w:ascii="Times New Roman"/>
          <w:b w:val="0"/>
          <w:bCs w:val="0"/>
          <w:color w:val="auto"/>
          <w:sz w:val="28"/>
          <w:highlight w:val="none"/>
        </w:rPr>
        <w:t xml:space="preserve">表  </w:t>
      </w:r>
    </w:p>
    <w:p>
      <w:pPr>
        <w:pStyle w:val="6"/>
        <w:pageBreakBefore w:val="0"/>
        <w:kinsoku/>
        <w:wordWrap/>
        <w:overflowPunct/>
        <w:topLinePunct w:val="0"/>
        <w:autoSpaceDE/>
        <w:autoSpaceDN/>
        <w:bidi w:val="0"/>
        <w:adjustRightInd/>
        <w:snapToGrid/>
        <w:spacing w:beforeLines="0" w:line="240" w:lineRule="exact"/>
        <w:ind w:firstLine="0"/>
        <w:jc w:val="right"/>
        <w:rPr>
          <w:rFonts w:ascii="Times New Roman" w:eastAsia="仿宋_GB2312"/>
          <w:b w:val="0"/>
          <w:bCs w:val="0"/>
          <w:color w:val="auto"/>
          <w:sz w:val="21"/>
          <w:szCs w:val="21"/>
          <w:highlight w:val="none"/>
        </w:rPr>
      </w:pPr>
      <w:r>
        <w:rPr>
          <w:rFonts w:ascii="Times New Roman" w:eastAsia="仿宋_GB2312"/>
          <w:b w:val="0"/>
          <w:bCs w:val="0"/>
          <w:color w:val="auto"/>
          <w:sz w:val="21"/>
          <w:szCs w:val="21"/>
          <w:highlight w:val="none"/>
        </w:rPr>
        <w:t xml:space="preserve">  单位：km</w:t>
      </w:r>
    </w:p>
    <w:tbl>
      <w:tblPr>
        <w:tblStyle w:val="88"/>
        <w:tblpPr w:leftFromText="180" w:rightFromText="180" w:vertAnchor="text" w:horzAnchor="page" w:tblpX="1142" w:tblpY="303"/>
        <w:tblOverlap w:val="never"/>
        <w:tblW w:w="0" w:type="auto"/>
        <w:tblInd w:w="0" w:type="dxa"/>
        <w:tblLayout w:type="fixed"/>
        <w:tblCellMar>
          <w:top w:w="0" w:type="dxa"/>
          <w:left w:w="108" w:type="dxa"/>
          <w:bottom w:w="0" w:type="dxa"/>
          <w:right w:w="108" w:type="dxa"/>
        </w:tblCellMar>
      </w:tblPr>
      <w:tblGrid>
        <w:gridCol w:w="669"/>
        <w:gridCol w:w="669"/>
        <w:gridCol w:w="669"/>
        <w:gridCol w:w="811"/>
        <w:gridCol w:w="669"/>
        <w:gridCol w:w="530"/>
        <w:gridCol w:w="598"/>
        <w:gridCol w:w="597"/>
        <w:gridCol w:w="529"/>
        <w:gridCol w:w="810"/>
        <w:gridCol w:w="597"/>
        <w:gridCol w:w="529"/>
        <w:gridCol w:w="810"/>
        <w:gridCol w:w="668"/>
        <w:gridCol w:w="668"/>
        <w:gridCol w:w="810"/>
        <w:gridCol w:w="668"/>
        <w:gridCol w:w="597"/>
        <w:gridCol w:w="810"/>
        <w:gridCol w:w="668"/>
        <w:gridCol w:w="597"/>
        <w:gridCol w:w="813"/>
      </w:tblGrid>
      <w:tr>
        <w:tblPrEx>
          <w:tblCellMar>
            <w:top w:w="0" w:type="dxa"/>
            <w:left w:w="108" w:type="dxa"/>
            <w:bottom w:w="0" w:type="dxa"/>
            <w:right w:w="108" w:type="dxa"/>
          </w:tblCellMar>
        </w:tblPrEx>
        <w:trPr>
          <w:trHeight w:val="310" w:hRule="atLeast"/>
        </w:trPr>
        <w:tc>
          <w:tcPr>
            <w:tcW w:w="669" w:type="dxa"/>
            <w:vMerge w:val="restart"/>
            <w:tcBorders>
              <w:top w:val="single" w:color="000000" w:sz="8" w:space="0"/>
              <w:left w:val="single" w:color="000000" w:sz="8" w:space="0"/>
              <w:bottom w:val="single" w:color="000000" w:sz="4" w:space="0"/>
              <w:right w:val="single" w:color="000000" w:sz="4" w:space="0"/>
            </w:tcBorders>
            <w:noWrap/>
            <w:vAlign w:val="center"/>
          </w:tcPr>
          <w:p>
            <w:pPr>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地级市</w:t>
            </w:r>
          </w:p>
        </w:tc>
        <w:tc>
          <w:tcPr>
            <w:tcW w:w="1338" w:type="dxa"/>
            <w:gridSpan w:val="2"/>
            <w:vMerge w:val="restart"/>
            <w:tcBorders>
              <w:top w:val="single" w:color="000000" w:sz="8" w:space="0"/>
              <w:left w:val="single" w:color="000000" w:sz="4" w:space="0"/>
              <w:bottom w:val="single" w:color="000000" w:sz="4" w:space="0"/>
              <w:right w:val="single" w:color="000000" w:sz="4" w:space="0"/>
            </w:tcBorders>
            <w:noWrap/>
            <w:vAlign w:val="center"/>
          </w:tcPr>
          <w:p>
            <w:pPr>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1" w:type="dxa"/>
            <w:vMerge w:val="restart"/>
            <w:tcBorders>
              <w:top w:val="single" w:color="000000" w:sz="8" w:space="0"/>
              <w:left w:val="single" w:color="000000" w:sz="4" w:space="0"/>
              <w:bottom w:val="single" w:color="000000" w:sz="4" w:space="0"/>
              <w:right w:val="single" w:color="000000" w:sz="4" w:space="0"/>
            </w:tcBorders>
            <w:noWrap/>
            <w:vAlign w:val="center"/>
          </w:tcPr>
          <w:p>
            <w:pPr>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5669" w:type="dxa"/>
            <w:gridSpan w:val="9"/>
            <w:tcBorders>
              <w:top w:val="single" w:color="000000" w:sz="8" w:space="0"/>
              <w:left w:val="single" w:color="000000" w:sz="4" w:space="0"/>
              <w:bottom w:val="single" w:color="000000" w:sz="4" w:space="0"/>
              <w:right w:val="single" w:color="000000" w:sz="4" w:space="0"/>
            </w:tcBorders>
            <w:noWrap/>
            <w:vAlign w:val="center"/>
          </w:tcPr>
          <w:p>
            <w:pPr>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县城及以上河段</w:t>
            </w:r>
          </w:p>
        </w:tc>
        <w:tc>
          <w:tcPr>
            <w:tcW w:w="6299" w:type="dxa"/>
            <w:gridSpan w:val="9"/>
            <w:tcBorders>
              <w:top w:val="single" w:color="000000" w:sz="8" w:space="0"/>
              <w:left w:val="single" w:color="000000" w:sz="4" w:space="0"/>
              <w:bottom w:val="single" w:color="000000" w:sz="4" w:space="0"/>
              <w:right w:val="single" w:color="000000" w:sz="4" w:space="0"/>
            </w:tcBorders>
            <w:noWrap/>
            <w:vAlign w:val="center"/>
          </w:tcPr>
          <w:p>
            <w:pPr>
              <w:pageBreakBefore w:val="0"/>
              <w:widowControl/>
              <w:kinsoku/>
              <w:wordWrap/>
              <w:overflowPunct/>
              <w:topLinePunct w:val="0"/>
              <w:autoSpaceDE/>
              <w:autoSpaceDN/>
              <w:bidi w:val="0"/>
              <w:adjustRightInd/>
              <w:snapToGrid/>
              <w:spacing w:line="240" w:lineRule="exact"/>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乡镇河段</w:t>
            </w:r>
          </w:p>
        </w:tc>
      </w:tr>
      <w:tr>
        <w:tblPrEx>
          <w:tblCellMar>
            <w:top w:w="0" w:type="dxa"/>
            <w:left w:w="108" w:type="dxa"/>
            <w:bottom w:w="0" w:type="dxa"/>
            <w:right w:w="108" w:type="dxa"/>
          </w:tblCellMar>
        </w:tblPrEx>
        <w:trPr>
          <w:trHeight w:val="280" w:hRule="atLeast"/>
        </w:trPr>
        <w:tc>
          <w:tcPr>
            <w:tcW w:w="669" w:type="dxa"/>
            <w:vMerge w:val="continue"/>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338"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11"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99" w:type="dxa"/>
            <w:gridSpan w:val="2"/>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59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w:t>
            </w:r>
          </w:p>
          <w:p>
            <w:pPr>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加固</w:t>
            </w:r>
          </w:p>
        </w:tc>
        <w:tc>
          <w:tcPr>
            <w:tcW w:w="1936"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1936"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c>
          <w:tcPr>
            <w:tcW w:w="1336" w:type="dxa"/>
            <w:gridSpan w:val="2"/>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2075"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规划水平年（2035年）</w:t>
            </w:r>
          </w:p>
        </w:tc>
        <w:tc>
          <w:tcPr>
            <w:tcW w:w="2078" w:type="dxa"/>
            <w:gridSpan w:val="3"/>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远景展望（2050年）</w:t>
            </w:r>
          </w:p>
        </w:tc>
      </w:tr>
      <w:tr>
        <w:tblPrEx>
          <w:tblCellMar>
            <w:top w:w="0" w:type="dxa"/>
            <w:left w:w="108" w:type="dxa"/>
            <w:bottom w:w="0" w:type="dxa"/>
            <w:right w:w="108" w:type="dxa"/>
          </w:tblCellMar>
        </w:tblPrEx>
        <w:trPr>
          <w:trHeight w:val="280" w:hRule="atLeast"/>
        </w:trPr>
        <w:tc>
          <w:tcPr>
            <w:tcW w:w="669" w:type="dxa"/>
            <w:vMerge w:val="continue"/>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338" w:type="dxa"/>
            <w:gridSpan w:val="2"/>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11" w:type="dxa"/>
            <w:vMerge w:val="continue"/>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99"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59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126"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126"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336"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810" w:type="dxa"/>
            <w:vMerge w:val="continue"/>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1265"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c>
          <w:tcPr>
            <w:tcW w:w="1265" w:type="dxa"/>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新建</w:t>
            </w:r>
          </w:p>
        </w:tc>
        <w:tc>
          <w:tcPr>
            <w:tcW w:w="813"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加高加固</w:t>
            </w:r>
          </w:p>
        </w:tc>
      </w:tr>
      <w:tr>
        <w:tblPrEx>
          <w:tblCellMar>
            <w:top w:w="0" w:type="dxa"/>
            <w:left w:w="108" w:type="dxa"/>
            <w:bottom w:w="0" w:type="dxa"/>
            <w:right w:w="108" w:type="dxa"/>
          </w:tblCellMar>
        </w:tblPrEx>
        <w:trPr>
          <w:trHeight w:val="280" w:hRule="atLeast"/>
        </w:trPr>
        <w:tc>
          <w:tcPr>
            <w:tcW w:w="669" w:type="dxa"/>
            <w:vMerge w:val="continue"/>
            <w:tcBorders>
              <w:top w:val="single" w:color="000000" w:sz="8" w:space="0"/>
              <w:left w:val="single" w:color="000000" w:sz="8" w:space="0"/>
              <w:bottom w:val="single" w:color="auto"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p>
        </w:tc>
        <w:tc>
          <w:tcPr>
            <w:tcW w:w="66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59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护岸</w:t>
            </w:r>
          </w:p>
        </w:tc>
        <w:tc>
          <w:tcPr>
            <w:tcW w:w="813"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堤防</w:t>
            </w: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德阳市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45.2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74.2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14.1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0.56</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14.1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44.7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60.2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44.7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60.2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3"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成都市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114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1.83</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84.5 </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84.5 </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30.0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1.83</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30.0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1.83</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3"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资阳市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9.38</w:t>
            </w:r>
          </w:p>
        </w:tc>
        <w:tc>
          <w:tcPr>
            <w:tcW w:w="81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9.38</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108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9.38</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3"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内江市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122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81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49.3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114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39.3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64.8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27.0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49.5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3"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w:t>
            </w: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自贡市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45.9</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27.5 </w:t>
            </w:r>
          </w:p>
        </w:tc>
        <w:tc>
          <w:tcPr>
            <w:tcW w:w="81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5.47</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5.47</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40.4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27.5 </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34.9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27.5 </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5.5</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3"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280" w:hRule="atLeast"/>
        </w:trPr>
        <w:tc>
          <w:tcPr>
            <w:tcW w:w="669" w:type="dxa"/>
            <w:tcBorders>
              <w:top w:val="single" w:color="000000" w:sz="4"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泸州市</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192 </w:t>
            </w: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98.9 </w:t>
            </w:r>
          </w:p>
        </w:tc>
        <w:tc>
          <w:tcPr>
            <w:tcW w:w="81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11.4</w:t>
            </w:r>
          </w:p>
        </w:tc>
        <w:tc>
          <w:tcPr>
            <w:tcW w:w="53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11.4</w:t>
            </w:r>
          </w:p>
        </w:tc>
        <w:tc>
          <w:tcPr>
            <w:tcW w:w="529"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181 </w:t>
            </w: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98.9</w:t>
            </w: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59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w w:val="80"/>
                <w:kern w:val="0"/>
                <w:sz w:val="21"/>
                <w:szCs w:val="21"/>
                <w:highlight w:val="none"/>
              </w:rPr>
            </w:pPr>
          </w:p>
        </w:tc>
        <w:tc>
          <w:tcPr>
            <w:tcW w:w="6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181 </w:t>
            </w:r>
          </w:p>
        </w:tc>
        <w:tc>
          <w:tcPr>
            <w:tcW w:w="59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98.9</w:t>
            </w:r>
          </w:p>
        </w:tc>
        <w:tc>
          <w:tcPr>
            <w:tcW w:w="813"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w w:val="80"/>
                <w:kern w:val="0"/>
                <w:sz w:val="21"/>
                <w:szCs w:val="21"/>
                <w:highlight w:val="none"/>
              </w:rPr>
            </w:pPr>
          </w:p>
        </w:tc>
      </w:tr>
      <w:tr>
        <w:tblPrEx>
          <w:tblCellMar>
            <w:top w:w="0" w:type="dxa"/>
            <w:left w:w="108" w:type="dxa"/>
            <w:bottom w:w="0" w:type="dxa"/>
            <w:right w:w="108" w:type="dxa"/>
          </w:tblCellMar>
        </w:tblPrEx>
        <w:trPr>
          <w:trHeight w:val="310" w:hRule="atLeast"/>
        </w:trPr>
        <w:tc>
          <w:tcPr>
            <w:tcW w:w="669" w:type="dxa"/>
            <w:tcBorders>
              <w:top w:val="single" w:color="000000" w:sz="4" w:space="0"/>
              <w:left w:val="single" w:color="000000" w:sz="8" w:space="0"/>
              <w:bottom w:val="single" w:color="000000" w:sz="8" w:space="0"/>
              <w:right w:val="single" w:color="000000" w:sz="4" w:space="0"/>
            </w:tcBorders>
            <w:noWrap/>
            <w:vAlign w:val="center"/>
          </w:tcPr>
          <w:p>
            <w:pPr>
              <w:widowControl/>
              <w:jc w:val="center"/>
              <w:textAlignment w:val="center"/>
              <w:rPr>
                <w:rFonts w:eastAsia="楷体"/>
                <w:color w:val="auto"/>
                <w:w w:val="80"/>
                <w:kern w:val="0"/>
                <w:sz w:val="21"/>
                <w:szCs w:val="21"/>
                <w:highlight w:val="none"/>
              </w:rPr>
            </w:pPr>
            <w:r>
              <w:rPr>
                <w:rFonts w:eastAsia="楷体"/>
                <w:color w:val="auto"/>
                <w:w w:val="80"/>
                <w:kern w:val="0"/>
                <w:sz w:val="21"/>
                <w:szCs w:val="21"/>
                <w:highlight w:val="none"/>
              </w:rPr>
              <w:t>总计</w:t>
            </w:r>
          </w:p>
        </w:tc>
        <w:tc>
          <w:tcPr>
            <w:tcW w:w="66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627 </w:t>
            </w:r>
          </w:p>
        </w:tc>
        <w:tc>
          <w:tcPr>
            <w:tcW w:w="66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81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66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110 </w:t>
            </w:r>
          </w:p>
        </w:tc>
        <w:tc>
          <w:tcPr>
            <w:tcW w:w="530"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59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24.1 </w:t>
            </w:r>
          </w:p>
        </w:tc>
        <w:tc>
          <w:tcPr>
            <w:tcW w:w="597"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96.5</w:t>
            </w:r>
          </w:p>
        </w:tc>
        <w:tc>
          <w:tcPr>
            <w:tcW w:w="529"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14.07</w:t>
            </w:r>
          </w:p>
        </w:tc>
        <w:tc>
          <w:tcPr>
            <w:tcW w:w="597"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13.4</w:t>
            </w:r>
          </w:p>
        </w:tc>
        <w:tc>
          <w:tcPr>
            <w:tcW w:w="529"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w w:val="80"/>
                <w:kern w:val="0"/>
                <w:sz w:val="21"/>
                <w:szCs w:val="21"/>
                <w:highlight w:val="none"/>
              </w:rPr>
            </w:pPr>
          </w:p>
        </w:tc>
        <w:tc>
          <w:tcPr>
            <w:tcW w:w="810"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66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517 </w:t>
            </w:r>
          </w:p>
        </w:tc>
        <w:tc>
          <w:tcPr>
            <w:tcW w:w="66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148 </w:t>
            </w:r>
          </w:p>
        </w:tc>
        <w:tc>
          <w:tcPr>
            <w:tcW w:w="810"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101 </w:t>
            </w:r>
          </w:p>
        </w:tc>
        <w:tc>
          <w:tcPr>
            <w:tcW w:w="66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282 </w:t>
            </w:r>
          </w:p>
        </w:tc>
        <w:tc>
          <w:tcPr>
            <w:tcW w:w="597"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49.1 </w:t>
            </w:r>
          </w:p>
        </w:tc>
        <w:tc>
          <w:tcPr>
            <w:tcW w:w="810"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89.0 </w:t>
            </w:r>
          </w:p>
        </w:tc>
        <w:tc>
          <w:tcPr>
            <w:tcW w:w="66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235 </w:t>
            </w:r>
          </w:p>
        </w:tc>
        <w:tc>
          <w:tcPr>
            <w:tcW w:w="597"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98.9</w:t>
            </w:r>
          </w:p>
        </w:tc>
        <w:tc>
          <w:tcPr>
            <w:tcW w:w="81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w w:val="80"/>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12.3</w:t>
            </w:r>
          </w:p>
        </w:tc>
      </w:tr>
    </w:tbl>
    <w:p>
      <w:pPr>
        <w:pStyle w:val="6"/>
        <w:spacing w:beforeLines="0" w:line="280" w:lineRule="exact"/>
        <w:ind w:firstLine="0"/>
        <w:jc w:val="both"/>
        <w:rPr>
          <w:rFonts w:ascii="Times New Roman"/>
          <w:b w:val="0"/>
          <w:bCs w:val="0"/>
          <w:color w:val="auto"/>
          <w:sz w:val="28"/>
          <w:highlight w:val="none"/>
        </w:rPr>
        <w:sectPr>
          <w:footerReference r:id="rId20" w:type="default"/>
          <w:pgSz w:w="16838" w:h="11906" w:orient="landscape"/>
          <w:pgMar w:top="1418" w:right="1134" w:bottom="1418" w:left="1134" w:header="851" w:footer="992" w:gutter="0"/>
          <w:pgBorders>
            <w:top w:val="none" w:sz="0" w:space="0"/>
            <w:left w:val="none" w:sz="0" w:space="0"/>
            <w:bottom w:val="none" w:sz="0" w:space="0"/>
            <w:right w:val="none" w:sz="0" w:space="0"/>
          </w:pgBorders>
          <w:pgNumType w:fmt="decimal"/>
          <w:cols w:space="720" w:num="1"/>
          <w:docGrid w:type="linesAndChars" w:linePitch="326" w:charSpace="-3871"/>
        </w:sectPr>
      </w:pPr>
    </w:p>
    <w:p>
      <w:pPr>
        <w:pStyle w:val="4"/>
        <w:pageBreakBefore w:val="0"/>
        <w:widowControl w:val="0"/>
        <w:kinsoku/>
        <w:wordWrap/>
        <w:overflowPunct/>
        <w:topLinePunct w:val="0"/>
        <w:autoSpaceDE/>
        <w:autoSpaceDN/>
        <w:bidi w:val="0"/>
        <w:adjustRightInd/>
        <w:snapToGrid/>
        <w:spacing w:before="0" w:after="0" w:line="540" w:lineRule="exact"/>
        <w:textAlignment w:val="auto"/>
        <w:rPr>
          <w:rStyle w:val="550"/>
          <w:rFonts w:ascii="Times New Roman" w:hAnsi="Times New Roman"/>
          <w:b w:val="0"/>
          <w:bCs w:val="0"/>
          <w:color w:val="auto"/>
          <w:sz w:val="32"/>
          <w:szCs w:val="32"/>
          <w:highlight w:val="none"/>
        </w:rPr>
      </w:pPr>
      <w:bookmarkStart w:id="98" w:name="_Toc124757352"/>
      <w:r>
        <w:rPr>
          <w:b w:val="0"/>
          <w:bCs w:val="0"/>
          <w:color w:val="auto"/>
          <w:highlight w:val="none"/>
        </w:rPr>
        <w:t>第三节  河道整治工程</w:t>
      </w:r>
      <w:bookmarkEnd w:id="98"/>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一、现状调查</w:t>
      </w:r>
    </w:p>
    <w:p>
      <w:pPr>
        <w:pStyle w:val="156"/>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b w:val="0"/>
          <w:bCs w:val="0"/>
          <w:color w:val="auto"/>
          <w:sz w:val="30"/>
          <w:szCs w:val="30"/>
          <w:highlight w:val="none"/>
        </w:rPr>
        <w:t>经调查分析，德阳段主要碍洪影响因素为河道冲</w:t>
      </w:r>
      <w:r>
        <w:rPr>
          <w:color w:val="auto"/>
          <w:sz w:val="30"/>
          <w:szCs w:val="30"/>
          <w:highlight w:val="none"/>
        </w:rPr>
        <w:t>淤失衡，部分河段淤积严重，河道淤积段共计3</w:t>
      </w:r>
      <w:r>
        <w:rPr>
          <w:rFonts w:hint="eastAsia"/>
          <w:color w:val="auto"/>
          <w:sz w:val="30"/>
          <w:szCs w:val="30"/>
          <w:highlight w:val="none"/>
          <w:lang w:val="en-US" w:eastAsia="zh-CN"/>
        </w:rPr>
        <w:t>4</w:t>
      </w:r>
      <w:r>
        <w:rPr>
          <w:color w:val="auto"/>
          <w:sz w:val="30"/>
          <w:szCs w:val="30"/>
          <w:highlight w:val="none"/>
        </w:rPr>
        <w:t>km，普遍淤积2～3m，以致行洪不畅</w:t>
      </w:r>
      <w:r>
        <w:rPr>
          <w:rFonts w:hint="eastAsia"/>
          <w:color w:val="auto"/>
          <w:sz w:val="30"/>
          <w:szCs w:val="30"/>
          <w:highlight w:val="none"/>
          <w:lang w:eastAsia="zh-CN"/>
        </w:rPr>
        <w:t>；</w:t>
      </w:r>
      <w:r>
        <w:rPr>
          <w:color w:val="auto"/>
          <w:sz w:val="30"/>
          <w:szCs w:val="30"/>
          <w:highlight w:val="none"/>
        </w:rPr>
        <w:t>绵远河、石亭江、湔江三大主要河流出山口以下冲刷剧烈，河床下切严重，河道内现状防洪设施及涉河建筑存在重大安全隐患。成都段河道行洪不畅段主要集中在金堂峡段</w:t>
      </w:r>
      <w:r>
        <w:rPr>
          <w:rFonts w:hint="eastAsia"/>
          <w:color w:val="auto"/>
          <w:sz w:val="30"/>
          <w:szCs w:val="30"/>
          <w:highlight w:val="none"/>
          <w:lang w:eastAsia="zh-CN"/>
        </w:rPr>
        <w:t>，</w:t>
      </w:r>
      <w:r>
        <w:rPr>
          <w:color w:val="auto"/>
          <w:sz w:val="30"/>
          <w:szCs w:val="30"/>
          <w:highlight w:val="none"/>
        </w:rPr>
        <w:t>常水位情况下，沱江干流上游平原区河道水面宽度约250～400m，金堂峡段水面宽度110～160m，出峡口九龙滩以下水面宽度260～400m，金堂峡段行洪宽度明显束窄，已严重影响沱江上游洪水下泄。自贡段在釜溪河、威远河上有多处堰闸的固定坝，抬高了河道水位，且闸门年久失修，影响泄洪，增加了所在河段的防洪压力。此外，资阳、内江、泸州市部分</w:t>
      </w:r>
      <w:r>
        <w:rPr>
          <w:rFonts w:hint="eastAsia"/>
          <w:color w:val="auto"/>
          <w:sz w:val="30"/>
          <w:szCs w:val="30"/>
          <w:highlight w:val="none"/>
          <w:lang w:val="en-US" w:eastAsia="zh-CN"/>
        </w:rPr>
        <w:t>河段存在</w:t>
      </w:r>
      <w:r>
        <w:rPr>
          <w:color w:val="auto"/>
          <w:sz w:val="30"/>
          <w:szCs w:val="30"/>
          <w:highlight w:val="none"/>
        </w:rPr>
        <w:t>淤积影响行洪。</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二、整治方案</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rFonts w:hint="eastAsia" w:ascii="楷体_GB2312" w:hAnsi="楷体_GB2312" w:eastAsia="楷体_GB2312" w:cs="楷体_GB2312"/>
          <w:color w:val="auto"/>
          <w:sz w:val="30"/>
          <w:szCs w:val="30"/>
          <w:highlight w:val="none"/>
        </w:rPr>
        <w:t>（一）河道清淤疏浚</w:t>
      </w:r>
      <w:r>
        <w:rPr>
          <w:rFonts w:hint="eastAsia" w:ascii="楷体_GB2312" w:hAnsi="楷体_GB2312" w:eastAsia="楷体_GB2312" w:cs="楷体_GB2312"/>
          <w:color w:val="auto"/>
          <w:sz w:val="30"/>
          <w:szCs w:val="30"/>
          <w:highlight w:val="none"/>
          <w:lang w:val="en-US" w:eastAsia="zh-CN"/>
        </w:rPr>
        <w:t>工程。</w:t>
      </w:r>
      <w:r>
        <w:rPr>
          <w:rFonts w:hint="eastAsia"/>
          <w:color w:val="auto"/>
          <w:sz w:val="30"/>
          <w:szCs w:val="30"/>
          <w:highlight w:val="none"/>
          <w:lang w:val="en-US" w:eastAsia="zh-CN"/>
        </w:rPr>
        <w:t>实施河道清淤疏浚</w:t>
      </w:r>
      <w:r>
        <w:rPr>
          <w:color w:val="auto"/>
          <w:sz w:val="30"/>
          <w:szCs w:val="30"/>
          <w:highlight w:val="none"/>
        </w:rPr>
        <w:t>71处，总长度38</w:t>
      </w:r>
      <w:r>
        <w:rPr>
          <w:rFonts w:hint="eastAsia"/>
          <w:color w:val="auto"/>
          <w:sz w:val="30"/>
          <w:szCs w:val="30"/>
          <w:highlight w:val="none"/>
          <w:lang w:val="en-US" w:eastAsia="zh-CN"/>
        </w:rPr>
        <w:t>4</w:t>
      </w:r>
      <w:r>
        <w:rPr>
          <w:color w:val="auto"/>
          <w:sz w:val="30"/>
          <w:szCs w:val="30"/>
          <w:highlight w:val="none"/>
        </w:rPr>
        <w:t>km，清淤疏浚量478</w:t>
      </w:r>
      <w:r>
        <w:rPr>
          <w:rFonts w:hint="eastAsia"/>
          <w:color w:val="auto"/>
          <w:sz w:val="30"/>
          <w:szCs w:val="30"/>
          <w:highlight w:val="none"/>
          <w:lang w:val="en-US" w:eastAsia="zh-CN"/>
        </w:rPr>
        <w:t>5</w:t>
      </w:r>
      <w:r>
        <w:rPr>
          <w:color w:val="auto"/>
          <w:sz w:val="30"/>
          <w:szCs w:val="30"/>
          <w:highlight w:val="none"/>
        </w:rPr>
        <w:t>万m</w:t>
      </w:r>
      <w:r>
        <w:rPr>
          <w:color w:val="auto"/>
          <w:sz w:val="30"/>
          <w:szCs w:val="30"/>
          <w:highlight w:val="none"/>
          <w:vertAlign w:val="superscript"/>
        </w:rPr>
        <w:t>3</w:t>
      </w:r>
      <w:r>
        <w:rPr>
          <w:color w:val="auto"/>
          <w:sz w:val="30"/>
          <w:szCs w:val="30"/>
          <w:highlight w:val="none"/>
        </w:rPr>
        <w:t>。</w:t>
      </w:r>
      <w:r>
        <w:rPr>
          <w:rFonts w:hint="eastAsia"/>
          <w:color w:val="auto"/>
          <w:sz w:val="30"/>
          <w:szCs w:val="30"/>
          <w:highlight w:val="none"/>
          <w:lang w:val="en-US" w:eastAsia="zh-CN"/>
        </w:rPr>
        <w:t>近期</w:t>
      </w:r>
      <w:r>
        <w:rPr>
          <w:color w:val="auto"/>
          <w:sz w:val="30"/>
          <w:szCs w:val="30"/>
          <w:highlight w:val="none"/>
        </w:rPr>
        <w:t>河道清淤疏浚长度198km；远景河道清淤疏浚长度185km。</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b/>
          <w:bCs/>
          <w:color w:val="auto"/>
          <w:sz w:val="30"/>
          <w:szCs w:val="30"/>
          <w:highlight w:val="none"/>
        </w:rPr>
      </w:pPr>
      <w:r>
        <w:rPr>
          <w:rFonts w:hint="eastAsia" w:ascii="楷体_GB2312" w:hAnsi="楷体_GB2312" w:eastAsia="楷体_GB2312" w:cs="楷体_GB2312"/>
          <w:color w:val="auto"/>
          <w:sz w:val="30"/>
          <w:szCs w:val="30"/>
          <w:highlight w:val="none"/>
        </w:rPr>
        <w:t>（二）固床坝</w:t>
      </w:r>
      <w:r>
        <w:rPr>
          <w:rFonts w:hint="eastAsia" w:ascii="楷体_GB2312" w:hAnsi="楷体_GB2312" w:eastAsia="楷体_GB2312" w:cs="楷体_GB2312"/>
          <w:color w:val="auto"/>
          <w:sz w:val="30"/>
          <w:szCs w:val="30"/>
          <w:highlight w:val="none"/>
          <w:lang w:val="en-US" w:eastAsia="zh-CN"/>
        </w:rPr>
        <w:t>工程。</w:t>
      </w:r>
      <w:r>
        <w:rPr>
          <w:color w:val="auto"/>
          <w:sz w:val="30"/>
          <w:szCs w:val="30"/>
          <w:highlight w:val="none"/>
        </w:rPr>
        <w:t>德阳市新建11座固床坝作为河势控导工程，减轻河床下切趋势。</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pacing w:val="4"/>
          <w:sz w:val="30"/>
          <w:szCs w:val="30"/>
          <w:highlight w:val="none"/>
        </w:rPr>
      </w:pPr>
      <w:r>
        <w:rPr>
          <w:rFonts w:hint="eastAsia" w:ascii="楷体_GB2312" w:hAnsi="楷体_GB2312" w:eastAsia="楷体_GB2312" w:cs="楷体_GB2312"/>
          <w:color w:val="auto"/>
          <w:sz w:val="30"/>
          <w:szCs w:val="30"/>
          <w:highlight w:val="none"/>
        </w:rPr>
        <w:t>（</w:t>
      </w:r>
      <w:r>
        <w:rPr>
          <w:rFonts w:hint="eastAsia" w:ascii="楷体_GB2312" w:hAnsi="楷体_GB2312" w:eastAsia="楷体_GB2312" w:cs="楷体_GB2312"/>
          <w:color w:val="auto"/>
          <w:spacing w:val="4"/>
          <w:sz w:val="30"/>
          <w:szCs w:val="30"/>
          <w:highlight w:val="none"/>
        </w:rPr>
        <w:t>三</w:t>
      </w:r>
      <w:r>
        <w:rPr>
          <w:rFonts w:hint="eastAsia" w:ascii="楷体_GB2312" w:hAnsi="楷体_GB2312" w:eastAsia="楷体_GB2312" w:cs="楷体_GB2312"/>
          <w:color w:val="auto"/>
          <w:sz w:val="30"/>
          <w:szCs w:val="30"/>
          <w:highlight w:val="none"/>
        </w:rPr>
        <w:t>）</w:t>
      </w:r>
      <w:r>
        <w:rPr>
          <w:rFonts w:hint="eastAsia" w:ascii="楷体_GB2312" w:hAnsi="楷体_GB2312" w:eastAsia="楷体_GB2312" w:cs="楷体_GB2312"/>
          <w:color w:val="auto"/>
          <w:sz w:val="30"/>
          <w:szCs w:val="30"/>
          <w:highlight w:val="none"/>
          <w:lang w:val="en-US" w:eastAsia="zh-CN"/>
        </w:rPr>
        <w:t>河道拓宽工程。</w:t>
      </w:r>
      <w:r>
        <w:rPr>
          <w:rFonts w:hint="eastAsia"/>
          <w:color w:val="auto"/>
          <w:sz w:val="30"/>
          <w:szCs w:val="30"/>
          <w:highlight w:val="none"/>
          <w:lang w:val="en-US" w:eastAsia="zh-CN"/>
        </w:rPr>
        <w:t>实施河道扩宽2处，</w:t>
      </w:r>
      <w:r>
        <w:rPr>
          <w:rFonts w:hint="eastAsia"/>
          <w:color w:val="auto"/>
          <w:spacing w:val="4"/>
          <w:sz w:val="30"/>
          <w:szCs w:val="30"/>
          <w:highlight w:val="none"/>
          <w:lang w:val="en-US" w:eastAsia="zh-CN"/>
        </w:rPr>
        <w:t>近期</w:t>
      </w:r>
      <w:r>
        <w:rPr>
          <w:color w:val="auto"/>
          <w:sz w:val="30"/>
          <w:szCs w:val="30"/>
          <w:highlight w:val="none"/>
        </w:rPr>
        <w:t>实施</w:t>
      </w:r>
      <w:r>
        <w:rPr>
          <w:rFonts w:hint="eastAsia"/>
          <w:color w:val="auto"/>
          <w:sz w:val="30"/>
          <w:szCs w:val="30"/>
          <w:highlight w:val="none"/>
          <w:lang w:val="en-US" w:eastAsia="zh-CN"/>
        </w:rPr>
        <w:t>沱江干流</w:t>
      </w:r>
      <w:r>
        <w:rPr>
          <w:color w:val="auto"/>
          <w:spacing w:val="4"/>
          <w:sz w:val="30"/>
          <w:szCs w:val="30"/>
          <w:highlight w:val="none"/>
        </w:rPr>
        <w:t>金堂峡卡口</w:t>
      </w:r>
      <w:r>
        <w:rPr>
          <w:rFonts w:hint="eastAsia"/>
          <w:color w:val="auto"/>
          <w:spacing w:val="4"/>
          <w:sz w:val="30"/>
          <w:szCs w:val="30"/>
          <w:highlight w:val="none"/>
          <w:lang w:val="en-US" w:eastAsia="zh-CN"/>
        </w:rPr>
        <w:t>右岸</w:t>
      </w:r>
      <w:r>
        <w:rPr>
          <w:color w:val="auto"/>
          <w:spacing w:val="4"/>
          <w:sz w:val="30"/>
          <w:szCs w:val="30"/>
          <w:highlight w:val="none"/>
        </w:rPr>
        <w:t>拓宽，</w:t>
      </w:r>
      <w:r>
        <w:rPr>
          <w:rFonts w:hint="eastAsia"/>
          <w:color w:val="auto"/>
          <w:spacing w:val="4"/>
          <w:sz w:val="30"/>
          <w:szCs w:val="30"/>
          <w:highlight w:val="none"/>
          <w:lang w:val="en-US" w:eastAsia="zh-CN"/>
        </w:rPr>
        <w:t>整治河</w:t>
      </w:r>
      <w:r>
        <w:rPr>
          <w:color w:val="auto"/>
          <w:spacing w:val="4"/>
          <w:sz w:val="30"/>
          <w:szCs w:val="30"/>
          <w:highlight w:val="none"/>
        </w:rPr>
        <w:t>长</w:t>
      </w:r>
      <w:r>
        <w:rPr>
          <w:rFonts w:hint="eastAsia"/>
          <w:color w:val="auto"/>
          <w:spacing w:val="4"/>
          <w:sz w:val="30"/>
          <w:szCs w:val="30"/>
          <w:highlight w:val="none"/>
          <w:lang w:val="en-US" w:eastAsia="zh-CN"/>
        </w:rPr>
        <w:t>3.15</w:t>
      </w:r>
      <w:r>
        <w:rPr>
          <w:color w:val="auto"/>
          <w:spacing w:val="4"/>
          <w:sz w:val="30"/>
          <w:szCs w:val="30"/>
          <w:highlight w:val="none"/>
        </w:rPr>
        <w:t>km</w:t>
      </w:r>
      <w:r>
        <w:rPr>
          <w:rFonts w:hint="eastAsia"/>
          <w:color w:val="auto"/>
          <w:spacing w:val="4"/>
          <w:sz w:val="30"/>
          <w:szCs w:val="30"/>
          <w:highlight w:val="none"/>
          <w:lang w:eastAsia="zh-CN"/>
        </w:rPr>
        <w:t>，</w:t>
      </w:r>
      <w:r>
        <w:rPr>
          <w:rFonts w:hint="eastAsia"/>
          <w:color w:val="auto"/>
          <w:spacing w:val="4"/>
          <w:sz w:val="30"/>
          <w:szCs w:val="30"/>
          <w:highlight w:val="none"/>
          <w:lang w:val="en-US" w:eastAsia="zh-CN"/>
        </w:rPr>
        <w:t>河道拓宽约10～30m</w:t>
      </w:r>
      <w:r>
        <w:rPr>
          <w:color w:val="auto"/>
          <w:spacing w:val="4"/>
          <w:sz w:val="30"/>
          <w:szCs w:val="30"/>
          <w:highlight w:val="none"/>
        </w:rPr>
        <w:t>；</w:t>
      </w:r>
      <w:r>
        <w:rPr>
          <w:color w:val="auto"/>
          <w:sz w:val="30"/>
          <w:szCs w:val="30"/>
          <w:highlight w:val="none"/>
        </w:rPr>
        <w:t>远景实施</w:t>
      </w:r>
      <w:r>
        <w:rPr>
          <w:color w:val="auto"/>
          <w:spacing w:val="4"/>
          <w:sz w:val="30"/>
          <w:szCs w:val="30"/>
          <w:highlight w:val="none"/>
        </w:rPr>
        <w:t>自贡淮安河怀德镇段拓宽，</w:t>
      </w:r>
      <w:r>
        <w:rPr>
          <w:rFonts w:hint="eastAsia"/>
          <w:color w:val="auto"/>
          <w:spacing w:val="4"/>
          <w:sz w:val="30"/>
          <w:szCs w:val="30"/>
          <w:highlight w:val="none"/>
          <w:lang w:val="en-US" w:eastAsia="zh-CN"/>
        </w:rPr>
        <w:t>整治</w:t>
      </w:r>
      <w:r>
        <w:rPr>
          <w:color w:val="auto"/>
          <w:spacing w:val="4"/>
          <w:sz w:val="30"/>
          <w:szCs w:val="30"/>
          <w:highlight w:val="none"/>
        </w:rPr>
        <w:t>河长1km</w:t>
      </w:r>
      <w:r>
        <w:rPr>
          <w:color w:val="auto"/>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pacing w:val="4"/>
          <w:sz w:val="30"/>
          <w:szCs w:val="30"/>
          <w:highlight w:val="none"/>
        </w:rPr>
        <w:t>（四）碍洪</w:t>
      </w:r>
      <w:r>
        <w:rPr>
          <w:rFonts w:hint="eastAsia" w:ascii="楷体_GB2312" w:hAnsi="楷体_GB2312" w:eastAsia="楷体_GB2312" w:cs="楷体_GB2312"/>
          <w:color w:val="auto"/>
          <w:spacing w:val="4"/>
          <w:sz w:val="30"/>
          <w:szCs w:val="30"/>
          <w:highlight w:val="none"/>
          <w:lang w:val="en-US" w:eastAsia="zh-CN"/>
        </w:rPr>
        <w:t>工程</w:t>
      </w:r>
      <w:r>
        <w:rPr>
          <w:rFonts w:hint="eastAsia" w:ascii="楷体_GB2312" w:hAnsi="楷体_GB2312" w:eastAsia="楷体_GB2312" w:cs="楷体_GB2312"/>
          <w:color w:val="auto"/>
          <w:spacing w:val="4"/>
          <w:sz w:val="30"/>
          <w:szCs w:val="30"/>
          <w:highlight w:val="none"/>
        </w:rPr>
        <w:t>拆除。</w:t>
      </w:r>
      <w:r>
        <w:rPr>
          <w:rFonts w:hint="eastAsia"/>
          <w:color w:val="auto"/>
          <w:sz w:val="30"/>
          <w:szCs w:val="30"/>
          <w:highlight w:val="none"/>
          <w:lang w:val="en-US" w:eastAsia="zh-CN"/>
        </w:rPr>
        <w:t>近期</w:t>
      </w:r>
      <w:r>
        <w:rPr>
          <w:color w:val="auto"/>
          <w:sz w:val="30"/>
          <w:szCs w:val="30"/>
          <w:highlight w:val="none"/>
        </w:rPr>
        <w:t>实施拆除金堂县北河闸</w:t>
      </w:r>
      <w:r>
        <w:rPr>
          <w:rFonts w:hint="eastAsia"/>
          <w:color w:val="auto"/>
          <w:sz w:val="30"/>
          <w:szCs w:val="30"/>
          <w:highlight w:val="none"/>
          <w:lang w:val="en-US" w:eastAsia="zh-CN"/>
        </w:rPr>
        <w:t>1处</w:t>
      </w:r>
      <w:r>
        <w:rPr>
          <w:color w:val="auto"/>
          <w:sz w:val="30"/>
          <w:szCs w:val="30"/>
          <w:highlight w:val="none"/>
        </w:rPr>
        <w:t>。</w:t>
      </w:r>
    </w:p>
    <w:p>
      <w:pPr>
        <w:pStyle w:val="156"/>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pacing w:val="4"/>
          <w:sz w:val="30"/>
          <w:szCs w:val="30"/>
          <w:highlight w:val="none"/>
        </w:rPr>
        <w:t>（五）</w:t>
      </w:r>
      <w:r>
        <w:rPr>
          <w:rFonts w:hint="eastAsia" w:ascii="楷体_GB2312" w:hAnsi="楷体_GB2312" w:eastAsia="楷体_GB2312" w:cs="楷体_GB2312"/>
          <w:color w:val="auto"/>
          <w:sz w:val="30"/>
          <w:szCs w:val="30"/>
          <w:highlight w:val="none"/>
          <w:lang w:val="en-US" w:eastAsia="zh-CN"/>
        </w:rPr>
        <w:t>其他河道整治工程。</w:t>
      </w:r>
      <w:r>
        <w:rPr>
          <w:color w:val="auto"/>
          <w:sz w:val="30"/>
          <w:szCs w:val="30"/>
          <w:highlight w:val="none"/>
        </w:rPr>
        <w:t>实施其他河道整治项目55处</w:t>
      </w:r>
      <w:r>
        <w:rPr>
          <w:rFonts w:hint="eastAsia"/>
          <w:color w:val="auto"/>
          <w:sz w:val="30"/>
          <w:szCs w:val="30"/>
          <w:highlight w:val="none"/>
          <w:lang w:eastAsia="zh-CN"/>
        </w:rPr>
        <w:t>，</w:t>
      </w:r>
      <w:r>
        <w:rPr>
          <w:rFonts w:hint="eastAsia"/>
          <w:color w:val="auto"/>
          <w:sz w:val="30"/>
          <w:szCs w:val="30"/>
          <w:highlight w:val="none"/>
          <w:lang w:val="en-US" w:eastAsia="zh-CN"/>
        </w:rPr>
        <w:t>包括</w:t>
      </w:r>
      <w:r>
        <w:rPr>
          <w:color w:val="auto"/>
          <w:sz w:val="30"/>
          <w:szCs w:val="30"/>
          <w:highlight w:val="none"/>
        </w:rPr>
        <w:t>生态驳岸建设、河道清淤、溯源截污、生境营造等。</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河道整治工程总投资108亿元，</w:t>
      </w:r>
      <w:r>
        <w:rPr>
          <w:rFonts w:hint="eastAsia"/>
          <w:color w:val="auto"/>
          <w:sz w:val="30"/>
          <w:szCs w:val="30"/>
          <w:highlight w:val="none"/>
          <w:lang w:val="en-US" w:eastAsia="zh-CN"/>
        </w:rPr>
        <w:t>近期总</w:t>
      </w:r>
      <w:r>
        <w:rPr>
          <w:color w:val="auto"/>
          <w:sz w:val="30"/>
          <w:szCs w:val="30"/>
          <w:highlight w:val="none"/>
        </w:rPr>
        <w:t>投资103亿元，远景</w:t>
      </w:r>
      <w:r>
        <w:rPr>
          <w:rFonts w:hint="eastAsia"/>
          <w:color w:val="auto"/>
          <w:sz w:val="30"/>
          <w:szCs w:val="30"/>
          <w:highlight w:val="none"/>
          <w:lang w:val="en-US" w:eastAsia="zh-CN"/>
        </w:rPr>
        <w:t>总</w:t>
      </w:r>
      <w:r>
        <w:rPr>
          <w:color w:val="auto"/>
          <w:sz w:val="30"/>
          <w:szCs w:val="30"/>
          <w:highlight w:val="none"/>
        </w:rPr>
        <w:t>投资5亿元。河道整治</w:t>
      </w:r>
      <w:r>
        <w:rPr>
          <w:rFonts w:hint="eastAsia"/>
          <w:color w:val="auto"/>
          <w:sz w:val="30"/>
          <w:szCs w:val="30"/>
          <w:highlight w:val="none"/>
          <w:lang w:val="en-US" w:eastAsia="zh-CN"/>
        </w:rPr>
        <w:t>工程规划情况</w:t>
      </w:r>
      <w:r>
        <w:rPr>
          <w:color w:val="auto"/>
          <w:sz w:val="30"/>
          <w:szCs w:val="30"/>
          <w:highlight w:val="none"/>
        </w:rPr>
        <w:t>详见表7.3.1。</w:t>
      </w:r>
    </w:p>
    <w:p>
      <w:pPr>
        <w:pStyle w:val="4"/>
        <w:pageBreakBefore w:val="0"/>
        <w:widowControl w:val="0"/>
        <w:kinsoku/>
        <w:wordWrap/>
        <w:overflowPunct/>
        <w:topLinePunct w:val="0"/>
        <w:autoSpaceDE/>
        <w:autoSpaceDN/>
        <w:bidi w:val="0"/>
        <w:adjustRightInd/>
        <w:snapToGrid/>
        <w:spacing w:before="0" w:after="0" w:line="540" w:lineRule="exact"/>
        <w:textAlignment w:val="auto"/>
        <w:rPr>
          <w:rStyle w:val="550"/>
          <w:rFonts w:ascii="Times New Roman" w:hAnsi="Times New Roman"/>
          <w:b w:val="0"/>
          <w:bCs w:val="0"/>
          <w:color w:val="auto"/>
          <w:sz w:val="32"/>
          <w:szCs w:val="32"/>
          <w:highlight w:val="none"/>
        </w:rPr>
      </w:pPr>
      <w:bookmarkStart w:id="99" w:name="_Toc124757353"/>
      <w:r>
        <w:rPr>
          <w:b w:val="0"/>
          <w:bCs w:val="0"/>
          <w:color w:val="auto"/>
          <w:highlight w:val="none"/>
        </w:rPr>
        <w:t xml:space="preserve">第四节  </w:t>
      </w:r>
      <w:r>
        <w:rPr>
          <w:rFonts w:hint="eastAsia"/>
          <w:b w:val="0"/>
          <w:bCs w:val="0"/>
          <w:color w:val="auto"/>
          <w:highlight w:val="none"/>
        </w:rPr>
        <w:t>病险水库（闸）除险加固工程</w:t>
      </w:r>
      <w:bookmarkEnd w:id="99"/>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按照</w:t>
      </w:r>
      <w:r>
        <w:rPr>
          <w:rFonts w:hint="eastAsia"/>
          <w:color w:val="auto"/>
          <w:sz w:val="30"/>
          <w:szCs w:val="30"/>
          <w:highlight w:val="none"/>
          <w:lang w:eastAsia="zh-CN"/>
        </w:rPr>
        <w:t>“</w:t>
      </w:r>
      <w:r>
        <w:rPr>
          <w:color w:val="auto"/>
          <w:sz w:val="30"/>
          <w:szCs w:val="30"/>
          <w:highlight w:val="none"/>
        </w:rPr>
        <w:t>消除存量隐患、实现常态管理</w:t>
      </w:r>
      <w:r>
        <w:rPr>
          <w:rFonts w:hint="eastAsia"/>
          <w:color w:val="auto"/>
          <w:sz w:val="30"/>
          <w:szCs w:val="30"/>
          <w:highlight w:val="none"/>
          <w:lang w:eastAsia="zh-CN"/>
        </w:rPr>
        <w:t>”</w:t>
      </w:r>
      <w:r>
        <w:rPr>
          <w:color w:val="auto"/>
          <w:sz w:val="30"/>
          <w:szCs w:val="30"/>
          <w:highlight w:val="none"/>
        </w:rPr>
        <w:t>的要求，加快推进病险水库及水闸除险加固，及时消除安全隐患。根据沱江流域现状水库、水闸运行情况和安全鉴定结论，实施病险水库及水闸除险加固，确保病险工程经整治后消除安全隐患，具有防洪作用的水库可继续发挥防洪效益。同时加快建设雨水情和安全监测等设施，加强水库、水闸运行管理，定期开展水库安全鉴定工作，实现水库和水闸安全鉴定和除险加固常态化。</w:t>
      </w:r>
    </w:p>
    <w:p>
      <w:pPr>
        <w:pStyle w:val="156"/>
        <w:keepNext w:val="0"/>
        <w:keepLines w:val="0"/>
        <w:pageBreakBefore w:val="0"/>
        <w:widowControl w:val="0"/>
        <w:kinsoku/>
        <w:wordWrap/>
        <w:overflowPunct/>
        <w:topLinePunct w:val="0"/>
        <w:autoSpaceDE/>
        <w:autoSpaceDN/>
        <w:bidi w:val="0"/>
        <w:adjustRightInd/>
        <w:snapToGrid/>
        <w:spacing w:line="540" w:lineRule="exact"/>
        <w:ind w:firstLine="586"/>
        <w:textAlignment w:val="auto"/>
        <w:rPr>
          <w:color w:val="auto"/>
          <w:sz w:val="30"/>
          <w:szCs w:val="30"/>
          <w:highlight w:val="none"/>
        </w:rPr>
      </w:pPr>
      <w:r>
        <w:rPr>
          <w:color w:val="auto"/>
          <w:sz w:val="30"/>
          <w:szCs w:val="30"/>
          <w:highlight w:val="none"/>
        </w:rPr>
        <w:t>规划对272座病险水库（11座中型、261座小型）进行除险加固，其中</w:t>
      </w:r>
      <w:r>
        <w:rPr>
          <w:rFonts w:hint="eastAsia"/>
          <w:color w:val="auto"/>
          <w:sz w:val="30"/>
          <w:szCs w:val="30"/>
          <w:highlight w:val="none"/>
          <w:lang w:val="en-US" w:eastAsia="zh-CN"/>
        </w:rPr>
        <w:t>近期</w:t>
      </w:r>
      <w:r>
        <w:rPr>
          <w:color w:val="auto"/>
          <w:sz w:val="30"/>
          <w:szCs w:val="30"/>
          <w:highlight w:val="none"/>
        </w:rPr>
        <w:t>实施229座，远景实施43座。</w:t>
      </w:r>
      <w:r>
        <w:rPr>
          <w:rFonts w:hint="eastAsia"/>
          <w:color w:val="auto"/>
          <w:sz w:val="30"/>
          <w:szCs w:val="30"/>
          <w:highlight w:val="none"/>
          <w:lang w:val="en-US" w:eastAsia="zh-CN"/>
        </w:rPr>
        <w:t>对</w:t>
      </w:r>
      <w:r>
        <w:rPr>
          <w:color w:val="auto"/>
          <w:sz w:val="30"/>
          <w:szCs w:val="30"/>
          <w:highlight w:val="none"/>
        </w:rPr>
        <w:t>6座病险水闸（2座大型、4座小型）进行除险加固，均在</w:t>
      </w:r>
      <w:r>
        <w:rPr>
          <w:rFonts w:hint="eastAsia"/>
          <w:color w:val="auto"/>
          <w:sz w:val="30"/>
          <w:szCs w:val="30"/>
          <w:highlight w:val="none"/>
          <w:lang w:val="en-US" w:eastAsia="zh-CN"/>
        </w:rPr>
        <w:t>近期</w:t>
      </w:r>
      <w:r>
        <w:rPr>
          <w:color w:val="auto"/>
          <w:sz w:val="30"/>
          <w:szCs w:val="30"/>
          <w:highlight w:val="none"/>
        </w:rPr>
        <w:t>实施。病险水库、水闸除险加固工程规划情况详见表7</w:t>
      </w:r>
      <w:r>
        <w:rPr>
          <w:color w:val="auto"/>
          <w:spacing w:val="4"/>
          <w:highlight w:val="none"/>
        </w:rPr>
        <w:t>.</w:t>
      </w:r>
      <w:r>
        <w:rPr>
          <w:color w:val="auto"/>
          <w:sz w:val="30"/>
          <w:szCs w:val="30"/>
          <w:highlight w:val="none"/>
        </w:rPr>
        <w:t>4</w:t>
      </w:r>
      <w:r>
        <w:rPr>
          <w:color w:val="auto"/>
          <w:spacing w:val="4"/>
          <w:highlight w:val="none"/>
        </w:rPr>
        <w:t>.</w:t>
      </w:r>
      <w:r>
        <w:rPr>
          <w:color w:val="auto"/>
          <w:sz w:val="30"/>
          <w:szCs w:val="30"/>
          <w:highlight w:val="none"/>
        </w:rPr>
        <w:t>1。</w:t>
      </w:r>
    </w:p>
    <w:p>
      <w:pPr>
        <w:pStyle w:val="156"/>
        <w:spacing w:before="163" w:after="163" w:line="540" w:lineRule="exact"/>
        <w:ind w:firstLine="586"/>
        <w:rPr>
          <w:color w:val="auto"/>
          <w:sz w:val="30"/>
          <w:szCs w:val="30"/>
          <w:highlight w:val="none"/>
        </w:rPr>
        <w:sectPr>
          <w:footerReference r:id="rId21" w:type="default"/>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p>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表7.3.1                                      河道整治工程规划</w:t>
      </w:r>
      <w:r>
        <w:rPr>
          <w:rFonts w:hint="eastAsia" w:ascii="Times New Roman"/>
          <w:b w:val="0"/>
          <w:bCs w:val="0"/>
          <w:color w:val="auto"/>
          <w:sz w:val="28"/>
          <w:highlight w:val="none"/>
          <w:lang w:val="en-US" w:eastAsia="zh-CN"/>
        </w:rPr>
        <w:t>情况</w:t>
      </w:r>
      <w:r>
        <w:rPr>
          <w:rFonts w:ascii="Times New Roman"/>
          <w:b w:val="0"/>
          <w:bCs w:val="0"/>
          <w:color w:val="auto"/>
          <w:sz w:val="28"/>
          <w:highlight w:val="none"/>
        </w:rPr>
        <w:t>表</w:t>
      </w:r>
    </w:p>
    <w:tbl>
      <w:tblPr>
        <w:tblStyle w:val="88"/>
        <w:tblW w:w="0" w:type="auto"/>
        <w:tblInd w:w="0" w:type="dxa"/>
        <w:tblLayout w:type="fixed"/>
        <w:tblCellMar>
          <w:top w:w="0" w:type="dxa"/>
          <w:left w:w="108" w:type="dxa"/>
          <w:bottom w:w="0" w:type="dxa"/>
          <w:right w:w="108" w:type="dxa"/>
        </w:tblCellMar>
      </w:tblPr>
      <w:tblGrid>
        <w:gridCol w:w="559"/>
        <w:gridCol w:w="725"/>
        <w:gridCol w:w="559"/>
        <w:gridCol w:w="602"/>
        <w:gridCol w:w="766"/>
        <w:gridCol w:w="1075"/>
        <w:gridCol w:w="973"/>
        <w:gridCol w:w="581"/>
        <w:gridCol w:w="594"/>
        <w:gridCol w:w="707"/>
        <w:gridCol w:w="1023"/>
        <w:gridCol w:w="985"/>
        <w:gridCol w:w="695"/>
        <w:gridCol w:w="1048"/>
        <w:gridCol w:w="1024"/>
        <w:gridCol w:w="682"/>
        <w:gridCol w:w="1184"/>
        <w:gridCol w:w="1004"/>
      </w:tblGrid>
      <w:tr>
        <w:tblPrEx>
          <w:tblCellMar>
            <w:top w:w="0" w:type="dxa"/>
            <w:left w:w="108" w:type="dxa"/>
            <w:bottom w:w="0" w:type="dxa"/>
            <w:right w:w="108" w:type="dxa"/>
          </w:tblCellMar>
        </w:tblPrEx>
        <w:trPr>
          <w:trHeight w:val="280" w:hRule="atLeast"/>
        </w:trPr>
        <w:tc>
          <w:tcPr>
            <w:tcW w:w="559" w:type="dxa"/>
            <w:vMerge w:val="restart"/>
            <w:tcBorders>
              <w:top w:val="single" w:color="000000" w:sz="8" w:space="0"/>
              <w:left w:val="single" w:color="000000" w:sz="8" w:space="0"/>
              <w:bottom w:val="single" w:color="000000"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序号</w:t>
            </w:r>
          </w:p>
        </w:tc>
        <w:tc>
          <w:tcPr>
            <w:tcW w:w="725" w:type="dxa"/>
            <w:vMerge w:val="restart"/>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地级市</w:t>
            </w:r>
          </w:p>
        </w:tc>
        <w:tc>
          <w:tcPr>
            <w:tcW w:w="3975" w:type="dxa"/>
            <w:gridSpan w:val="5"/>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河道清淤疏浚</w:t>
            </w:r>
          </w:p>
        </w:tc>
        <w:tc>
          <w:tcPr>
            <w:tcW w:w="3890" w:type="dxa"/>
            <w:gridSpan w:val="5"/>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河道拓宽</w:t>
            </w:r>
          </w:p>
        </w:tc>
        <w:tc>
          <w:tcPr>
            <w:tcW w:w="2767" w:type="dxa"/>
            <w:gridSpan w:val="3"/>
            <w:tcBorders>
              <w:top w:val="single" w:color="000000" w:sz="8"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碍洪建筑物整治</w:t>
            </w:r>
          </w:p>
        </w:tc>
        <w:tc>
          <w:tcPr>
            <w:tcW w:w="2870" w:type="dxa"/>
            <w:gridSpan w:val="3"/>
            <w:tcBorders>
              <w:top w:val="single" w:color="000000" w:sz="8"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其他河道整治项目</w:t>
            </w:r>
          </w:p>
        </w:tc>
      </w:tr>
      <w:tr>
        <w:tblPrEx>
          <w:tblCellMar>
            <w:top w:w="0" w:type="dxa"/>
            <w:left w:w="108" w:type="dxa"/>
            <w:bottom w:w="0" w:type="dxa"/>
            <w:right w:w="108" w:type="dxa"/>
          </w:tblCellMar>
        </w:tblPrEx>
        <w:trPr>
          <w:trHeight w:val="280" w:hRule="atLeast"/>
        </w:trPr>
        <w:tc>
          <w:tcPr>
            <w:tcW w:w="559" w:type="dxa"/>
            <w:vMerge w:val="continue"/>
            <w:tcBorders>
              <w:top w:val="single" w:color="000000" w:sz="8" w:space="0"/>
              <w:left w:val="single" w:color="000000" w:sz="8" w:space="0"/>
              <w:bottom w:val="single" w:color="000000" w:sz="4" w:space="0"/>
              <w:right w:val="single" w:color="000000" w:sz="4" w:space="0"/>
            </w:tcBorders>
            <w:noWrap/>
            <w:vAlign w:val="center"/>
          </w:tcPr>
          <w:p>
            <w:pPr>
              <w:rPr>
                <w:color w:val="auto"/>
                <w:sz w:val="18"/>
                <w:szCs w:val="18"/>
                <w:highlight w:val="none"/>
              </w:rPr>
            </w:pPr>
          </w:p>
        </w:tc>
        <w:tc>
          <w:tcPr>
            <w:tcW w:w="725" w:type="dxa"/>
            <w:vMerge w:val="continue"/>
            <w:tcBorders>
              <w:top w:val="single" w:color="000000" w:sz="8" w:space="0"/>
              <w:left w:val="single" w:color="000000" w:sz="4" w:space="0"/>
              <w:bottom w:val="single" w:color="000000" w:sz="4" w:space="0"/>
              <w:right w:val="single" w:color="000000" w:sz="4" w:space="0"/>
            </w:tcBorders>
            <w:noWrap/>
            <w:vAlign w:val="center"/>
          </w:tcPr>
          <w:p>
            <w:pPr>
              <w:rPr>
                <w:color w:val="auto"/>
                <w:sz w:val="18"/>
                <w:szCs w:val="18"/>
                <w:highlight w:val="none"/>
              </w:rPr>
            </w:pPr>
          </w:p>
        </w:tc>
        <w:tc>
          <w:tcPr>
            <w:tcW w:w="559"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河段</w:t>
            </w:r>
          </w:p>
        </w:tc>
        <w:tc>
          <w:tcPr>
            <w:tcW w:w="602"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w:t>
            </w:r>
          </w:p>
        </w:tc>
        <w:tc>
          <w:tcPr>
            <w:tcW w:w="766"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清淤</w:t>
            </w:r>
          </w:p>
          <w:p>
            <w:pPr>
              <w:widowControl/>
              <w:jc w:val="center"/>
              <w:textAlignment w:val="center"/>
              <w:rPr>
                <w:rFonts w:eastAsia="楷体"/>
                <w:color w:val="auto"/>
                <w:sz w:val="18"/>
                <w:szCs w:val="18"/>
                <w:highlight w:val="none"/>
              </w:rPr>
            </w:pPr>
            <w:r>
              <w:rPr>
                <w:rFonts w:eastAsia="楷体"/>
                <w:color w:val="auto"/>
                <w:kern w:val="0"/>
                <w:sz w:val="18"/>
                <w:szCs w:val="18"/>
                <w:highlight w:val="none"/>
              </w:rPr>
              <w:t>疏浚量</w:t>
            </w:r>
          </w:p>
        </w:tc>
        <w:tc>
          <w:tcPr>
            <w:tcW w:w="1075"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规划水平年</w:t>
            </w:r>
          </w:p>
          <w:p>
            <w:pPr>
              <w:widowControl/>
              <w:jc w:val="center"/>
              <w:textAlignment w:val="center"/>
              <w:rPr>
                <w:rFonts w:eastAsia="楷体"/>
                <w:color w:val="auto"/>
                <w:sz w:val="18"/>
                <w:szCs w:val="18"/>
                <w:highlight w:val="none"/>
              </w:rPr>
            </w:pPr>
            <w:r>
              <w:rPr>
                <w:rFonts w:eastAsia="楷体"/>
                <w:color w:val="auto"/>
                <w:kern w:val="0"/>
                <w:sz w:val="18"/>
                <w:szCs w:val="18"/>
                <w:highlight w:val="none"/>
              </w:rPr>
              <w:t>（2035年）</w:t>
            </w:r>
          </w:p>
        </w:tc>
        <w:tc>
          <w:tcPr>
            <w:tcW w:w="973"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远景展望</w:t>
            </w:r>
          </w:p>
          <w:p>
            <w:pPr>
              <w:widowControl/>
              <w:jc w:val="center"/>
              <w:textAlignment w:val="center"/>
              <w:rPr>
                <w:rFonts w:eastAsia="楷体"/>
                <w:color w:val="auto"/>
                <w:sz w:val="18"/>
                <w:szCs w:val="18"/>
                <w:highlight w:val="none"/>
              </w:rPr>
            </w:pPr>
            <w:r>
              <w:rPr>
                <w:rFonts w:eastAsia="楷体"/>
                <w:color w:val="auto"/>
                <w:kern w:val="0"/>
                <w:sz w:val="18"/>
                <w:szCs w:val="18"/>
                <w:highlight w:val="none"/>
              </w:rPr>
              <w:t>（2050年）</w:t>
            </w:r>
          </w:p>
        </w:tc>
        <w:tc>
          <w:tcPr>
            <w:tcW w:w="581"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河段</w:t>
            </w:r>
          </w:p>
        </w:tc>
        <w:tc>
          <w:tcPr>
            <w:tcW w:w="594"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w:t>
            </w:r>
          </w:p>
        </w:tc>
        <w:tc>
          <w:tcPr>
            <w:tcW w:w="707"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增加</w:t>
            </w:r>
          </w:p>
          <w:p>
            <w:pPr>
              <w:widowControl/>
              <w:jc w:val="center"/>
              <w:textAlignment w:val="center"/>
              <w:rPr>
                <w:rFonts w:eastAsia="楷体"/>
                <w:color w:val="auto"/>
                <w:sz w:val="18"/>
                <w:szCs w:val="18"/>
                <w:highlight w:val="none"/>
              </w:rPr>
            </w:pPr>
            <w:r>
              <w:rPr>
                <w:rFonts w:eastAsia="楷体"/>
                <w:color w:val="auto"/>
                <w:kern w:val="0"/>
                <w:sz w:val="18"/>
                <w:szCs w:val="18"/>
                <w:highlight w:val="none"/>
              </w:rPr>
              <w:t>河宽</w:t>
            </w:r>
          </w:p>
        </w:tc>
        <w:tc>
          <w:tcPr>
            <w:tcW w:w="102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规划水平年</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（2035年）</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远景展望</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（2050年）</w:t>
            </w:r>
          </w:p>
        </w:tc>
        <w:tc>
          <w:tcPr>
            <w:tcW w:w="695"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数量</w:t>
            </w:r>
          </w:p>
        </w:tc>
        <w:tc>
          <w:tcPr>
            <w:tcW w:w="104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规划水平年</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（2035年）</w:t>
            </w:r>
          </w:p>
        </w:tc>
        <w:tc>
          <w:tcPr>
            <w:tcW w:w="1024"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远景展望</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（2050年）</w:t>
            </w:r>
          </w:p>
        </w:tc>
        <w:tc>
          <w:tcPr>
            <w:tcW w:w="682"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数量</w:t>
            </w:r>
          </w:p>
        </w:tc>
        <w:tc>
          <w:tcPr>
            <w:tcW w:w="1184" w:type="dxa"/>
            <w:tcBorders>
              <w:top w:val="single" w:color="000000" w:sz="4" w:space="0"/>
              <w:left w:val="single" w:color="000000" w:sz="4" w:space="0"/>
              <w:bottom w:val="single" w:color="auto" w:sz="4" w:space="0"/>
              <w:right w:val="single" w:color="000000" w:sz="4"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规划水平年</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（2035年）</w:t>
            </w:r>
          </w:p>
        </w:tc>
        <w:tc>
          <w:tcPr>
            <w:tcW w:w="1004"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远景展望</w:t>
            </w:r>
          </w:p>
          <w:p>
            <w:pPr>
              <w:widowControl/>
              <w:jc w:val="center"/>
              <w:textAlignment w:val="center"/>
              <w:rPr>
                <w:rFonts w:eastAsia="楷体"/>
                <w:color w:val="auto"/>
                <w:kern w:val="0"/>
                <w:sz w:val="18"/>
                <w:szCs w:val="18"/>
                <w:highlight w:val="none"/>
              </w:rPr>
            </w:pPr>
            <w:r>
              <w:rPr>
                <w:rFonts w:eastAsia="楷体"/>
                <w:color w:val="auto"/>
                <w:kern w:val="0"/>
                <w:sz w:val="18"/>
                <w:szCs w:val="18"/>
                <w:highlight w:val="none"/>
              </w:rPr>
              <w:t>（2050年）</w:t>
            </w:r>
          </w:p>
        </w:tc>
      </w:tr>
      <w:tr>
        <w:tblPrEx>
          <w:tblCellMar>
            <w:top w:w="0" w:type="dxa"/>
            <w:left w:w="108" w:type="dxa"/>
            <w:bottom w:w="0" w:type="dxa"/>
            <w:right w:w="108" w:type="dxa"/>
          </w:tblCellMar>
        </w:tblPrEx>
        <w:trPr>
          <w:trHeight w:val="280" w:hRule="atLeast"/>
        </w:trPr>
        <w:tc>
          <w:tcPr>
            <w:tcW w:w="559" w:type="dxa"/>
            <w:vMerge w:val="continue"/>
            <w:tcBorders>
              <w:top w:val="single" w:color="000000" w:sz="8" w:space="0"/>
              <w:left w:val="single" w:color="000000" w:sz="8" w:space="0"/>
              <w:bottom w:val="single" w:color="000000" w:sz="4" w:space="0"/>
              <w:right w:val="single" w:color="000000" w:sz="4" w:space="0"/>
            </w:tcBorders>
            <w:noWrap/>
            <w:vAlign w:val="center"/>
          </w:tcPr>
          <w:p>
            <w:pPr>
              <w:rPr>
                <w:color w:val="auto"/>
                <w:sz w:val="18"/>
                <w:szCs w:val="18"/>
                <w:highlight w:val="none"/>
              </w:rPr>
            </w:pPr>
          </w:p>
        </w:tc>
        <w:tc>
          <w:tcPr>
            <w:tcW w:w="725" w:type="dxa"/>
            <w:vMerge w:val="continue"/>
            <w:tcBorders>
              <w:top w:val="single" w:color="000000" w:sz="8" w:space="0"/>
              <w:left w:val="single" w:color="000000" w:sz="4" w:space="0"/>
              <w:bottom w:val="single" w:color="000000" w:sz="4" w:space="0"/>
              <w:right w:val="single" w:color="000000" w:sz="4" w:space="0"/>
            </w:tcBorders>
            <w:noWrap/>
            <w:vAlign w:val="center"/>
          </w:tcPr>
          <w:p>
            <w:pPr>
              <w:rPr>
                <w:color w:val="auto"/>
                <w:sz w:val="18"/>
                <w:szCs w:val="18"/>
                <w:highlight w:val="none"/>
              </w:rPr>
            </w:pPr>
          </w:p>
        </w:tc>
        <w:tc>
          <w:tcPr>
            <w:tcW w:w="559"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处</w:t>
            </w:r>
          </w:p>
        </w:tc>
        <w:tc>
          <w:tcPr>
            <w:tcW w:w="602"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km</w:t>
            </w:r>
          </w:p>
        </w:tc>
        <w:tc>
          <w:tcPr>
            <w:tcW w:w="766"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万m</w:t>
            </w:r>
            <w:r>
              <w:rPr>
                <w:rFonts w:eastAsia="楷体"/>
                <w:color w:val="auto"/>
                <w:kern w:val="0"/>
                <w:sz w:val="18"/>
                <w:szCs w:val="18"/>
                <w:highlight w:val="none"/>
                <w:vertAlign w:val="superscript"/>
              </w:rPr>
              <w:t>3</w:t>
            </w:r>
          </w:p>
        </w:tc>
        <w:tc>
          <w:tcPr>
            <w:tcW w:w="1075"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长度（km）</w:t>
            </w:r>
          </w:p>
        </w:tc>
        <w:tc>
          <w:tcPr>
            <w:tcW w:w="973"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长度（km）</w:t>
            </w:r>
          </w:p>
        </w:tc>
        <w:tc>
          <w:tcPr>
            <w:tcW w:w="581" w:type="dxa"/>
            <w:tcBorders>
              <w:top w:val="single" w:color="auto" w:sz="4" w:space="0"/>
              <w:left w:val="single" w:color="000000" w:sz="4" w:space="0"/>
              <w:bottom w:val="single" w:color="000000" w:sz="4" w:space="0"/>
              <w:right w:val="single" w:color="000000" w:sz="4" w:space="0"/>
            </w:tcBorders>
            <w:noWrap/>
            <w:vAlign w:val="center"/>
          </w:tcPr>
          <w:p>
            <w:pPr>
              <w:jc w:val="center"/>
              <w:rPr>
                <w:color w:val="auto"/>
                <w:sz w:val="18"/>
                <w:szCs w:val="18"/>
                <w:highlight w:val="none"/>
              </w:rPr>
            </w:pPr>
            <w:r>
              <w:rPr>
                <w:rFonts w:eastAsia="楷体"/>
                <w:color w:val="auto"/>
                <w:kern w:val="0"/>
                <w:sz w:val="18"/>
                <w:szCs w:val="18"/>
                <w:highlight w:val="none"/>
              </w:rPr>
              <w:t>处</w:t>
            </w:r>
          </w:p>
        </w:tc>
        <w:tc>
          <w:tcPr>
            <w:tcW w:w="594"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km</w:t>
            </w:r>
          </w:p>
        </w:tc>
        <w:tc>
          <w:tcPr>
            <w:tcW w:w="707"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m</w:t>
            </w:r>
          </w:p>
        </w:tc>
        <w:tc>
          <w:tcPr>
            <w:tcW w:w="1023"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w:t>
            </w:r>
            <w:r>
              <w:rPr>
                <w:rFonts w:hint="eastAsia" w:eastAsia="楷体"/>
                <w:color w:val="auto"/>
                <w:kern w:val="0"/>
                <w:sz w:val="18"/>
                <w:szCs w:val="18"/>
                <w:highlight w:val="none"/>
                <w:lang w:eastAsia="zh-CN"/>
              </w:rPr>
              <w:t>（</w:t>
            </w:r>
            <w:r>
              <w:rPr>
                <w:rFonts w:eastAsia="楷体"/>
                <w:color w:val="auto"/>
                <w:kern w:val="0"/>
                <w:sz w:val="18"/>
                <w:szCs w:val="18"/>
                <w:highlight w:val="none"/>
              </w:rPr>
              <w:t>km</w:t>
            </w:r>
            <w:r>
              <w:rPr>
                <w:rFonts w:hint="eastAsia" w:eastAsia="楷体"/>
                <w:color w:val="auto"/>
                <w:kern w:val="0"/>
                <w:sz w:val="18"/>
                <w:szCs w:val="18"/>
                <w:highlight w:val="none"/>
                <w:lang w:eastAsia="zh-CN"/>
              </w:rPr>
              <w:t>）</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长度</w:t>
            </w:r>
            <w:r>
              <w:rPr>
                <w:rFonts w:hint="eastAsia" w:eastAsia="楷体"/>
                <w:color w:val="auto"/>
                <w:kern w:val="0"/>
                <w:sz w:val="18"/>
                <w:szCs w:val="18"/>
                <w:highlight w:val="none"/>
                <w:lang w:eastAsia="zh-CN"/>
              </w:rPr>
              <w:t>（</w:t>
            </w:r>
            <w:r>
              <w:rPr>
                <w:rFonts w:eastAsia="楷体"/>
                <w:color w:val="auto"/>
                <w:kern w:val="0"/>
                <w:sz w:val="18"/>
                <w:szCs w:val="18"/>
                <w:highlight w:val="none"/>
              </w:rPr>
              <w:t>km</w:t>
            </w:r>
            <w:r>
              <w:rPr>
                <w:rFonts w:hint="eastAsia" w:eastAsia="楷体"/>
                <w:color w:val="auto"/>
                <w:kern w:val="0"/>
                <w:sz w:val="18"/>
                <w:szCs w:val="18"/>
                <w:highlight w:val="none"/>
                <w:lang w:eastAsia="zh-CN"/>
              </w:rPr>
              <w:t>）</w:t>
            </w:r>
          </w:p>
        </w:tc>
        <w:tc>
          <w:tcPr>
            <w:tcW w:w="695" w:type="dxa"/>
            <w:tcBorders>
              <w:top w:val="single" w:color="auto" w:sz="4" w:space="0"/>
              <w:left w:val="single" w:color="000000" w:sz="4" w:space="0"/>
              <w:bottom w:val="single" w:color="000000" w:sz="4" w:space="0"/>
              <w:right w:val="single" w:color="000000" w:sz="4" w:space="0"/>
            </w:tcBorders>
            <w:noWrap/>
            <w:vAlign w:val="center"/>
          </w:tcPr>
          <w:p>
            <w:pPr>
              <w:jc w:val="center"/>
              <w:rPr>
                <w:color w:val="auto"/>
                <w:sz w:val="18"/>
                <w:szCs w:val="18"/>
                <w:highlight w:val="none"/>
              </w:rPr>
            </w:pPr>
            <w:r>
              <w:rPr>
                <w:rFonts w:eastAsia="楷体"/>
                <w:color w:val="auto"/>
                <w:kern w:val="0"/>
                <w:sz w:val="18"/>
                <w:szCs w:val="18"/>
                <w:highlight w:val="none"/>
              </w:rPr>
              <w:t>处</w:t>
            </w:r>
          </w:p>
        </w:tc>
        <w:tc>
          <w:tcPr>
            <w:tcW w:w="104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数量（处）</w:t>
            </w:r>
          </w:p>
        </w:tc>
        <w:tc>
          <w:tcPr>
            <w:tcW w:w="1024" w:type="dxa"/>
            <w:tcBorders>
              <w:top w:val="single" w:color="auto" w:sz="4" w:space="0"/>
              <w:left w:val="single" w:color="000000" w:sz="4" w:space="0"/>
              <w:bottom w:val="single" w:color="000000" w:sz="4" w:space="0"/>
              <w:right w:val="single" w:color="000000" w:sz="4" w:space="0"/>
            </w:tcBorders>
            <w:noWrap/>
            <w:vAlign w:val="center"/>
          </w:tcPr>
          <w:p>
            <w:pPr>
              <w:widowControl/>
              <w:jc w:val="both"/>
              <w:textAlignment w:val="center"/>
              <w:rPr>
                <w:rFonts w:eastAsia="楷体"/>
                <w:color w:val="auto"/>
                <w:sz w:val="18"/>
                <w:szCs w:val="18"/>
                <w:highlight w:val="none"/>
              </w:rPr>
            </w:pPr>
            <w:r>
              <w:rPr>
                <w:rFonts w:eastAsia="楷体"/>
                <w:color w:val="auto"/>
                <w:kern w:val="0"/>
                <w:sz w:val="18"/>
                <w:szCs w:val="18"/>
                <w:highlight w:val="none"/>
              </w:rPr>
              <w:t>数量（处）</w:t>
            </w:r>
          </w:p>
        </w:tc>
        <w:tc>
          <w:tcPr>
            <w:tcW w:w="682" w:type="dxa"/>
            <w:tcBorders>
              <w:top w:val="single" w:color="auto" w:sz="4" w:space="0"/>
              <w:left w:val="single" w:color="000000" w:sz="4" w:space="0"/>
              <w:bottom w:val="single" w:color="000000" w:sz="4" w:space="0"/>
              <w:right w:val="single" w:color="000000" w:sz="4" w:space="0"/>
            </w:tcBorders>
            <w:noWrap/>
            <w:vAlign w:val="center"/>
          </w:tcPr>
          <w:p>
            <w:pPr>
              <w:jc w:val="center"/>
              <w:rPr>
                <w:color w:val="auto"/>
                <w:sz w:val="18"/>
                <w:szCs w:val="18"/>
                <w:highlight w:val="none"/>
              </w:rPr>
            </w:pPr>
            <w:r>
              <w:rPr>
                <w:rFonts w:eastAsia="楷体"/>
                <w:color w:val="auto"/>
                <w:kern w:val="0"/>
                <w:sz w:val="18"/>
                <w:szCs w:val="18"/>
                <w:highlight w:val="none"/>
              </w:rPr>
              <w:t>处</w:t>
            </w:r>
          </w:p>
        </w:tc>
        <w:tc>
          <w:tcPr>
            <w:tcW w:w="1184" w:type="dxa"/>
            <w:tcBorders>
              <w:top w:val="single" w:color="auto"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数量（处）</w:t>
            </w:r>
          </w:p>
        </w:tc>
        <w:tc>
          <w:tcPr>
            <w:tcW w:w="1004" w:type="dxa"/>
            <w:tcBorders>
              <w:top w:val="single" w:color="000000" w:sz="4" w:space="0"/>
              <w:left w:val="single" w:color="000000" w:sz="4" w:space="0"/>
              <w:bottom w:val="single" w:color="000000" w:sz="4" w:space="0"/>
              <w:right w:val="single" w:color="000000" w:sz="8"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数量（处）</w:t>
            </w:r>
          </w:p>
        </w:tc>
      </w:tr>
      <w:tr>
        <w:tblPrEx>
          <w:tblCellMar>
            <w:top w:w="0" w:type="dxa"/>
            <w:left w:w="108" w:type="dxa"/>
            <w:bottom w:w="0" w:type="dxa"/>
            <w:right w:w="108" w:type="dxa"/>
          </w:tblCellMar>
        </w:tblPrEx>
        <w:trPr>
          <w:trHeight w:val="90" w:hRule="atLeast"/>
        </w:trPr>
        <w:tc>
          <w:tcPr>
            <w:tcW w:w="559" w:type="dxa"/>
            <w:tcBorders>
              <w:top w:val="single" w:color="000000" w:sz="4" w:space="0"/>
              <w:left w:val="single" w:color="000000" w:sz="8" w:space="0"/>
              <w:bottom w:val="single" w:color="000000" w:sz="4" w:space="0"/>
              <w:right w:val="single" w:color="000000" w:sz="4" w:space="0"/>
            </w:tcBorders>
            <w:shd w:val="clear" w:color="auto" w:fill="auto"/>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德阳市</w:t>
            </w:r>
          </w:p>
        </w:tc>
        <w:tc>
          <w:tcPr>
            <w:tcW w:w="55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9</w:t>
            </w:r>
          </w:p>
        </w:tc>
        <w:tc>
          <w:tcPr>
            <w:tcW w:w="6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51.8 </w:t>
            </w:r>
          </w:p>
        </w:tc>
        <w:tc>
          <w:tcPr>
            <w:tcW w:w="7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2532</w:t>
            </w:r>
          </w:p>
        </w:tc>
        <w:tc>
          <w:tcPr>
            <w:tcW w:w="10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51.8 </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5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59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7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10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9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69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104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45</w:t>
            </w:r>
          </w:p>
        </w:tc>
        <w:tc>
          <w:tcPr>
            <w:tcW w:w="118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45</w:t>
            </w:r>
          </w:p>
        </w:tc>
        <w:tc>
          <w:tcPr>
            <w:tcW w:w="1004" w:type="dxa"/>
            <w:tcBorders>
              <w:top w:val="single" w:color="000000" w:sz="4" w:space="0"/>
              <w:left w:val="single" w:color="000000" w:sz="4" w:space="0"/>
              <w:bottom w:val="single" w:color="000000" w:sz="4" w:space="0"/>
              <w:right w:val="single" w:color="000000" w:sz="8" w:space="0"/>
            </w:tcBorders>
            <w:shd w:val="clear" w:color="auto" w:fill="FFFFFF"/>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80" w:hRule="atLeast"/>
        </w:trPr>
        <w:tc>
          <w:tcPr>
            <w:tcW w:w="559"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2</w:t>
            </w:r>
          </w:p>
        </w:tc>
        <w:tc>
          <w:tcPr>
            <w:tcW w:w="7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成都市</w:t>
            </w:r>
          </w:p>
        </w:tc>
        <w:tc>
          <w:tcPr>
            <w:tcW w:w="55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7</w:t>
            </w:r>
          </w:p>
        </w:tc>
        <w:tc>
          <w:tcPr>
            <w:tcW w:w="6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29.6</w:t>
            </w:r>
          </w:p>
        </w:tc>
        <w:tc>
          <w:tcPr>
            <w:tcW w:w="76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29.6</w:t>
            </w:r>
          </w:p>
        </w:tc>
        <w:tc>
          <w:tcPr>
            <w:tcW w:w="973"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58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3.15</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10</w:t>
            </w:r>
            <w:r>
              <w:rPr>
                <w:rFonts w:ascii="楷体" w:hAnsi="楷体" w:eastAsia="楷体" w:cs="楷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30</w:t>
            </w:r>
          </w:p>
        </w:tc>
        <w:tc>
          <w:tcPr>
            <w:tcW w:w="102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3.15</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9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104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102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10</w:t>
            </w:r>
          </w:p>
        </w:tc>
        <w:tc>
          <w:tcPr>
            <w:tcW w:w="118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10</w:t>
            </w:r>
          </w:p>
        </w:tc>
        <w:tc>
          <w:tcPr>
            <w:tcW w:w="1004"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80" w:hRule="atLeast"/>
        </w:trPr>
        <w:tc>
          <w:tcPr>
            <w:tcW w:w="559"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3</w:t>
            </w:r>
          </w:p>
        </w:tc>
        <w:tc>
          <w:tcPr>
            <w:tcW w:w="7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资阳市</w:t>
            </w:r>
          </w:p>
        </w:tc>
        <w:tc>
          <w:tcPr>
            <w:tcW w:w="55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6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42.9 </w:t>
            </w:r>
          </w:p>
        </w:tc>
        <w:tc>
          <w:tcPr>
            <w:tcW w:w="76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7.58</w:t>
            </w:r>
          </w:p>
        </w:tc>
        <w:tc>
          <w:tcPr>
            <w:tcW w:w="9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35.3</w:t>
            </w:r>
          </w:p>
        </w:tc>
        <w:tc>
          <w:tcPr>
            <w:tcW w:w="58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59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3"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98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9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4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18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04"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80" w:hRule="atLeast"/>
        </w:trPr>
        <w:tc>
          <w:tcPr>
            <w:tcW w:w="559"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4</w:t>
            </w:r>
          </w:p>
        </w:tc>
        <w:tc>
          <w:tcPr>
            <w:tcW w:w="7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内江市</w:t>
            </w:r>
          </w:p>
        </w:tc>
        <w:tc>
          <w:tcPr>
            <w:tcW w:w="55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4</w:t>
            </w:r>
          </w:p>
        </w:tc>
        <w:tc>
          <w:tcPr>
            <w:tcW w:w="6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11.5 </w:t>
            </w:r>
          </w:p>
        </w:tc>
        <w:tc>
          <w:tcPr>
            <w:tcW w:w="76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40.9 </w:t>
            </w:r>
          </w:p>
        </w:tc>
        <w:tc>
          <w:tcPr>
            <w:tcW w:w="10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10.4 </w:t>
            </w:r>
          </w:p>
        </w:tc>
        <w:tc>
          <w:tcPr>
            <w:tcW w:w="9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1.13</w:t>
            </w:r>
          </w:p>
        </w:tc>
        <w:tc>
          <w:tcPr>
            <w:tcW w:w="58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59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3"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98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9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4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18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04"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80" w:hRule="atLeast"/>
        </w:trPr>
        <w:tc>
          <w:tcPr>
            <w:tcW w:w="559"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5</w:t>
            </w:r>
          </w:p>
        </w:tc>
        <w:tc>
          <w:tcPr>
            <w:tcW w:w="7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自贡市</w:t>
            </w:r>
          </w:p>
        </w:tc>
        <w:tc>
          <w:tcPr>
            <w:tcW w:w="55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w:t>
            </w:r>
          </w:p>
        </w:tc>
        <w:tc>
          <w:tcPr>
            <w:tcW w:w="6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9</w:t>
            </w:r>
          </w:p>
        </w:tc>
        <w:tc>
          <w:tcPr>
            <w:tcW w:w="766"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6.5</w:t>
            </w:r>
          </w:p>
        </w:tc>
        <w:tc>
          <w:tcPr>
            <w:tcW w:w="9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58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594"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5</w:t>
            </w:r>
            <w:r>
              <w:rPr>
                <w:rFonts w:ascii="楷体" w:hAnsi="楷体" w:eastAsia="楷体" w:cs="楷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20</w:t>
            </w:r>
          </w:p>
        </w:tc>
        <w:tc>
          <w:tcPr>
            <w:tcW w:w="1023"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98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69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4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18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04"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60" w:hRule="atLeast"/>
        </w:trPr>
        <w:tc>
          <w:tcPr>
            <w:tcW w:w="559" w:type="dxa"/>
            <w:tcBorders>
              <w:top w:val="single" w:color="000000" w:sz="4" w:space="0"/>
              <w:left w:val="single" w:color="000000" w:sz="8" w:space="0"/>
              <w:bottom w:val="single" w:color="000000" w:sz="4" w:space="0"/>
              <w:right w:val="single" w:color="000000" w:sz="4" w:space="0"/>
            </w:tcBorders>
            <w:noWrap/>
            <w:vAlign w:val="bottom"/>
          </w:tcPr>
          <w:p>
            <w:pPr>
              <w:widowControl/>
              <w:jc w:val="center"/>
              <w:textAlignment w:val="bottom"/>
              <w:rPr>
                <w:rFonts w:eastAsia="等线"/>
                <w:color w:val="auto"/>
                <w:sz w:val="18"/>
                <w:szCs w:val="18"/>
                <w:highlight w:val="none"/>
              </w:rPr>
            </w:pPr>
            <w:r>
              <w:rPr>
                <w:rFonts w:eastAsia="等线"/>
                <w:color w:val="auto"/>
                <w:kern w:val="0"/>
                <w:sz w:val="18"/>
                <w:szCs w:val="18"/>
                <w:highlight w:val="none"/>
              </w:rPr>
              <w:t>6</w:t>
            </w:r>
          </w:p>
        </w:tc>
        <w:tc>
          <w:tcPr>
            <w:tcW w:w="7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泸州市</w:t>
            </w:r>
          </w:p>
        </w:tc>
        <w:tc>
          <w:tcPr>
            <w:tcW w:w="55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60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239 </w:t>
            </w:r>
          </w:p>
        </w:tc>
        <w:tc>
          <w:tcPr>
            <w:tcW w:w="76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2212</w:t>
            </w:r>
          </w:p>
        </w:tc>
        <w:tc>
          <w:tcPr>
            <w:tcW w:w="10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92.6</w:t>
            </w:r>
          </w:p>
        </w:tc>
        <w:tc>
          <w:tcPr>
            <w:tcW w:w="9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146 </w:t>
            </w:r>
          </w:p>
        </w:tc>
        <w:tc>
          <w:tcPr>
            <w:tcW w:w="581"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59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3"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98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95"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48"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2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kern w:val="0"/>
                <w:sz w:val="18"/>
                <w:szCs w:val="18"/>
                <w:highlight w:val="none"/>
              </w:rPr>
            </w:pPr>
          </w:p>
        </w:tc>
        <w:tc>
          <w:tcPr>
            <w:tcW w:w="1184" w:type="dxa"/>
            <w:tcBorders>
              <w:top w:val="single" w:color="000000" w:sz="4" w:space="0"/>
              <w:left w:val="single" w:color="000000" w:sz="4" w:space="0"/>
              <w:bottom w:val="single" w:color="000000" w:sz="4" w:space="0"/>
              <w:right w:val="single" w:color="000000" w:sz="4" w:space="0"/>
            </w:tcBorders>
            <w:noWrap/>
            <w:vAlign w:val="center"/>
          </w:tcPr>
          <w:p>
            <w:pPr>
              <w:jc w:val="center"/>
              <w:rPr>
                <w:rFonts w:eastAsia="楷体"/>
                <w:color w:val="auto"/>
                <w:sz w:val="18"/>
                <w:szCs w:val="18"/>
                <w:highlight w:val="none"/>
              </w:rPr>
            </w:pPr>
          </w:p>
        </w:tc>
        <w:tc>
          <w:tcPr>
            <w:tcW w:w="1004" w:type="dxa"/>
            <w:tcBorders>
              <w:top w:val="single" w:color="000000" w:sz="4" w:space="0"/>
              <w:left w:val="single" w:color="000000" w:sz="4" w:space="0"/>
              <w:bottom w:val="single" w:color="000000" w:sz="4" w:space="0"/>
              <w:right w:val="single" w:color="000000" w:sz="8" w:space="0"/>
            </w:tcBorders>
            <w:noWrap/>
            <w:vAlign w:val="center"/>
          </w:tcPr>
          <w:p>
            <w:pPr>
              <w:jc w:val="center"/>
              <w:rPr>
                <w:rFonts w:eastAsia="楷体"/>
                <w:color w:val="auto"/>
                <w:sz w:val="18"/>
                <w:szCs w:val="18"/>
                <w:highlight w:val="none"/>
              </w:rPr>
            </w:pPr>
          </w:p>
        </w:tc>
      </w:tr>
      <w:tr>
        <w:tblPrEx>
          <w:tblCellMar>
            <w:top w:w="0" w:type="dxa"/>
            <w:left w:w="108" w:type="dxa"/>
            <w:bottom w:w="0" w:type="dxa"/>
            <w:right w:w="108" w:type="dxa"/>
          </w:tblCellMar>
        </w:tblPrEx>
        <w:trPr>
          <w:trHeight w:val="295" w:hRule="atLeast"/>
        </w:trPr>
        <w:tc>
          <w:tcPr>
            <w:tcW w:w="1284" w:type="dxa"/>
            <w:gridSpan w:val="2"/>
            <w:tcBorders>
              <w:top w:val="single" w:color="000000" w:sz="4" w:space="0"/>
              <w:left w:val="single" w:color="000000" w:sz="8" w:space="0"/>
              <w:bottom w:val="single" w:color="000000" w:sz="8" w:space="0"/>
              <w:right w:val="single" w:color="000000" w:sz="4" w:space="0"/>
            </w:tcBorders>
            <w:noWrap/>
            <w:vAlign w:val="center"/>
          </w:tcPr>
          <w:p>
            <w:pPr>
              <w:widowControl/>
              <w:jc w:val="center"/>
              <w:textAlignment w:val="center"/>
              <w:rPr>
                <w:rFonts w:eastAsia="楷体"/>
                <w:color w:val="auto"/>
                <w:sz w:val="18"/>
                <w:szCs w:val="18"/>
                <w:highlight w:val="none"/>
              </w:rPr>
            </w:pPr>
            <w:r>
              <w:rPr>
                <w:rFonts w:eastAsia="楷体"/>
                <w:color w:val="auto"/>
                <w:kern w:val="0"/>
                <w:sz w:val="18"/>
                <w:szCs w:val="18"/>
                <w:highlight w:val="none"/>
              </w:rPr>
              <w:t>合计</w:t>
            </w:r>
          </w:p>
        </w:tc>
        <w:tc>
          <w:tcPr>
            <w:tcW w:w="559"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71</w:t>
            </w:r>
          </w:p>
        </w:tc>
        <w:tc>
          <w:tcPr>
            <w:tcW w:w="60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384 </w:t>
            </w:r>
          </w:p>
        </w:tc>
        <w:tc>
          <w:tcPr>
            <w:tcW w:w="766"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4785 </w:t>
            </w:r>
          </w:p>
        </w:tc>
        <w:tc>
          <w:tcPr>
            <w:tcW w:w="107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198 </w:t>
            </w:r>
          </w:p>
        </w:tc>
        <w:tc>
          <w:tcPr>
            <w:tcW w:w="97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等线"/>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 xml:space="preserve">185 </w:t>
            </w:r>
          </w:p>
        </w:tc>
        <w:tc>
          <w:tcPr>
            <w:tcW w:w="581"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等线"/>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2</w:t>
            </w:r>
          </w:p>
        </w:tc>
        <w:tc>
          <w:tcPr>
            <w:tcW w:w="59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等线"/>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4.15</w:t>
            </w:r>
          </w:p>
        </w:tc>
        <w:tc>
          <w:tcPr>
            <w:tcW w:w="707"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等线"/>
                <w:color w:val="auto"/>
                <w:sz w:val="18"/>
                <w:szCs w:val="18"/>
                <w:highlight w:val="none"/>
              </w:rPr>
            </w:pPr>
          </w:p>
        </w:tc>
        <w:tc>
          <w:tcPr>
            <w:tcW w:w="1023"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3.15</w:t>
            </w:r>
          </w:p>
        </w:tc>
        <w:tc>
          <w:tcPr>
            <w:tcW w:w="98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695"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1048"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1024" w:type="dxa"/>
            <w:tcBorders>
              <w:top w:val="single" w:color="000000" w:sz="4" w:space="0"/>
              <w:left w:val="single" w:color="000000" w:sz="4" w:space="0"/>
              <w:bottom w:val="single" w:color="000000" w:sz="8" w:space="0"/>
              <w:right w:val="single" w:color="000000" w:sz="4" w:space="0"/>
            </w:tcBorders>
            <w:noWrap/>
            <w:vAlign w:val="center"/>
          </w:tcPr>
          <w:p>
            <w:pPr>
              <w:jc w:val="center"/>
              <w:rPr>
                <w:rFonts w:eastAsia="楷体"/>
                <w:color w:val="auto"/>
                <w:sz w:val="18"/>
                <w:szCs w:val="18"/>
                <w:highlight w:val="none"/>
              </w:rPr>
            </w:pPr>
          </w:p>
        </w:tc>
        <w:tc>
          <w:tcPr>
            <w:tcW w:w="68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1184"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widowControl/>
              <w:suppressLineNumbers w:val="0"/>
              <w:jc w:val="center"/>
              <w:textAlignment w:val="center"/>
              <w:rPr>
                <w:rFonts w:eastAsia="楷体"/>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1004" w:type="dxa"/>
            <w:tcBorders>
              <w:top w:val="single" w:color="000000" w:sz="4" w:space="0"/>
              <w:left w:val="single" w:color="000000" w:sz="4" w:space="0"/>
              <w:bottom w:val="single" w:color="000000" w:sz="8" w:space="0"/>
              <w:right w:val="single" w:color="000000" w:sz="8" w:space="0"/>
            </w:tcBorders>
            <w:noWrap/>
            <w:vAlign w:val="center"/>
          </w:tcPr>
          <w:p>
            <w:pPr>
              <w:rPr>
                <w:rFonts w:eastAsia="楷体"/>
                <w:color w:val="auto"/>
                <w:sz w:val="18"/>
                <w:szCs w:val="18"/>
                <w:highlight w:val="none"/>
              </w:rPr>
            </w:pPr>
          </w:p>
        </w:tc>
      </w:tr>
    </w:tbl>
    <w:p>
      <w:pPr>
        <w:pStyle w:val="6"/>
        <w:spacing w:beforeLines="0"/>
        <w:ind w:firstLine="0"/>
        <w:jc w:val="both"/>
        <w:rPr>
          <w:rFonts w:ascii="Times New Roman"/>
          <w:b w:val="0"/>
          <w:bCs w:val="0"/>
          <w:color w:val="auto"/>
          <w:sz w:val="28"/>
          <w:highlight w:val="none"/>
        </w:rPr>
      </w:pPr>
      <w:r>
        <w:rPr>
          <w:rFonts w:ascii="Times New Roman"/>
          <w:b w:val="0"/>
          <w:bCs w:val="0"/>
          <w:color w:val="auto"/>
          <w:sz w:val="28"/>
          <w:highlight w:val="none"/>
        </w:rPr>
        <w:t>表7.4.1                                  病险水库、水闸除险加固工程规划</w:t>
      </w:r>
      <w:r>
        <w:rPr>
          <w:rFonts w:hint="eastAsia" w:ascii="Times New Roman"/>
          <w:b w:val="0"/>
          <w:bCs w:val="0"/>
          <w:color w:val="auto"/>
          <w:sz w:val="28"/>
          <w:highlight w:val="none"/>
          <w:lang w:val="en-US" w:eastAsia="zh-CN"/>
        </w:rPr>
        <w:t>情况</w:t>
      </w:r>
      <w:r>
        <w:rPr>
          <w:rFonts w:ascii="Times New Roman"/>
          <w:b w:val="0"/>
          <w:bCs w:val="0"/>
          <w:color w:val="auto"/>
          <w:sz w:val="28"/>
          <w:highlight w:val="none"/>
        </w:rPr>
        <w:t>表</w:t>
      </w:r>
    </w:p>
    <w:tbl>
      <w:tblPr>
        <w:tblStyle w:val="88"/>
        <w:tblW w:w="5000"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611"/>
        <w:gridCol w:w="1023"/>
        <w:gridCol w:w="862"/>
        <w:gridCol w:w="1130"/>
        <w:gridCol w:w="1398"/>
        <w:gridCol w:w="1623"/>
        <w:gridCol w:w="1610"/>
        <w:gridCol w:w="833"/>
        <w:gridCol w:w="1145"/>
        <w:gridCol w:w="1214"/>
        <w:gridCol w:w="1721"/>
        <w:gridCol w:w="1618"/>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vMerge w:val="restar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序号</w:t>
            </w:r>
          </w:p>
        </w:tc>
        <w:tc>
          <w:tcPr>
            <w:tcW w:w="345" w:type="pct"/>
            <w:vMerge w:val="restar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地级市</w:t>
            </w:r>
          </w:p>
        </w:tc>
        <w:tc>
          <w:tcPr>
            <w:tcW w:w="2238" w:type="pct"/>
            <w:gridSpan w:val="5"/>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病险水库除险加固</w:t>
            </w:r>
          </w:p>
        </w:tc>
        <w:tc>
          <w:tcPr>
            <w:tcW w:w="2208" w:type="pct"/>
            <w:gridSpan w:val="5"/>
            <w:tcBorders>
              <w:tl2br w:val="nil"/>
              <w:tr2bl w:val="nil"/>
            </w:tcBorders>
            <w:noWrap/>
            <w:vAlign w:val="center"/>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病险水闸除险加固</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2" w:hRule="atLeast"/>
        </w:trPr>
        <w:tc>
          <w:tcPr>
            <w:tcW w:w="206" w:type="pct"/>
            <w:vMerge w:val="continue"/>
            <w:tcBorders>
              <w:tl2br w:val="nil"/>
              <w:tr2bl w:val="nil"/>
            </w:tcBorders>
            <w:noWrap/>
            <w:vAlign w:val="center"/>
          </w:tcPr>
          <w:p>
            <w:pPr>
              <w:rPr>
                <w:rFonts w:eastAsia="楷体"/>
                <w:color w:val="auto"/>
                <w:sz w:val="21"/>
                <w:szCs w:val="21"/>
                <w:highlight w:val="none"/>
              </w:rPr>
            </w:pPr>
          </w:p>
        </w:tc>
        <w:tc>
          <w:tcPr>
            <w:tcW w:w="345" w:type="pct"/>
            <w:vMerge w:val="continue"/>
            <w:tcBorders>
              <w:tl2br w:val="nil"/>
              <w:tr2bl w:val="nil"/>
            </w:tcBorders>
            <w:noWrap/>
            <w:vAlign w:val="center"/>
          </w:tcPr>
          <w:p>
            <w:pPr>
              <w:rPr>
                <w:rFonts w:eastAsia="楷体"/>
                <w:color w:val="auto"/>
                <w:sz w:val="21"/>
                <w:szCs w:val="21"/>
                <w:highlight w:val="none"/>
              </w:rPr>
            </w:pPr>
          </w:p>
        </w:tc>
        <w:tc>
          <w:tcPr>
            <w:tcW w:w="291"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数量</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（座）</w:t>
            </w:r>
          </w:p>
        </w:tc>
        <w:tc>
          <w:tcPr>
            <w:tcW w:w="3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大中型</w:t>
            </w: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小型</w:t>
            </w:r>
          </w:p>
        </w:tc>
        <w:tc>
          <w:tcPr>
            <w:tcW w:w="548"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规划水平年</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（2035年）</w:t>
            </w:r>
          </w:p>
        </w:tc>
        <w:tc>
          <w:tcPr>
            <w:tcW w:w="544"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远景展望</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（2050年）</w:t>
            </w:r>
          </w:p>
        </w:tc>
        <w:tc>
          <w:tcPr>
            <w:tcW w:w="281" w:type="pct"/>
            <w:vMerge w:val="restar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数量</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（座）</w:t>
            </w:r>
          </w:p>
        </w:tc>
        <w:tc>
          <w:tcPr>
            <w:tcW w:w="386"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大中型</w:t>
            </w:r>
          </w:p>
        </w:tc>
        <w:tc>
          <w:tcPr>
            <w:tcW w:w="410"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小型</w:t>
            </w:r>
          </w:p>
        </w:tc>
        <w:tc>
          <w:tcPr>
            <w:tcW w:w="582"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规划水平年</w:t>
            </w:r>
          </w:p>
          <w:p>
            <w:pPr>
              <w:widowControl/>
              <w:jc w:val="center"/>
              <w:textAlignment w:val="center"/>
              <w:rPr>
                <w:rFonts w:eastAsia="楷体"/>
                <w:color w:val="auto"/>
                <w:sz w:val="21"/>
                <w:szCs w:val="21"/>
                <w:highlight w:val="none"/>
              </w:rPr>
            </w:pPr>
            <w:r>
              <w:rPr>
                <w:rFonts w:eastAsia="楷体"/>
                <w:color w:val="auto"/>
                <w:kern w:val="0"/>
                <w:sz w:val="21"/>
                <w:szCs w:val="21"/>
                <w:highlight w:val="none"/>
              </w:rPr>
              <w:t>（2035年）</w:t>
            </w:r>
          </w:p>
        </w:tc>
        <w:tc>
          <w:tcPr>
            <w:tcW w:w="547" w:type="pct"/>
            <w:tcBorders>
              <w:tl2br w:val="nil"/>
              <w:tr2bl w:val="nil"/>
            </w:tcBorders>
            <w:noWrap/>
            <w:vAlign w:val="center"/>
          </w:tcPr>
          <w:p>
            <w:pPr>
              <w:rPr>
                <w:rFonts w:eastAsia="楷体"/>
                <w:color w:val="auto"/>
                <w:kern w:val="0"/>
                <w:sz w:val="21"/>
                <w:szCs w:val="21"/>
                <w:highlight w:val="none"/>
              </w:rPr>
            </w:pPr>
            <w:r>
              <w:rPr>
                <w:rFonts w:eastAsia="楷体"/>
                <w:color w:val="auto"/>
                <w:kern w:val="0"/>
                <w:sz w:val="21"/>
                <w:szCs w:val="21"/>
                <w:highlight w:val="none"/>
              </w:rPr>
              <w:t>远景展望</w:t>
            </w:r>
          </w:p>
          <w:p>
            <w:pPr>
              <w:rPr>
                <w:rFonts w:eastAsia="楷体"/>
                <w:color w:val="auto"/>
                <w:sz w:val="21"/>
                <w:szCs w:val="21"/>
                <w:highlight w:val="none"/>
              </w:rPr>
            </w:pPr>
            <w:r>
              <w:rPr>
                <w:rFonts w:eastAsia="楷体"/>
                <w:color w:val="auto"/>
                <w:kern w:val="0"/>
                <w:sz w:val="21"/>
                <w:szCs w:val="21"/>
                <w:highlight w:val="none"/>
              </w:rPr>
              <w:t>（2050年）</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206" w:type="pct"/>
            <w:vMerge w:val="continue"/>
            <w:tcBorders>
              <w:tl2br w:val="nil"/>
              <w:tr2bl w:val="nil"/>
            </w:tcBorders>
            <w:noWrap/>
            <w:vAlign w:val="center"/>
          </w:tcPr>
          <w:p>
            <w:pPr>
              <w:rPr>
                <w:rFonts w:eastAsia="楷体"/>
                <w:color w:val="auto"/>
                <w:sz w:val="21"/>
                <w:szCs w:val="21"/>
                <w:highlight w:val="none"/>
              </w:rPr>
            </w:pPr>
          </w:p>
        </w:tc>
        <w:tc>
          <w:tcPr>
            <w:tcW w:w="345" w:type="pct"/>
            <w:vMerge w:val="continue"/>
            <w:tcBorders>
              <w:tl2br w:val="nil"/>
              <w:tr2bl w:val="nil"/>
            </w:tcBorders>
            <w:noWrap/>
            <w:vAlign w:val="center"/>
          </w:tcPr>
          <w:p>
            <w:pPr>
              <w:rPr>
                <w:rFonts w:eastAsia="楷体"/>
                <w:color w:val="auto"/>
                <w:sz w:val="21"/>
                <w:szCs w:val="21"/>
                <w:highlight w:val="none"/>
              </w:rPr>
            </w:pPr>
          </w:p>
        </w:tc>
        <w:tc>
          <w:tcPr>
            <w:tcW w:w="291" w:type="pct"/>
            <w:vMerge w:val="continue"/>
            <w:tcBorders>
              <w:tl2br w:val="nil"/>
              <w:tr2bl w:val="nil"/>
            </w:tcBorders>
            <w:noWrap/>
            <w:vAlign w:val="center"/>
          </w:tcPr>
          <w:p>
            <w:pPr>
              <w:rPr>
                <w:rFonts w:eastAsia="楷体"/>
                <w:color w:val="auto"/>
                <w:sz w:val="21"/>
                <w:szCs w:val="21"/>
                <w:highlight w:val="none"/>
              </w:rPr>
            </w:pPr>
          </w:p>
        </w:tc>
        <w:tc>
          <w:tcPr>
            <w:tcW w:w="3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数量（座）</w:t>
            </w: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数量（座）</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数量（处）</w:t>
            </w:r>
          </w:p>
        </w:tc>
        <w:tc>
          <w:tcPr>
            <w:tcW w:w="544"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数量（处）</w:t>
            </w:r>
          </w:p>
        </w:tc>
        <w:tc>
          <w:tcPr>
            <w:tcW w:w="281" w:type="pct"/>
            <w:vMerge w:val="continue"/>
            <w:tcBorders>
              <w:tl2br w:val="nil"/>
              <w:tr2bl w:val="nil"/>
            </w:tcBorders>
            <w:noWrap/>
            <w:vAlign w:val="center"/>
          </w:tcPr>
          <w:p>
            <w:pPr>
              <w:rPr>
                <w:rFonts w:eastAsia="楷体"/>
                <w:color w:val="auto"/>
                <w:sz w:val="21"/>
                <w:szCs w:val="21"/>
                <w:highlight w:val="none"/>
              </w:rPr>
            </w:pPr>
          </w:p>
        </w:tc>
        <w:tc>
          <w:tcPr>
            <w:tcW w:w="386"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数量（座）</w:t>
            </w:r>
          </w:p>
        </w:tc>
        <w:tc>
          <w:tcPr>
            <w:tcW w:w="410" w:type="pct"/>
            <w:tcBorders>
              <w:tl2br w:val="nil"/>
              <w:tr2bl w:val="nil"/>
            </w:tcBorders>
            <w:noWrap/>
            <w:vAlign w:val="center"/>
          </w:tcPr>
          <w:p>
            <w:pPr>
              <w:rPr>
                <w:rFonts w:eastAsia="楷体"/>
                <w:color w:val="auto"/>
                <w:sz w:val="21"/>
                <w:szCs w:val="21"/>
                <w:highlight w:val="none"/>
              </w:rPr>
            </w:pPr>
            <w:r>
              <w:rPr>
                <w:rFonts w:eastAsia="楷体"/>
                <w:color w:val="auto"/>
                <w:kern w:val="0"/>
                <w:sz w:val="21"/>
                <w:szCs w:val="21"/>
                <w:highlight w:val="none"/>
              </w:rPr>
              <w:t>数量（座）</w:t>
            </w:r>
          </w:p>
        </w:tc>
        <w:tc>
          <w:tcPr>
            <w:tcW w:w="5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数量（处）</w:t>
            </w: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数量（处）</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1</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德阳市</w:t>
            </w:r>
          </w:p>
        </w:tc>
        <w:tc>
          <w:tcPr>
            <w:tcW w:w="29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5</w:t>
            </w:r>
          </w:p>
        </w:tc>
        <w:tc>
          <w:tcPr>
            <w:tcW w:w="382" w:type="pct"/>
            <w:tcBorders>
              <w:tl2br w:val="nil"/>
              <w:tr2bl w:val="nil"/>
            </w:tcBorders>
            <w:noWrap/>
            <w:vAlign w:val="center"/>
          </w:tcPr>
          <w:p>
            <w:pPr>
              <w:jc w:val="center"/>
              <w:rPr>
                <w:rFonts w:eastAsia="楷体"/>
                <w:color w:val="auto"/>
                <w:sz w:val="21"/>
                <w:szCs w:val="21"/>
                <w:highlight w:val="none"/>
              </w:rPr>
            </w:pP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5</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5</w:t>
            </w:r>
          </w:p>
        </w:tc>
        <w:tc>
          <w:tcPr>
            <w:tcW w:w="544" w:type="pct"/>
            <w:tcBorders>
              <w:tl2br w:val="nil"/>
              <w:tr2bl w:val="nil"/>
            </w:tcBorders>
            <w:noWrap/>
            <w:vAlign w:val="center"/>
          </w:tcPr>
          <w:p>
            <w:pPr>
              <w:jc w:val="center"/>
              <w:rPr>
                <w:rFonts w:eastAsia="楷体"/>
                <w:color w:val="auto"/>
                <w:sz w:val="21"/>
                <w:szCs w:val="21"/>
                <w:highlight w:val="none"/>
              </w:rPr>
            </w:pPr>
          </w:p>
        </w:tc>
        <w:tc>
          <w:tcPr>
            <w:tcW w:w="28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2</w:t>
            </w:r>
          </w:p>
        </w:tc>
        <w:tc>
          <w:tcPr>
            <w:tcW w:w="386"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2</w:t>
            </w:r>
          </w:p>
        </w:tc>
        <w:tc>
          <w:tcPr>
            <w:tcW w:w="410" w:type="pct"/>
            <w:tcBorders>
              <w:tl2br w:val="nil"/>
              <w:tr2bl w:val="nil"/>
            </w:tcBorders>
            <w:noWrap/>
            <w:vAlign w:val="center"/>
          </w:tcPr>
          <w:p>
            <w:pPr>
              <w:widowControl/>
              <w:jc w:val="center"/>
              <w:textAlignment w:val="center"/>
              <w:rPr>
                <w:rFonts w:eastAsia="楷体"/>
                <w:color w:val="auto"/>
                <w:sz w:val="21"/>
                <w:szCs w:val="21"/>
                <w:highlight w:val="none"/>
              </w:rPr>
            </w:pPr>
          </w:p>
        </w:tc>
        <w:tc>
          <w:tcPr>
            <w:tcW w:w="5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2</w:t>
            </w: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2</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成都市</w:t>
            </w:r>
          </w:p>
        </w:tc>
        <w:tc>
          <w:tcPr>
            <w:tcW w:w="29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46</w:t>
            </w:r>
          </w:p>
        </w:tc>
        <w:tc>
          <w:tcPr>
            <w:tcW w:w="382" w:type="pct"/>
            <w:tcBorders>
              <w:tl2br w:val="nil"/>
              <w:tr2bl w:val="nil"/>
            </w:tcBorders>
            <w:noWrap/>
            <w:vAlign w:val="center"/>
          </w:tcPr>
          <w:p>
            <w:pPr>
              <w:jc w:val="center"/>
              <w:rPr>
                <w:rFonts w:eastAsia="楷体"/>
                <w:color w:val="auto"/>
                <w:sz w:val="21"/>
                <w:szCs w:val="21"/>
                <w:highlight w:val="none"/>
              </w:rPr>
            </w:pP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46</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46</w:t>
            </w:r>
          </w:p>
        </w:tc>
        <w:tc>
          <w:tcPr>
            <w:tcW w:w="544" w:type="pct"/>
            <w:tcBorders>
              <w:tl2br w:val="nil"/>
              <w:tr2bl w:val="nil"/>
            </w:tcBorders>
            <w:noWrap/>
            <w:vAlign w:val="center"/>
          </w:tcPr>
          <w:p>
            <w:pPr>
              <w:jc w:val="center"/>
              <w:rPr>
                <w:rFonts w:eastAsia="楷体"/>
                <w:color w:val="auto"/>
                <w:sz w:val="21"/>
                <w:szCs w:val="21"/>
                <w:highlight w:val="none"/>
              </w:rPr>
            </w:pPr>
          </w:p>
        </w:tc>
        <w:tc>
          <w:tcPr>
            <w:tcW w:w="281" w:type="pct"/>
            <w:tcBorders>
              <w:tl2br w:val="nil"/>
              <w:tr2bl w:val="nil"/>
            </w:tcBorders>
            <w:noWrap/>
            <w:vAlign w:val="center"/>
          </w:tcPr>
          <w:p>
            <w:pPr>
              <w:jc w:val="center"/>
              <w:rPr>
                <w:rFonts w:eastAsia="楷体"/>
                <w:color w:val="auto"/>
                <w:sz w:val="21"/>
                <w:szCs w:val="21"/>
                <w:highlight w:val="none"/>
              </w:rPr>
            </w:pPr>
          </w:p>
        </w:tc>
        <w:tc>
          <w:tcPr>
            <w:tcW w:w="386" w:type="pct"/>
            <w:tcBorders>
              <w:tl2br w:val="nil"/>
              <w:tr2bl w:val="nil"/>
            </w:tcBorders>
            <w:noWrap/>
            <w:vAlign w:val="center"/>
          </w:tcPr>
          <w:p>
            <w:pPr>
              <w:jc w:val="center"/>
              <w:rPr>
                <w:rFonts w:eastAsia="楷体"/>
                <w:color w:val="auto"/>
                <w:sz w:val="21"/>
                <w:szCs w:val="21"/>
                <w:highlight w:val="none"/>
              </w:rPr>
            </w:pPr>
          </w:p>
        </w:tc>
        <w:tc>
          <w:tcPr>
            <w:tcW w:w="410" w:type="pct"/>
            <w:tcBorders>
              <w:tl2br w:val="nil"/>
              <w:tr2bl w:val="nil"/>
            </w:tcBorders>
            <w:noWrap/>
            <w:vAlign w:val="center"/>
          </w:tcPr>
          <w:p>
            <w:pPr>
              <w:jc w:val="center"/>
              <w:rPr>
                <w:rFonts w:eastAsia="楷体"/>
                <w:color w:val="auto"/>
                <w:sz w:val="21"/>
                <w:szCs w:val="21"/>
                <w:highlight w:val="none"/>
              </w:rPr>
            </w:pPr>
          </w:p>
        </w:tc>
        <w:tc>
          <w:tcPr>
            <w:tcW w:w="582" w:type="pct"/>
            <w:tcBorders>
              <w:tl2br w:val="nil"/>
              <w:tr2bl w:val="nil"/>
            </w:tcBorders>
            <w:noWrap/>
            <w:vAlign w:val="center"/>
          </w:tcPr>
          <w:p>
            <w:pPr>
              <w:jc w:val="center"/>
              <w:rPr>
                <w:rFonts w:eastAsia="楷体"/>
                <w:color w:val="auto"/>
                <w:sz w:val="21"/>
                <w:szCs w:val="21"/>
                <w:highlight w:val="none"/>
              </w:rPr>
            </w:pP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3</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资阳市</w:t>
            </w:r>
          </w:p>
        </w:tc>
        <w:tc>
          <w:tcPr>
            <w:tcW w:w="29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62</w:t>
            </w:r>
          </w:p>
        </w:tc>
        <w:tc>
          <w:tcPr>
            <w:tcW w:w="3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w:t>
            </w: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58</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62</w:t>
            </w:r>
          </w:p>
        </w:tc>
        <w:tc>
          <w:tcPr>
            <w:tcW w:w="544" w:type="pct"/>
            <w:tcBorders>
              <w:tl2br w:val="nil"/>
              <w:tr2bl w:val="nil"/>
            </w:tcBorders>
            <w:noWrap/>
            <w:vAlign w:val="center"/>
          </w:tcPr>
          <w:p>
            <w:pPr>
              <w:jc w:val="center"/>
              <w:rPr>
                <w:rFonts w:eastAsia="楷体"/>
                <w:color w:val="auto"/>
                <w:sz w:val="21"/>
                <w:szCs w:val="21"/>
                <w:highlight w:val="none"/>
              </w:rPr>
            </w:pPr>
          </w:p>
        </w:tc>
        <w:tc>
          <w:tcPr>
            <w:tcW w:w="281" w:type="pct"/>
            <w:tcBorders>
              <w:tl2br w:val="nil"/>
              <w:tr2bl w:val="nil"/>
            </w:tcBorders>
            <w:noWrap/>
            <w:vAlign w:val="center"/>
          </w:tcPr>
          <w:p>
            <w:pPr>
              <w:jc w:val="center"/>
              <w:rPr>
                <w:rFonts w:eastAsia="楷体"/>
                <w:color w:val="auto"/>
                <w:sz w:val="21"/>
                <w:szCs w:val="21"/>
                <w:highlight w:val="none"/>
              </w:rPr>
            </w:pPr>
          </w:p>
        </w:tc>
        <w:tc>
          <w:tcPr>
            <w:tcW w:w="386" w:type="pct"/>
            <w:tcBorders>
              <w:tl2br w:val="nil"/>
              <w:tr2bl w:val="nil"/>
            </w:tcBorders>
            <w:noWrap/>
            <w:vAlign w:val="center"/>
          </w:tcPr>
          <w:p>
            <w:pPr>
              <w:jc w:val="center"/>
              <w:rPr>
                <w:rFonts w:eastAsia="楷体"/>
                <w:color w:val="auto"/>
                <w:sz w:val="21"/>
                <w:szCs w:val="21"/>
                <w:highlight w:val="none"/>
              </w:rPr>
            </w:pPr>
          </w:p>
        </w:tc>
        <w:tc>
          <w:tcPr>
            <w:tcW w:w="410" w:type="pct"/>
            <w:tcBorders>
              <w:tl2br w:val="nil"/>
              <w:tr2bl w:val="nil"/>
            </w:tcBorders>
            <w:noWrap/>
            <w:vAlign w:val="center"/>
          </w:tcPr>
          <w:p>
            <w:pPr>
              <w:jc w:val="center"/>
              <w:rPr>
                <w:rFonts w:eastAsia="楷体"/>
                <w:color w:val="auto"/>
                <w:sz w:val="21"/>
                <w:szCs w:val="21"/>
                <w:highlight w:val="none"/>
              </w:rPr>
            </w:pPr>
          </w:p>
        </w:tc>
        <w:tc>
          <w:tcPr>
            <w:tcW w:w="582" w:type="pct"/>
            <w:tcBorders>
              <w:tl2br w:val="nil"/>
              <w:tr2bl w:val="nil"/>
            </w:tcBorders>
            <w:noWrap/>
            <w:vAlign w:val="center"/>
          </w:tcPr>
          <w:p>
            <w:pPr>
              <w:jc w:val="center"/>
              <w:rPr>
                <w:rFonts w:eastAsia="楷体"/>
                <w:color w:val="auto"/>
                <w:sz w:val="21"/>
                <w:szCs w:val="21"/>
                <w:highlight w:val="none"/>
              </w:rPr>
            </w:pP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4</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内江市</w:t>
            </w:r>
          </w:p>
        </w:tc>
        <w:tc>
          <w:tcPr>
            <w:tcW w:w="29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79</w:t>
            </w:r>
          </w:p>
        </w:tc>
        <w:tc>
          <w:tcPr>
            <w:tcW w:w="382" w:type="pct"/>
            <w:tcBorders>
              <w:tl2br w:val="nil"/>
              <w:tr2bl w:val="nil"/>
            </w:tcBorders>
            <w:noWrap/>
            <w:vAlign w:val="center"/>
          </w:tcPr>
          <w:p>
            <w:pPr>
              <w:jc w:val="center"/>
              <w:rPr>
                <w:rFonts w:eastAsia="楷体"/>
                <w:color w:val="auto"/>
                <w:sz w:val="21"/>
                <w:szCs w:val="21"/>
                <w:highlight w:val="none"/>
              </w:rPr>
            </w:pPr>
            <w:r>
              <w:rPr>
                <w:rFonts w:eastAsia="楷体"/>
                <w:color w:val="auto"/>
                <w:sz w:val="21"/>
                <w:szCs w:val="21"/>
                <w:highlight w:val="none"/>
              </w:rPr>
              <w:t>7</w:t>
            </w: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sz w:val="21"/>
                <w:szCs w:val="21"/>
                <w:highlight w:val="none"/>
              </w:rPr>
              <w:t>72</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sz w:val="21"/>
                <w:szCs w:val="21"/>
                <w:highlight w:val="none"/>
              </w:rPr>
              <w:t>72</w:t>
            </w:r>
          </w:p>
        </w:tc>
        <w:tc>
          <w:tcPr>
            <w:tcW w:w="544" w:type="pct"/>
            <w:tcBorders>
              <w:tl2br w:val="nil"/>
              <w:tr2bl w:val="nil"/>
            </w:tcBorders>
            <w:noWrap/>
            <w:vAlign w:val="center"/>
          </w:tcPr>
          <w:p>
            <w:pPr>
              <w:jc w:val="center"/>
              <w:rPr>
                <w:rFonts w:eastAsia="楷体"/>
                <w:color w:val="auto"/>
                <w:sz w:val="21"/>
                <w:szCs w:val="21"/>
                <w:highlight w:val="none"/>
              </w:rPr>
            </w:pPr>
            <w:r>
              <w:rPr>
                <w:rFonts w:eastAsia="楷体"/>
                <w:color w:val="auto"/>
                <w:sz w:val="21"/>
                <w:szCs w:val="21"/>
                <w:highlight w:val="none"/>
              </w:rPr>
              <w:t>7</w:t>
            </w:r>
          </w:p>
        </w:tc>
        <w:tc>
          <w:tcPr>
            <w:tcW w:w="281" w:type="pct"/>
            <w:tcBorders>
              <w:tl2br w:val="nil"/>
              <w:tr2bl w:val="nil"/>
            </w:tcBorders>
            <w:noWrap/>
            <w:vAlign w:val="center"/>
          </w:tcPr>
          <w:p>
            <w:pPr>
              <w:jc w:val="center"/>
              <w:rPr>
                <w:rFonts w:eastAsia="楷体"/>
                <w:color w:val="auto"/>
                <w:sz w:val="21"/>
                <w:szCs w:val="21"/>
                <w:highlight w:val="none"/>
              </w:rPr>
            </w:pPr>
          </w:p>
        </w:tc>
        <w:tc>
          <w:tcPr>
            <w:tcW w:w="386" w:type="pct"/>
            <w:tcBorders>
              <w:tl2br w:val="nil"/>
              <w:tr2bl w:val="nil"/>
            </w:tcBorders>
            <w:noWrap/>
            <w:vAlign w:val="center"/>
          </w:tcPr>
          <w:p>
            <w:pPr>
              <w:jc w:val="center"/>
              <w:rPr>
                <w:rFonts w:eastAsia="楷体"/>
                <w:color w:val="auto"/>
                <w:sz w:val="21"/>
                <w:szCs w:val="21"/>
                <w:highlight w:val="none"/>
              </w:rPr>
            </w:pPr>
          </w:p>
        </w:tc>
        <w:tc>
          <w:tcPr>
            <w:tcW w:w="410" w:type="pct"/>
            <w:tcBorders>
              <w:tl2br w:val="nil"/>
              <w:tr2bl w:val="nil"/>
            </w:tcBorders>
            <w:noWrap/>
            <w:vAlign w:val="center"/>
          </w:tcPr>
          <w:p>
            <w:pPr>
              <w:jc w:val="center"/>
              <w:rPr>
                <w:rFonts w:eastAsia="楷体"/>
                <w:color w:val="auto"/>
                <w:sz w:val="21"/>
                <w:szCs w:val="21"/>
                <w:highlight w:val="none"/>
              </w:rPr>
            </w:pPr>
          </w:p>
        </w:tc>
        <w:tc>
          <w:tcPr>
            <w:tcW w:w="582" w:type="pct"/>
            <w:tcBorders>
              <w:tl2br w:val="nil"/>
              <w:tr2bl w:val="nil"/>
            </w:tcBorders>
            <w:noWrap/>
            <w:vAlign w:val="center"/>
          </w:tcPr>
          <w:p>
            <w:pPr>
              <w:jc w:val="center"/>
              <w:rPr>
                <w:rFonts w:eastAsia="楷体"/>
                <w:color w:val="auto"/>
                <w:sz w:val="21"/>
                <w:szCs w:val="21"/>
                <w:highlight w:val="none"/>
              </w:rPr>
            </w:pP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5</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自贡市</w:t>
            </w:r>
          </w:p>
        </w:tc>
        <w:tc>
          <w:tcPr>
            <w:tcW w:w="29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44</w:t>
            </w:r>
          </w:p>
        </w:tc>
        <w:tc>
          <w:tcPr>
            <w:tcW w:w="382" w:type="pct"/>
            <w:tcBorders>
              <w:tl2br w:val="nil"/>
              <w:tr2bl w:val="nil"/>
            </w:tcBorders>
            <w:noWrap/>
            <w:vAlign w:val="center"/>
          </w:tcPr>
          <w:p>
            <w:pPr>
              <w:jc w:val="center"/>
              <w:rPr>
                <w:rFonts w:eastAsia="楷体"/>
                <w:color w:val="auto"/>
                <w:sz w:val="21"/>
                <w:szCs w:val="21"/>
                <w:highlight w:val="none"/>
              </w:rPr>
            </w:pPr>
          </w:p>
        </w:tc>
        <w:tc>
          <w:tcPr>
            <w:tcW w:w="47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44</w:t>
            </w:r>
          </w:p>
        </w:tc>
        <w:tc>
          <w:tcPr>
            <w:tcW w:w="548"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44</w:t>
            </w:r>
          </w:p>
        </w:tc>
        <w:tc>
          <w:tcPr>
            <w:tcW w:w="544" w:type="pct"/>
            <w:tcBorders>
              <w:tl2br w:val="nil"/>
              <w:tr2bl w:val="nil"/>
            </w:tcBorders>
            <w:noWrap/>
            <w:vAlign w:val="center"/>
          </w:tcPr>
          <w:p>
            <w:pPr>
              <w:jc w:val="center"/>
              <w:rPr>
                <w:rFonts w:eastAsia="楷体"/>
                <w:color w:val="auto"/>
                <w:sz w:val="21"/>
                <w:szCs w:val="21"/>
                <w:highlight w:val="none"/>
              </w:rPr>
            </w:pPr>
          </w:p>
        </w:tc>
        <w:tc>
          <w:tcPr>
            <w:tcW w:w="281"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w:t>
            </w:r>
          </w:p>
        </w:tc>
        <w:tc>
          <w:tcPr>
            <w:tcW w:w="386" w:type="pct"/>
            <w:tcBorders>
              <w:tl2br w:val="nil"/>
              <w:tr2bl w:val="nil"/>
            </w:tcBorders>
            <w:noWrap/>
            <w:vAlign w:val="center"/>
          </w:tcPr>
          <w:p>
            <w:pPr>
              <w:jc w:val="center"/>
              <w:rPr>
                <w:rFonts w:eastAsia="楷体"/>
                <w:color w:val="auto"/>
                <w:sz w:val="21"/>
                <w:szCs w:val="21"/>
                <w:highlight w:val="none"/>
              </w:rPr>
            </w:pPr>
          </w:p>
        </w:tc>
        <w:tc>
          <w:tcPr>
            <w:tcW w:w="410"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w:t>
            </w:r>
          </w:p>
        </w:tc>
        <w:tc>
          <w:tcPr>
            <w:tcW w:w="582" w:type="pct"/>
            <w:tcBorders>
              <w:tl2br w:val="nil"/>
              <w:tr2bl w:val="nil"/>
            </w:tcBorders>
            <w:noWrap/>
            <w:vAlign w:val="center"/>
          </w:tcPr>
          <w:p>
            <w:pPr>
              <w:widowControl/>
              <w:jc w:val="center"/>
              <w:textAlignment w:val="center"/>
              <w:rPr>
                <w:rFonts w:eastAsia="楷体"/>
                <w:color w:val="auto"/>
                <w:sz w:val="21"/>
                <w:szCs w:val="21"/>
                <w:highlight w:val="none"/>
              </w:rPr>
            </w:pPr>
            <w:r>
              <w:rPr>
                <w:rFonts w:eastAsia="楷体"/>
                <w:color w:val="auto"/>
                <w:kern w:val="0"/>
                <w:sz w:val="21"/>
                <w:szCs w:val="21"/>
                <w:highlight w:val="none"/>
              </w:rPr>
              <w:t>4</w:t>
            </w:r>
          </w:p>
        </w:tc>
        <w:tc>
          <w:tcPr>
            <w:tcW w:w="547" w:type="pct"/>
            <w:tcBorders>
              <w:tl2br w:val="nil"/>
              <w:tr2bl w:val="nil"/>
            </w:tcBorders>
            <w:noWrap/>
            <w:vAlign w:val="center"/>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06"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6</w:t>
            </w:r>
          </w:p>
        </w:tc>
        <w:tc>
          <w:tcPr>
            <w:tcW w:w="345" w:type="pct"/>
            <w:tcBorders>
              <w:tl2br w:val="nil"/>
              <w:tr2bl w:val="nil"/>
            </w:tcBorders>
            <w:noWrap/>
            <w:vAlign w:val="center"/>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泸州市</w:t>
            </w:r>
          </w:p>
        </w:tc>
        <w:tc>
          <w:tcPr>
            <w:tcW w:w="291"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36</w:t>
            </w:r>
          </w:p>
        </w:tc>
        <w:tc>
          <w:tcPr>
            <w:tcW w:w="382" w:type="pct"/>
            <w:tcBorders>
              <w:tl2br w:val="nil"/>
              <w:tr2bl w:val="nil"/>
            </w:tcBorders>
            <w:noWrap/>
            <w:vAlign w:val="bottom"/>
          </w:tcPr>
          <w:p>
            <w:pPr>
              <w:jc w:val="center"/>
              <w:rPr>
                <w:rFonts w:eastAsia="楷体"/>
                <w:color w:val="auto"/>
                <w:sz w:val="21"/>
                <w:szCs w:val="21"/>
                <w:highlight w:val="none"/>
              </w:rPr>
            </w:pPr>
          </w:p>
        </w:tc>
        <w:tc>
          <w:tcPr>
            <w:tcW w:w="472"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36</w:t>
            </w:r>
          </w:p>
        </w:tc>
        <w:tc>
          <w:tcPr>
            <w:tcW w:w="548" w:type="pct"/>
            <w:tcBorders>
              <w:tl2br w:val="nil"/>
              <w:tr2bl w:val="nil"/>
            </w:tcBorders>
            <w:noWrap/>
            <w:vAlign w:val="bottom"/>
          </w:tcPr>
          <w:p>
            <w:pPr>
              <w:widowControl/>
              <w:jc w:val="center"/>
              <w:textAlignment w:val="bottom"/>
              <w:rPr>
                <w:rFonts w:eastAsia="楷体"/>
                <w:color w:val="auto"/>
                <w:sz w:val="21"/>
                <w:szCs w:val="21"/>
                <w:highlight w:val="none"/>
              </w:rPr>
            </w:pPr>
          </w:p>
        </w:tc>
        <w:tc>
          <w:tcPr>
            <w:tcW w:w="544"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36</w:t>
            </w:r>
          </w:p>
        </w:tc>
        <w:tc>
          <w:tcPr>
            <w:tcW w:w="281" w:type="pct"/>
            <w:tcBorders>
              <w:tl2br w:val="nil"/>
              <w:tr2bl w:val="nil"/>
            </w:tcBorders>
            <w:noWrap/>
            <w:vAlign w:val="bottom"/>
          </w:tcPr>
          <w:p>
            <w:pPr>
              <w:jc w:val="center"/>
              <w:rPr>
                <w:rFonts w:eastAsia="楷体"/>
                <w:color w:val="auto"/>
                <w:sz w:val="21"/>
                <w:szCs w:val="21"/>
                <w:highlight w:val="none"/>
              </w:rPr>
            </w:pPr>
          </w:p>
        </w:tc>
        <w:tc>
          <w:tcPr>
            <w:tcW w:w="386" w:type="pct"/>
            <w:tcBorders>
              <w:tl2br w:val="nil"/>
              <w:tr2bl w:val="nil"/>
            </w:tcBorders>
            <w:noWrap/>
            <w:vAlign w:val="bottom"/>
          </w:tcPr>
          <w:p>
            <w:pPr>
              <w:jc w:val="center"/>
              <w:rPr>
                <w:rFonts w:eastAsia="楷体"/>
                <w:color w:val="auto"/>
                <w:sz w:val="21"/>
                <w:szCs w:val="21"/>
                <w:highlight w:val="none"/>
              </w:rPr>
            </w:pPr>
          </w:p>
        </w:tc>
        <w:tc>
          <w:tcPr>
            <w:tcW w:w="410" w:type="pct"/>
            <w:tcBorders>
              <w:tl2br w:val="nil"/>
              <w:tr2bl w:val="nil"/>
            </w:tcBorders>
            <w:noWrap/>
            <w:vAlign w:val="bottom"/>
          </w:tcPr>
          <w:p>
            <w:pPr>
              <w:jc w:val="center"/>
              <w:rPr>
                <w:rFonts w:eastAsia="楷体"/>
                <w:color w:val="auto"/>
                <w:sz w:val="21"/>
                <w:szCs w:val="21"/>
                <w:highlight w:val="none"/>
              </w:rPr>
            </w:pPr>
          </w:p>
        </w:tc>
        <w:tc>
          <w:tcPr>
            <w:tcW w:w="582" w:type="pct"/>
            <w:tcBorders>
              <w:tl2br w:val="nil"/>
              <w:tr2bl w:val="nil"/>
            </w:tcBorders>
            <w:noWrap/>
            <w:vAlign w:val="bottom"/>
          </w:tcPr>
          <w:p>
            <w:pPr>
              <w:jc w:val="center"/>
              <w:rPr>
                <w:rFonts w:eastAsia="楷体"/>
                <w:color w:val="auto"/>
                <w:sz w:val="21"/>
                <w:szCs w:val="21"/>
                <w:highlight w:val="none"/>
              </w:rPr>
            </w:pPr>
          </w:p>
        </w:tc>
        <w:tc>
          <w:tcPr>
            <w:tcW w:w="547" w:type="pct"/>
            <w:tcBorders>
              <w:tl2br w:val="nil"/>
              <w:tr2bl w:val="nil"/>
            </w:tcBorders>
            <w:noWrap/>
            <w:vAlign w:val="bottom"/>
          </w:tcPr>
          <w:p>
            <w:pPr>
              <w:widowControl/>
              <w:jc w:val="center"/>
              <w:textAlignment w:val="bottom"/>
              <w:rPr>
                <w:rFonts w:eastAsia="楷体"/>
                <w:color w:val="auto"/>
                <w:sz w:val="2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95" w:hRule="atLeast"/>
        </w:trPr>
        <w:tc>
          <w:tcPr>
            <w:tcW w:w="552" w:type="pct"/>
            <w:gridSpan w:val="2"/>
            <w:tcBorders>
              <w:tl2br w:val="nil"/>
              <w:tr2bl w:val="nil"/>
            </w:tcBorders>
            <w:noWrap/>
            <w:vAlign w:val="bottom"/>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合计</w:t>
            </w:r>
          </w:p>
        </w:tc>
        <w:tc>
          <w:tcPr>
            <w:tcW w:w="291" w:type="pct"/>
            <w:tcBorders>
              <w:tl2br w:val="nil"/>
              <w:tr2bl w:val="nil"/>
            </w:tcBorders>
            <w:noWrap/>
            <w:vAlign w:val="bottom"/>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272</w:t>
            </w:r>
          </w:p>
        </w:tc>
        <w:tc>
          <w:tcPr>
            <w:tcW w:w="382" w:type="pct"/>
            <w:tcBorders>
              <w:tl2br w:val="nil"/>
              <w:tr2bl w:val="nil"/>
            </w:tcBorders>
            <w:noWrap/>
            <w:vAlign w:val="bottom"/>
          </w:tcPr>
          <w:p>
            <w:pPr>
              <w:widowControl/>
              <w:jc w:val="center"/>
              <w:textAlignment w:val="center"/>
              <w:rPr>
                <w:rFonts w:eastAsia="楷体"/>
                <w:color w:val="auto"/>
                <w:kern w:val="0"/>
                <w:sz w:val="21"/>
                <w:szCs w:val="21"/>
                <w:highlight w:val="none"/>
              </w:rPr>
            </w:pPr>
            <w:r>
              <w:rPr>
                <w:rFonts w:eastAsia="楷体"/>
                <w:color w:val="auto"/>
                <w:kern w:val="0"/>
                <w:sz w:val="21"/>
                <w:szCs w:val="21"/>
                <w:highlight w:val="none"/>
              </w:rPr>
              <w:t>11</w:t>
            </w:r>
          </w:p>
        </w:tc>
        <w:tc>
          <w:tcPr>
            <w:tcW w:w="472"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261</w:t>
            </w:r>
          </w:p>
        </w:tc>
        <w:tc>
          <w:tcPr>
            <w:tcW w:w="548"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229</w:t>
            </w:r>
          </w:p>
        </w:tc>
        <w:tc>
          <w:tcPr>
            <w:tcW w:w="544" w:type="pct"/>
            <w:tcBorders>
              <w:tl2br w:val="nil"/>
              <w:tr2bl w:val="nil"/>
            </w:tcBorders>
            <w:noWrap/>
            <w:vAlign w:val="bottom"/>
          </w:tcPr>
          <w:p>
            <w:pPr>
              <w:jc w:val="center"/>
              <w:rPr>
                <w:rFonts w:eastAsia="楷体"/>
                <w:color w:val="auto"/>
                <w:kern w:val="0"/>
                <w:sz w:val="21"/>
                <w:szCs w:val="21"/>
                <w:highlight w:val="none"/>
              </w:rPr>
            </w:pPr>
            <w:r>
              <w:rPr>
                <w:rFonts w:eastAsia="楷体"/>
                <w:color w:val="auto"/>
                <w:kern w:val="0"/>
                <w:sz w:val="21"/>
                <w:szCs w:val="21"/>
                <w:highlight w:val="none"/>
              </w:rPr>
              <w:t>43</w:t>
            </w:r>
          </w:p>
        </w:tc>
        <w:tc>
          <w:tcPr>
            <w:tcW w:w="281"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6</w:t>
            </w:r>
          </w:p>
        </w:tc>
        <w:tc>
          <w:tcPr>
            <w:tcW w:w="386"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2</w:t>
            </w:r>
          </w:p>
        </w:tc>
        <w:tc>
          <w:tcPr>
            <w:tcW w:w="410"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4</w:t>
            </w:r>
          </w:p>
        </w:tc>
        <w:tc>
          <w:tcPr>
            <w:tcW w:w="582" w:type="pct"/>
            <w:tcBorders>
              <w:tl2br w:val="nil"/>
              <w:tr2bl w:val="nil"/>
            </w:tcBorders>
            <w:noWrap/>
            <w:vAlign w:val="bottom"/>
          </w:tcPr>
          <w:p>
            <w:pPr>
              <w:widowControl/>
              <w:jc w:val="center"/>
              <w:textAlignment w:val="bottom"/>
              <w:rPr>
                <w:rFonts w:eastAsia="楷体"/>
                <w:color w:val="auto"/>
                <w:sz w:val="21"/>
                <w:szCs w:val="21"/>
                <w:highlight w:val="none"/>
              </w:rPr>
            </w:pPr>
            <w:r>
              <w:rPr>
                <w:rFonts w:eastAsia="楷体"/>
                <w:color w:val="auto"/>
                <w:kern w:val="0"/>
                <w:sz w:val="21"/>
                <w:szCs w:val="21"/>
                <w:highlight w:val="none"/>
              </w:rPr>
              <w:t>6</w:t>
            </w:r>
          </w:p>
        </w:tc>
        <w:tc>
          <w:tcPr>
            <w:tcW w:w="547" w:type="pct"/>
            <w:tcBorders>
              <w:tl2br w:val="nil"/>
              <w:tr2bl w:val="nil"/>
            </w:tcBorders>
            <w:noWrap/>
            <w:vAlign w:val="bottom"/>
          </w:tcPr>
          <w:p>
            <w:pPr>
              <w:widowControl/>
              <w:jc w:val="center"/>
              <w:textAlignment w:val="bottom"/>
              <w:rPr>
                <w:rFonts w:eastAsia="楷体"/>
                <w:color w:val="auto"/>
                <w:sz w:val="21"/>
                <w:szCs w:val="21"/>
                <w:highlight w:val="none"/>
              </w:rPr>
            </w:pPr>
          </w:p>
        </w:tc>
      </w:tr>
    </w:tbl>
    <w:p>
      <w:pPr>
        <w:pStyle w:val="156"/>
        <w:spacing w:before="163" w:after="163" w:line="540" w:lineRule="exact"/>
        <w:ind w:firstLine="586"/>
        <w:rPr>
          <w:color w:val="auto"/>
          <w:sz w:val="30"/>
          <w:szCs w:val="30"/>
          <w:highlight w:val="none"/>
        </w:rPr>
        <w:sectPr>
          <w:footerReference r:id="rId22" w:type="default"/>
          <w:pgSz w:w="16838" w:h="11906" w:orient="landscape"/>
          <w:pgMar w:top="1418" w:right="1134" w:bottom="1418" w:left="1134" w:header="851" w:footer="992" w:gutter="0"/>
          <w:pgBorders>
            <w:top w:val="none" w:sz="0" w:space="0"/>
            <w:left w:val="none" w:sz="0" w:space="0"/>
            <w:bottom w:val="none" w:sz="0" w:space="0"/>
            <w:right w:val="none" w:sz="0" w:space="0"/>
          </w:pgBorders>
          <w:pgNumType w:fmt="decimal"/>
          <w:cols w:space="720" w:num="1"/>
          <w:docGrid w:type="linesAndChars" w:linePitch="326" w:charSpace="-3871"/>
        </w:sectPr>
      </w:pPr>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bookmarkStart w:id="100" w:name="_Toc124757354"/>
      <w:bookmarkStart w:id="101" w:name="_Toc289152074"/>
    </w:p>
    <w:p>
      <w:pPr>
        <w:pStyle w:val="3"/>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第八章  非工程措施及管理规划</w:t>
      </w:r>
      <w:bookmarkEnd w:id="100"/>
      <w:bookmarkEnd w:id="101"/>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02" w:name="_Toc124757355"/>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防洪区管理</w:t>
      </w:r>
      <w:bookmarkEnd w:id="102"/>
    </w:p>
    <w:p>
      <w:pPr>
        <w:pStyle w:val="154"/>
        <w:keepNext w:val="0"/>
        <w:keepLines w:val="0"/>
        <w:pageBreakBefore w:val="0"/>
        <w:widowControl w:val="0"/>
        <w:kinsoku/>
        <w:wordWrap/>
        <w:overflowPunct/>
        <w:topLinePunct w:val="0"/>
        <w:autoSpaceDE/>
        <w:autoSpaceDN/>
        <w:bidi w:val="0"/>
        <w:adjustRightInd/>
        <w:snapToGrid/>
        <w:ind w:firstLine="578"/>
        <w:textAlignment w:val="auto"/>
        <w:rPr>
          <w:b w:val="0"/>
          <w:bCs w:val="0"/>
          <w:color w:val="auto"/>
          <w:sz w:val="30"/>
          <w:szCs w:val="30"/>
          <w:highlight w:val="none"/>
        </w:rPr>
      </w:pPr>
      <w:r>
        <w:rPr>
          <w:color w:val="auto"/>
          <w:sz w:val="30"/>
          <w:szCs w:val="30"/>
          <w:highlight w:val="none"/>
        </w:rPr>
        <w:t>防洪区管理是流域防洪治理的重要非工程措施。按照《中华人民共和国防洪法》和《四川省</w:t>
      </w:r>
      <w:r>
        <w:rPr>
          <w:rFonts w:hint="eastAsia"/>
          <w:color w:val="auto"/>
          <w:sz w:val="30"/>
          <w:szCs w:val="30"/>
          <w:highlight w:val="none"/>
          <w:lang w:eastAsia="zh-CN"/>
        </w:rPr>
        <w:t>〈</w:t>
      </w:r>
      <w:r>
        <w:rPr>
          <w:color w:val="auto"/>
          <w:sz w:val="30"/>
          <w:szCs w:val="30"/>
          <w:highlight w:val="none"/>
        </w:rPr>
        <w:t>中华人民共和国防洪法</w:t>
      </w:r>
      <w:r>
        <w:rPr>
          <w:rFonts w:hint="eastAsia"/>
          <w:color w:val="auto"/>
          <w:sz w:val="30"/>
          <w:szCs w:val="30"/>
          <w:highlight w:val="none"/>
          <w:lang w:eastAsia="zh-CN"/>
        </w:rPr>
        <w:t>〉</w:t>
      </w:r>
      <w:r>
        <w:rPr>
          <w:color w:val="auto"/>
          <w:sz w:val="30"/>
          <w:szCs w:val="30"/>
          <w:highlight w:val="none"/>
        </w:rPr>
        <w:t>实施办法》</w:t>
      </w:r>
      <w:r>
        <w:rPr>
          <w:rFonts w:hint="eastAsia"/>
          <w:color w:val="auto"/>
          <w:sz w:val="30"/>
          <w:szCs w:val="30"/>
          <w:highlight w:val="none"/>
          <w:lang w:val="en-US" w:eastAsia="zh-CN"/>
        </w:rPr>
        <w:t>规定</w:t>
      </w:r>
      <w:r>
        <w:rPr>
          <w:color w:val="auto"/>
          <w:sz w:val="30"/>
          <w:szCs w:val="30"/>
          <w:highlight w:val="none"/>
        </w:rPr>
        <w:t>，加强对防洪保护区、洪泛区的社会管理和洪灾风险管理，提高防灾减灾能力和</w:t>
      </w:r>
      <w:r>
        <w:rPr>
          <w:b w:val="0"/>
          <w:bCs w:val="0"/>
          <w:color w:val="auto"/>
          <w:sz w:val="30"/>
          <w:szCs w:val="30"/>
          <w:highlight w:val="none"/>
        </w:rPr>
        <w:t>抗风险能力。</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03" w:name="_Toc294463309"/>
      <w:bookmarkStart w:id="104" w:name="_Toc124757356"/>
      <w:r>
        <w:rPr>
          <w:b w:val="0"/>
          <w:bCs w:val="0"/>
          <w:color w:val="auto"/>
          <w:highlight w:val="none"/>
        </w:rPr>
        <w:t>第二节  防洪调度及工程管理</w:t>
      </w:r>
      <w:bookmarkEnd w:id="103"/>
      <w:bookmarkEnd w:id="104"/>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一、防洪调度</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b w:val="0"/>
          <w:bCs w:val="0"/>
          <w:color w:val="auto"/>
          <w:sz w:val="30"/>
          <w:szCs w:val="30"/>
          <w:highlight w:val="none"/>
        </w:rPr>
        <w:t>建立健全沱江流域联防联控机制，强化</w:t>
      </w:r>
      <w:r>
        <w:rPr>
          <w:rFonts w:hint="eastAsia"/>
          <w:b w:val="0"/>
          <w:bCs w:val="0"/>
          <w:color w:val="auto"/>
          <w:sz w:val="30"/>
          <w:szCs w:val="30"/>
          <w:highlight w:val="none"/>
          <w:lang w:eastAsia="zh-CN"/>
        </w:rPr>
        <w:t>“</w:t>
      </w:r>
      <w:r>
        <w:rPr>
          <w:b w:val="0"/>
          <w:bCs w:val="0"/>
          <w:color w:val="auto"/>
          <w:sz w:val="30"/>
          <w:szCs w:val="30"/>
          <w:highlight w:val="none"/>
        </w:rPr>
        <w:t>四预</w:t>
      </w:r>
      <w:r>
        <w:rPr>
          <w:rFonts w:hint="eastAsia"/>
          <w:b w:val="0"/>
          <w:bCs w:val="0"/>
          <w:color w:val="auto"/>
          <w:sz w:val="30"/>
          <w:szCs w:val="30"/>
          <w:highlight w:val="none"/>
          <w:lang w:eastAsia="zh-CN"/>
        </w:rPr>
        <w:t>”</w:t>
      </w:r>
      <w:r>
        <w:rPr>
          <w:b w:val="0"/>
          <w:bCs w:val="0"/>
          <w:color w:val="auto"/>
          <w:sz w:val="30"/>
          <w:szCs w:val="30"/>
          <w:highlight w:val="none"/>
        </w:rPr>
        <w:t>措施，加强沱江流</w:t>
      </w:r>
      <w:r>
        <w:rPr>
          <w:color w:val="auto"/>
          <w:sz w:val="30"/>
          <w:szCs w:val="30"/>
          <w:highlight w:val="none"/>
        </w:rPr>
        <w:t>域防汛抗旱的统一管理和调度，提高防汛抗旱能力。编制完善沱江流域防御洪水方案和洪水调度方案，</w:t>
      </w:r>
      <w:r>
        <w:rPr>
          <w:rFonts w:hint="eastAsia"/>
          <w:color w:val="auto"/>
          <w:sz w:val="30"/>
          <w:szCs w:val="30"/>
          <w:highlight w:val="none"/>
          <w:lang w:eastAsia="zh-CN"/>
        </w:rPr>
        <w:t>提高</w:t>
      </w:r>
      <w:r>
        <w:rPr>
          <w:color w:val="auto"/>
          <w:sz w:val="30"/>
          <w:szCs w:val="30"/>
          <w:highlight w:val="none"/>
        </w:rPr>
        <w:t>综合防灾能力。加强防洪控制性水库的水情测报和预报工作，为防汛指挥机构调度决策提供依据。加强各水库的优化调度和联合调度，使防洪效益最大化。</w:t>
      </w:r>
    </w:p>
    <w:p>
      <w:pPr>
        <w:pStyle w:val="154"/>
        <w:keepNext w:val="0"/>
        <w:keepLines w:val="0"/>
        <w:pageBreakBefore w:val="0"/>
        <w:widowControl w:val="0"/>
        <w:kinsoku/>
        <w:wordWrap/>
        <w:overflowPunct/>
        <w:topLinePunct w:val="0"/>
        <w:autoSpaceDE/>
        <w:autoSpaceDN/>
        <w:bidi w:val="0"/>
        <w:adjustRightInd/>
        <w:snapToGrid w:val="0"/>
        <w:ind w:firstLine="580" w:firstLineChars="200"/>
        <w:textAlignment w:val="auto"/>
        <w:rPr>
          <w:rStyle w:val="733"/>
          <w:rFonts w:hint="eastAsia" w:ascii="黑体" w:hAnsi="黑体" w:eastAsia="黑体" w:cs="黑体"/>
          <w:b w:val="0"/>
          <w:bCs w:val="0"/>
          <w:color w:val="auto"/>
          <w:highlight w:val="none"/>
        </w:rPr>
      </w:pPr>
      <w:r>
        <w:rPr>
          <w:rStyle w:val="733"/>
          <w:rFonts w:hint="eastAsia" w:ascii="黑体" w:hAnsi="黑体" w:eastAsia="黑体" w:cs="黑体"/>
          <w:b w:val="0"/>
          <w:bCs w:val="0"/>
          <w:color w:val="auto"/>
          <w:highlight w:val="none"/>
        </w:rPr>
        <w:t>二、工程管理</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加强防洪工程管理，重点是强化功能和能力管理，充分发挥</w:t>
      </w:r>
      <w:r>
        <w:rPr>
          <w:rFonts w:hint="eastAsia"/>
          <w:color w:val="auto"/>
          <w:sz w:val="30"/>
          <w:szCs w:val="30"/>
          <w:highlight w:val="none"/>
          <w:lang w:val="en-US" w:eastAsia="zh-CN"/>
        </w:rPr>
        <w:t>防洪</w:t>
      </w:r>
      <w:r>
        <w:rPr>
          <w:color w:val="auto"/>
          <w:sz w:val="30"/>
          <w:szCs w:val="30"/>
          <w:highlight w:val="none"/>
        </w:rPr>
        <w:t>能力，提供安全优质服务。妥善处理好水库防洪和兴利关系，充分发挥工程综合效益。</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05" w:name="_Toc294463310"/>
      <w:bookmarkStart w:id="106" w:name="_Toc124757357"/>
      <w:r>
        <w:rPr>
          <w:b w:val="0"/>
          <w:bCs w:val="0"/>
          <w:color w:val="auto"/>
          <w:highlight w:val="none"/>
        </w:rPr>
        <w:t>第三节  防汛调度指挥系统建设</w:t>
      </w:r>
      <w:bookmarkEnd w:id="105"/>
      <w:bookmarkEnd w:id="106"/>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推动沱江数字孪生流域建设，完善四川沱江防汛调度指挥系统，作为四川省防汛调度指挥系统的子系统，覆盖流域内防洪城市、重点防洪地区及重要防洪枢纽。系统由信息采集系统、通信系统、计算机网络系统和决策支持系统4部分组成，包括一个流域中心和5个市级分中心、各地的工情、灾情分中心。健全沱江流域联防联控监测预警工作机制及上下游水库联合调度机制，开发完善沱江流域联合调度智慧信息系统。</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07" w:name="_Toc124757358"/>
      <w:bookmarkStart w:id="108" w:name="_Toc294463311"/>
      <w:r>
        <w:rPr>
          <w:b w:val="0"/>
          <w:bCs w:val="0"/>
          <w:color w:val="auto"/>
          <w:highlight w:val="none"/>
        </w:rPr>
        <w:t>第四节  水文基础设施建设</w:t>
      </w:r>
      <w:bookmarkEnd w:id="107"/>
      <w:bookmarkEnd w:id="108"/>
    </w:p>
    <w:p>
      <w:pPr>
        <w:pStyle w:val="154"/>
        <w:keepNext w:val="0"/>
        <w:keepLines w:val="0"/>
        <w:pageBreakBefore w:val="0"/>
        <w:widowControl w:val="0"/>
        <w:kinsoku/>
        <w:wordWrap/>
        <w:overflowPunct/>
        <w:topLinePunct w:val="0"/>
        <w:autoSpaceDE/>
        <w:autoSpaceDN/>
        <w:bidi w:val="0"/>
        <w:adjustRightInd/>
        <w:snapToGrid/>
        <w:ind w:firstLine="578"/>
        <w:textAlignment w:val="auto"/>
        <w:rPr>
          <w:b w:val="0"/>
          <w:bCs w:val="0"/>
          <w:color w:val="auto"/>
          <w:sz w:val="30"/>
          <w:szCs w:val="30"/>
          <w:highlight w:val="none"/>
        </w:rPr>
      </w:pPr>
      <w:r>
        <w:rPr>
          <w:b w:val="0"/>
          <w:bCs w:val="0"/>
          <w:color w:val="auto"/>
          <w:sz w:val="30"/>
          <w:szCs w:val="30"/>
          <w:highlight w:val="none"/>
        </w:rPr>
        <w:t>沱江流域水文站网的主要问题是部分河流监测站点偏少、站网密度不够，部分监测站点采集、传输手段落后，应进一步加强水文站网建设。</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一、水文测验站网规划</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90"/>
          <w:rFonts w:ascii="Times New Roman" w:hAnsi="Times New Roman"/>
          <w:b w:val="0"/>
          <w:color w:val="auto"/>
          <w:spacing w:val="4"/>
          <w:kern w:val="2"/>
          <w:highlight w:val="none"/>
        </w:rPr>
      </w:pPr>
      <w:r>
        <w:rPr>
          <w:b w:val="0"/>
          <w:bCs w:val="0"/>
          <w:color w:val="auto"/>
          <w:spacing w:val="4"/>
          <w:kern w:val="2"/>
          <w:highlight w:val="none"/>
        </w:rPr>
        <w:t>新建水文站3处、改建水文站3处，新建水位站22处、改建水</w:t>
      </w:r>
      <w:r>
        <w:rPr>
          <w:b w:val="0"/>
          <w:color w:val="auto"/>
          <w:spacing w:val="4"/>
          <w:kern w:val="2"/>
          <w:highlight w:val="none"/>
        </w:rPr>
        <w:t>位站16处。</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二、水情通讯系统规划</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新建82处水库防汛报警通信系统。</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三、水情分中心规划</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28"/>
          <w:szCs w:val="28"/>
          <w:highlight w:val="none"/>
        </w:rPr>
      </w:pPr>
      <w:r>
        <w:rPr>
          <w:color w:val="auto"/>
          <w:sz w:val="30"/>
          <w:szCs w:val="30"/>
          <w:highlight w:val="none"/>
        </w:rPr>
        <w:t>推进流域联防联控，设立沱江流域水旱灾害联防联控监测预警中心。此外，流域水利工程建设中，应按照相关要求，推进水利工程配套水文监测设</w:t>
      </w:r>
      <w:r>
        <w:rPr>
          <w:color w:val="auto"/>
          <w:sz w:val="28"/>
          <w:szCs w:val="28"/>
          <w:highlight w:val="none"/>
        </w:rPr>
        <w:t>施建设。</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sz w:val="30"/>
          <w:szCs w:val="30"/>
          <w:highlight w:val="none"/>
        </w:rPr>
      </w:pPr>
      <w:bookmarkStart w:id="109" w:name="_Toc124757359"/>
      <w:bookmarkStart w:id="110" w:name="_Toc294463312"/>
      <w:r>
        <w:rPr>
          <w:b w:val="0"/>
          <w:bCs w:val="0"/>
          <w:color w:val="auto"/>
          <w:sz w:val="30"/>
          <w:szCs w:val="30"/>
          <w:highlight w:val="none"/>
        </w:rPr>
        <w:t>第五节  防洪政策法规建设</w:t>
      </w:r>
      <w:bookmarkEnd w:id="109"/>
    </w:p>
    <w:p>
      <w:pPr>
        <w:pStyle w:val="648"/>
        <w:keepNext w:val="0"/>
        <w:keepLines w:val="0"/>
        <w:pageBreakBefore w:val="0"/>
        <w:widowControl w:val="0"/>
        <w:kinsoku/>
        <w:wordWrap/>
        <w:overflowPunct/>
        <w:topLinePunct w:val="0"/>
        <w:autoSpaceDE/>
        <w:autoSpaceDN/>
        <w:bidi w:val="0"/>
        <w:adjustRightInd/>
        <w:snapToGrid/>
        <w:spacing w:line="540" w:lineRule="exact"/>
        <w:ind w:left="148" w:leftChars="67" w:firstLine="562"/>
        <w:textAlignment w:val="auto"/>
        <w:rPr>
          <w:rFonts w:ascii="Times New Roman" w:cs="Times New Roman"/>
          <w:color w:val="auto"/>
          <w:sz w:val="30"/>
          <w:szCs w:val="30"/>
          <w:highlight w:val="none"/>
        </w:rPr>
      </w:pPr>
      <w:r>
        <w:rPr>
          <w:rFonts w:ascii="Times New Roman" w:cs="Times New Roman"/>
          <w:color w:val="auto"/>
          <w:sz w:val="30"/>
          <w:szCs w:val="30"/>
          <w:highlight w:val="none"/>
        </w:rPr>
        <w:t>根据法律法规相关要求，结合沱江流域实际，编制沱江流域重点地区超标准洪水预案。推广普及防洪法律知识和防灾避灾知识，增强公民的防洪法制观念和防灾避灾能力。</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sz w:val="30"/>
          <w:szCs w:val="30"/>
          <w:highlight w:val="none"/>
          <w:lang w:val="zh-CN"/>
        </w:rPr>
      </w:pPr>
      <w:bookmarkStart w:id="111" w:name="_Toc124757360"/>
      <w:r>
        <w:rPr>
          <w:b w:val="0"/>
          <w:bCs w:val="0"/>
          <w:color w:val="auto"/>
          <w:sz w:val="30"/>
          <w:szCs w:val="30"/>
          <w:highlight w:val="none"/>
          <w:lang w:val="zh-CN"/>
        </w:rPr>
        <w:t xml:space="preserve">第六节  </w:t>
      </w:r>
      <w:bookmarkEnd w:id="110"/>
      <w:r>
        <w:rPr>
          <w:b w:val="0"/>
          <w:bCs w:val="0"/>
          <w:color w:val="auto"/>
          <w:sz w:val="30"/>
          <w:szCs w:val="30"/>
          <w:highlight w:val="none"/>
          <w:lang w:val="zh-CN"/>
        </w:rPr>
        <w:t>超标准洪水防御方案</w:t>
      </w:r>
      <w:bookmarkEnd w:id="111"/>
    </w:p>
    <w:p>
      <w:pPr>
        <w:pStyle w:val="5"/>
        <w:keepNext/>
        <w:keepLines/>
        <w:pageBreakBefore w:val="0"/>
        <w:widowControl w:val="0"/>
        <w:kinsoku/>
        <w:wordWrap/>
        <w:overflowPunct/>
        <w:topLinePunct w:val="0"/>
        <w:autoSpaceDE/>
        <w:autoSpaceDN/>
        <w:bidi w:val="0"/>
        <w:adjustRightInd/>
        <w:snapToGrid/>
        <w:spacing w:before="0" w:after="0" w:line="540" w:lineRule="exact"/>
        <w:ind w:firstLine="588" w:firstLineChars="200"/>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一、超标准洪水防御方案</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为保障人民群众生命财产安全和经济社会稳定发展，按照水利部相关要求，流域内各市分别完成了相应城市和重要支流超标准洪水防御预案。超标洪水防御方案按照已经编制的预案执行，随着城市发展需要及时对超标洪水防御预案修编。</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bookmarkStart w:id="112" w:name="_Toc101193321"/>
      <w:bookmarkStart w:id="113" w:name="_Toc109320842"/>
      <w:r>
        <w:rPr>
          <w:rStyle w:val="550"/>
          <w:rFonts w:hint="eastAsia" w:ascii="黑体" w:hAnsi="黑体" w:eastAsia="黑体" w:cs="黑体"/>
          <w:b w:val="0"/>
          <w:bCs/>
          <w:color w:val="auto"/>
          <w:highlight w:val="none"/>
        </w:rPr>
        <w:t>二、应对极端洪涝灾害工作方案</w:t>
      </w:r>
      <w:bookmarkEnd w:id="112"/>
      <w:bookmarkEnd w:id="113"/>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r>
        <w:rPr>
          <w:rFonts w:ascii="Times New Roman"/>
          <w:color w:val="auto"/>
          <w:sz w:val="30"/>
          <w:szCs w:val="30"/>
          <w:highlight w:val="none"/>
        </w:rPr>
        <w:t>当达到下列条件之一时，启动洪涝灾害应急预案。（1）市防汛抗旱指挥部启动I级（红色）防汛应急响应且可能发生极端洪涝灾害；（2）局部发生极端洪涝灾害；（3）市防汛抗旱指挥部</w:t>
      </w:r>
      <w:r>
        <w:rPr>
          <w:rFonts w:hint="eastAsia" w:ascii="Times New Roman"/>
          <w:color w:val="auto"/>
          <w:sz w:val="30"/>
          <w:szCs w:val="30"/>
          <w:highlight w:val="none"/>
          <w:lang w:val="en-US" w:eastAsia="zh-CN"/>
        </w:rPr>
        <w:t>已</w:t>
      </w:r>
      <w:r>
        <w:rPr>
          <w:rFonts w:ascii="Times New Roman"/>
          <w:color w:val="auto"/>
          <w:sz w:val="30"/>
          <w:szCs w:val="30"/>
          <w:highlight w:val="none"/>
        </w:rPr>
        <w:t>启动I级（红色）防汛应急响应且市上游区域将遭遇极端强降雨过程，可能对本市洪涝灾害造成叠加影响时。</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ascii="Times New Roman"/>
          <w:color w:val="auto"/>
          <w:sz w:val="30"/>
          <w:szCs w:val="30"/>
          <w:highlight w:val="none"/>
        </w:rPr>
      </w:pPr>
      <w:bookmarkStart w:id="114" w:name="_Toc274668836"/>
      <w:bookmarkStart w:id="115" w:name="_Toc274668926"/>
      <w:bookmarkStart w:id="116" w:name="_Toc274668455"/>
      <w:bookmarkStart w:id="117" w:name="_Toc274322674"/>
      <w:r>
        <w:rPr>
          <w:rFonts w:ascii="Times New Roman"/>
          <w:color w:val="auto"/>
          <w:sz w:val="30"/>
          <w:szCs w:val="30"/>
          <w:highlight w:val="none"/>
        </w:rPr>
        <w:t>启动市级应对极端洪涝灾害工作方案后，气象、水文部门实行24小时不间断滚动通报机制，应急、水</w:t>
      </w:r>
      <w:r>
        <w:rPr>
          <w:rFonts w:hint="eastAsia" w:ascii="Times New Roman"/>
          <w:color w:val="auto"/>
          <w:sz w:val="30"/>
          <w:szCs w:val="30"/>
          <w:highlight w:val="none"/>
          <w:lang w:val="en-US" w:eastAsia="zh-CN"/>
        </w:rPr>
        <w:t>利</w:t>
      </w:r>
      <w:r>
        <w:rPr>
          <w:rFonts w:ascii="Times New Roman"/>
          <w:color w:val="auto"/>
          <w:sz w:val="30"/>
          <w:szCs w:val="30"/>
          <w:highlight w:val="none"/>
        </w:rPr>
        <w:t>、气象、水文等部门要严格落实会商研判制度，加强极端天气条件下气象、水文要素分析，落实24小时不间断滚动会商机制，组建专家队伍，为市级应对极端洪涝灾害工作领导小组提供技术支持。由市级应对极端洪涝灾害工作领导小组办公室（市防汛办）及时向省级应对极端洪涝灾害工作领导小组提出应对极端洪涝灾害决策建议。按照规定发布极端天气风险提示、洪涝灾害风险提示，组织实施应急措施。</w:t>
      </w:r>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rPr>
      </w:pPr>
      <w:r>
        <w:rPr>
          <w:color w:val="auto"/>
          <w:highlight w:val="none"/>
        </w:rPr>
        <w:br w:type="page"/>
      </w:r>
      <w:bookmarkEnd w:id="114"/>
      <w:bookmarkEnd w:id="115"/>
      <w:bookmarkEnd w:id="116"/>
      <w:bookmarkEnd w:id="117"/>
      <w:bookmarkStart w:id="118" w:name="_Toc124757361"/>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lang w:val="en-US"/>
        </w:rPr>
      </w:pPr>
      <w:r>
        <w:rPr>
          <w:b w:val="0"/>
          <w:bCs w:val="0"/>
          <w:color w:val="auto"/>
          <w:highlight w:val="none"/>
          <w:lang w:val="en-US"/>
        </w:rPr>
        <w:t>第九章  建设征地与</w:t>
      </w:r>
      <w:bookmarkStart w:id="119" w:name="_Hlk121072480"/>
      <w:r>
        <w:rPr>
          <w:b w:val="0"/>
          <w:bCs w:val="0"/>
          <w:color w:val="auto"/>
          <w:highlight w:val="none"/>
          <w:lang w:val="en-US"/>
        </w:rPr>
        <w:t>移民安置</w:t>
      </w:r>
      <w:bookmarkEnd w:id="118"/>
      <w:bookmarkEnd w:id="119"/>
    </w:p>
    <w:p>
      <w:pPr>
        <w:pStyle w:val="4"/>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rPr>
      </w:pPr>
      <w:bookmarkStart w:id="120" w:name="_Toc124757362"/>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建设征地</w:t>
      </w:r>
      <w:bookmarkEnd w:id="120"/>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一、水库淹没处理设计洪水标准</w:t>
      </w:r>
    </w:p>
    <w:p>
      <w:pPr>
        <w:keepNext w:val="0"/>
        <w:keepLines w:val="0"/>
        <w:pageBreakBefore w:val="0"/>
        <w:widowControl/>
        <w:kinsoku w:val="0"/>
        <w:wordWrap/>
        <w:overflowPunct/>
        <w:topLinePunct w:val="0"/>
        <w:autoSpaceDE w:val="0"/>
        <w:autoSpaceDN w:val="0"/>
        <w:bidi w:val="0"/>
        <w:adjustRightInd w:val="0"/>
        <w:snapToGrid w:val="0"/>
        <w:spacing w:line="540" w:lineRule="exact"/>
        <w:ind w:firstLine="551"/>
        <w:jc w:val="left"/>
        <w:textAlignment w:val="baseline"/>
        <w:rPr>
          <w:rFonts w:eastAsia="仿宋_GB2312"/>
          <w:color w:val="auto"/>
          <w:spacing w:val="0"/>
          <w:sz w:val="30"/>
          <w:szCs w:val="30"/>
          <w:highlight w:val="none"/>
        </w:rPr>
      </w:pPr>
      <w:r>
        <w:rPr>
          <w:rFonts w:eastAsia="仿宋_GB2312"/>
          <w:color w:val="auto"/>
          <w:spacing w:val="-6"/>
          <w:sz w:val="30"/>
          <w:szCs w:val="30"/>
          <w:highlight w:val="none"/>
        </w:rPr>
        <w:t>根据《水利水电工程建设征地移民安置规划设计规范》（SL290</w:t>
      </w:r>
      <w:r>
        <w:rPr>
          <w:rFonts w:hint="eastAsia" w:ascii="宋体" w:hAnsi="宋体" w:eastAsia="宋体" w:cs="宋体"/>
          <w:color w:val="auto"/>
          <w:spacing w:val="-6"/>
          <w:sz w:val="30"/>
          <w:szCs w:val="30"/>
          <w:highlight w:val="none"/>
        </w:rPr>
        <w:t>－</w:t>
      </w:r>
      <w:r>
        <w:rPr>
          <w:rFonts w:eastAsia="仿宋_GB2312"/>
          <w:color w:val="auto"/>
          <w:spacing w:val="-6"/>
          <w:sz w:val="30"/>
          <w:szCs w:val="30"/>
          <w:highlight w:val="none"/>
        </w:rPr>
        <w:t>200</w:t>
      </w:r>
      <w:r>
        <w:rPr>
          <w:rFonts w:hint="eastAsia" w:eastAsia="仿宋_GB2312"/>
          <w:color w:val="auto"/>
          <w:spacing w:val="-6"/>
          <w:sz w:val="30"/>
          <w:szCs w:val="30"/>
          <w:highlight w:val="none"/>
        </w:rPr>
        <w:t>9</w:t>
      </w:r>
      <w:r>
        <w:rPr>
          <w:rFonts w:eastAsia="仿宋_GB2312"/>
          <w:color w:val="auto"/>
          <w:spacing w:val="-6"/>
          <w:sz w:val="30"/>
          <w:szCs w:val="30"/>
          <w:highlight w:val="none"/>
        </w:rPr>
        <w:t>）</w:t>
      </w:r>
      <w:r>
        <w:rPr>
          <w:rFonts w:eastAsia="仿宋_GB2312"/>
          <w:color w:val="auto"/>
          <w:spacing w:val="0"/>
          <w:sz w:val="30"/>
          <w:szCs w:val="30"/>
          <w:highlight w:val="none"/>
        </w:rPr>
        <w:t>和《防洪标准》（GB50201</w:t>
      </w:r>
      <w:r>
        <w:rPr>
          <w:rFonts w:hint="eastAsia" w:ascii="宋体" w:hAnsi="宋体" w:eastAsia="宋体" w:cs="宋体"/>
          <w:color w:val="auto"/>
          <w:spacing w:val="0"/>
          <w:sz w:val="30"/>
          <w:szCs w:val="30"/>
          <w:highlight w:val="none"/>
        </w:rPr>
        <w:t>－</w:t>
      </w:r>
      <w:r>
        <w:rPr>
          <w:rFonts w:eastAsia="仿宋_GB2312"/>
          <w:color w:val="auto"/>
          <w:spacing w:val="0"/>
          <w:sz w:val="30"/>
          <w:szCs w:val="30"/>
          <w:highlight w:val="none"/>
        </w:rPr>
        <w:t>2014），结合各</w:t>
      </w:r>
      <w:r>
        <w:rPr>
          <w:rFonts w:hint="eastAsia" w:eastAsia="仿宋_GB2312"/>
          <w:color w:val="auto"/>
          <w:spacing w:val="0"/>
          <w:sz w:val="30"/>
          <w:szCs w:val="30"/>
          <w:highlight w:val="none"/>
          <w:lang w:val="en-US" w:eastAsia="zh-CN"/>
        </w:rPr>
        <w:t>规划</w:t>
      </w:r>
      <w:r>
        <w:rPr>
          <w:rFonts w:eastAsia="仿宋_GB2312"/>
          <w:color w:val="auto"/>
          <w:spacing w:val="0"/>
          <w:sz w:val="30"/>
          <w:szCs w:val="30"/>
          <w:highlight w:val="none"/>
        </w:rPr>
        <w:t>水库淹没影响情况，拟定主要淹没影响对象的设计洪水标准如下：</w:t>
      </w:r>
    </w:p>
    <w:p>
      <w:pPr>
        <w:keepNext w:val="0"/>
        <w:keepLines w:val="0"/>
        <w:pageBreakBefore w:val="0"/>
        <w:widowControl/>
        <w:kinsoku w:val="0"/>
        <w:wordWrap/>
        <w:overflowPunct/>
        <w:topLinePunct w:val="0"/>
        <w:autoSpaceDE w:val="0"/>
        <w:autoSpaceDN w:val="0"/>
        <w:bidi w:val="0"/>
        <w:adjustRightInd w:val="0"/>
        <w:snapToGrid w:val="0"/>
        <w:spacing w:line="540" w:lineRule="exact"/>
        <w:ind w:left="559"/>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耕地、园地：采用5年一遇（P=20%）洪水标准；</w:t>
      </w:r>
    </w:p>
    <w:p>
      <w:pPr>
        <w:keepNext w:val="0"/>
        <w:keepLines w:val="0"/>
        <w:pageBreakBefore w:val="0"/>
        <w:widowControl/>
        <w:kinsoku w:val="0"/>
        <w:wordWrap/>
        <w:overflowPunct/>
        <w:topLinePunct w:val="0"/>
        <w:autoSpaceDE w:val="0"/>
        <w:autoSpaceDN w:val="0"/>
        <w:bidi w:val="0"/>
        <w:adjustRightInd w:val="0"/>
        <w:snapToGrid w:val="0"/>
        <w:spacing w:line="540" w:lineRule="exact"/>
        <w:ind w:right="-28" w:firstLine="567"/>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农村居民点及一般专项设施：采用20年一遇（P=5%）洪水标准；</w:t>
      </w:r>
    </w:p>
    <w:p>
      <w:pPr>
        <w:keepNext w:val="0"/>
        <w:keepLines w:val="0"/>
        <w:pageBreakBefore w:val="0"/>
        <w:widowControl/>
        <w:kinsoku w:val="0"/>
        <w:wordWrap/>
        <w:overflowPunct/>
        <w:topLinePunct w:val="0"/>
        <w:autoSpaceDE w:val="0"/>
        <w:autoSpaceDN w:val="0"/>
        <w:bidi w:val="0"/>
        <w:adjustRightInd w:val="0"/>
        <w:snapToGrid w:val="0"/>
        <w:spacing w:line="540" w:lineRule="exact"/>
        <w:ind w:left="559"/>
        <w:jc w:val="left"/>
        <w:textAlignment w:val="baseline"/>
        <w:rPr>
          <w:rFonts w:eastAsia="仿宋_GB2312"/>
          <w:color w:val="auto"/>
          <w:spacing w:val="4"/>
          <w:highlight w:val="none"/>
        </w:rPr>
      </w:pPr>
      <w:r>
        <w:rPr>
          <w:rFonts w:eastAsia="仿宋_GB2312"/>
          <w:color w:val="auto"/>
          <w:spacing w:val="4"/>
          <w:sz w:val="30"/>
          <w:szCs w:val="30"/>
          <w:highlight w:val="none"/>
        </w:rPr>
        <w:t>林地及其它土地：采用正常蓄水位。</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二、建设征地处理范围</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沱江流域规划工程建设征地范围包括水库（含除险加固）工程区、堤防工程</w:t>
      </w:r>
      <w:r>
        <w:rPr>
          <w:rFonts w:hint="eastAsia"/>
          <w:color w:val="auto"/>
          <w:sz w:val="30"/>
          <w:szCs w:val="30"/>
          <w:highlight w:val="none"/>
          <w:lang w:eastAsia="zh-CN"/>
        </w:rPr>
        <w:t>区</w:t>
      </w:r>
      <w:r>
        <w:rPr>
          <w:color w:val="auto"/>
          <w:sz w:val="30"/>
          <w:szCs w:val="30"/>
          <w:highlight w:val="none"/>
        </w:rPr>
        <w:t>、河道拓宽</w:t>
      </w:r>
      <w:r>
        <w:rPr>
          <w:rFonts w:hint="eastAsia"/>
          <w:color w:val="auto"/>
          <w:sz w:val="30"/>
          <w:szCs w:val="30"/>
          <w:highlight w:val="none"/>
          <w:lang w:eastAsia="zh-CN"/>
        </w:rPr>
        <w:t>占地区</w:t>
      </w:r>
      <w:r>
        <w:rPr>
          <w:color w:val="auto"/>
          <w:sz w:val="30"/>
          <w:szCs w:val="30"/>
          <w:highlight w:val="none"/>
        </w:rPr>
        <w:t>、山洪</w:t>
      </w:r>
      <w:r>
        <w:rPr>
          <w:rFonts w:hint="eastAsia"/>
          <w:color w:val="auto"/>
          <w:sz w:val="30"/>
          <w:szCs w:val="30"/>
          <w:highlight w:val="none"/>
          <w:lang w:val="en-US" w:eastAsia="zh-CN"/>
        </w:rPr>
        <w:t>沟治理</w:t>
      </w:r>
      <w:r>
        <w:rPr>
          <w:rFonts w:hint="eastAsia"/>
          <w:color w:val="auto"/>
          <w:sz w:val="30"/>
          <w:szCs w:val="30"/>
          <w:highlight w:val="none"/>
          <w:lang w:eastAsia="zh-CN"/>
        </w:rPr>
        <w:t>占地区</w:t>
      </w:r>
      <w:r>
        <w:rPr>
          <w:color w:val="auto"/>
          <w:sz w:val="30"/>
          <w:szCs w:val="30"/>
          <w:highlight w:val="none"/>
        </w:rPr>
        <w:t>及分洪工程占地</w:t>
      </w:r>
      <w:r>
        <w:rPr>
          <w:rFonts w:hint="eastAsia"/>
          <w:color w:val="auto"/>
          <w:sz w:val="30"/>
          <w:szCs w:val="30"/>
          <w:highlight w:val="none"/>
          <w:lang w:eastAsia="zh-CN"/>
        </w:rPr>
        <w:t>区</w:t>
      </w:r>
      <w:r>
        <w:rPr>
          <w:rFonts w:hint="eastAsia"/>
          <w:color w:val="auto"/>
          <w:sz w:val="30"/>
          <w:szCs w:val="30"/>
          <w:highlight w:val="none"/>
          <w:lang w:val="en-US" w:eastAsia="zh-CN"/>
        </w:rPr>
        <w:t>等</w:t>
      </w:r>
      <w:r>
        <w:rPr>
          <w:color w:val="auto"/>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三、建设征地实物调查</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（一）调查组织</w:t>
      </w:r>
    </w:p>
    <w:p>
      <w:pPr>
        <w:pStyle w:val="154"/>
        <w:keepNext w:val="0"/>
        <w:keepLines w:val="0"/>
        <w:pageBreakBefore w:val="0"/>
        <w:widowControl w:val="0"/>
        <w:kinsoku/>
        <w:wordWrap/>
        <w:overflowPunct/>
        <w:topLinePunct w:val="0"/>
        <w:autoSpaceDE/>
        <w:autoSpaceDN/>
        <w:bidi w:val="0"/>
        <w:adjustRightInd/>
        <w:snapToGrid/>
        <w:ind w:firstLine="580" w:firstLineChars="200"/>
        <w:textAlignment w:val="auto"/>
        <w:rPr>
          <w:color w:val="auto"/>
          <w:sz w:val="30"/>
          <w:szCs w:val="30"/>
          <w:highlight w:val="none"/>
        </w:rPr>
      </w:pPr>
      <w:r>
        <w:rPr>
          <w:color w:val="auto"/>
          <w:sz w:val="30"/>
          <w:szCs w:val="30"/>
          <w:highlight w:val="none"/>
        </w:rPr>
        <w:t>依据《水利水电工程建设征地移民实物调查规范》（SL442</w:t>
      </w:r>
      <w:r>
        <w:rPr>
          <w:rFonts w:hint="eastAsia" w:ascii="宋体" w:hAnsi="宋体" w:eastAsia="宋体" w:cs="宋体"/>
          <w:color w:val="auto"/>
          <w:sz w:val="30"/>
          <w:szCs w:val="30"/>
          <w:highlight w:val="none"/>
        </w:rPr>
        <w:t>－</w:t>
      </w:r>
      <w:r>
        <w:rPr>
          <w:color w:val="auto"/>
          <w:sz w:val="30"/>
          <w:szCs w:val="30"/>
          <w:highlight w:val="none"/>
        </w:rPr>
        <w:t>2009）和《土地利用现状分类》（GB/T21010</w:t>
      </w:r>
      <w:r>
        <w:rPr>
          <w:rFonts w:hint="eastAsia" w:ascii="宋体" w:hAnsi="宋体" w:eastAsia="宋体" w:cs="宋体"/>
          <w:color w:val="auto"/>
          <w:sz w:val="30"/>
          <w:szCs w:val="30"/>
          <w:highlight w:val="none"/>
        </w:rPr>
        <w:t>－</w:t>
      </w:r>
      <w:r>
        <w:rPr>
          <w:color w:val="auto"/>
          <w:sz w:val="30"/>
          <w:szCs w:val="30"/>
          <w:highlight w:val="none"/>
        </w:rPr>
        <w:t>2017）的相关规定，由工程占地涉及的县（市、区）</w:t>
      </w:r>
      <w:r>
        <w:rPr>
          <w:rFonts w:ascii="Times New Roman" w:hAnsi="Times New Roman"/>
          <w:color w:val="auto"/>
          <w:spacing w:val="4"/>
          <w:kern w:val="2"/>
          <w:sz w:val="30"/>
          <w:szCs w:val="30"/>
          <w:highlight w:val="none"/>
        </w:rPr>
        <w:t>水利</w:t>
      </w:r>
      <w:r>
        <w:rPr>
          <w:color w:val="auto"/>
          <w:sz w:val="30"/>
          <w:szCs w:val="30"/>
          <w:highlight w:val="none"/>
        </w:rPr>
        <w:t>（</w:t>
      </w:r>
      <w:r>
        <w:rPr>
          <w:rFonts w:hint="eastAsia"/>
          <w:color w:val="auto"/>
          <w:sz w:val="30"/>
          <w:szCs w:val="30"/>
          <w:highlight w:val="none"/>
          <w:lang w:val="en-US" w:eastAsia="zh-CN"/>
        </w:rPr>
        <w:t>水</w:t>
      </w:r>
      <w:r>
        <w:rPr>
          <w:rFonts w:hint="eastAsia"/>
          <w:color w:val="auto"/>
          <w:sz w:val="30"/>
          <w:szCs w:val="30"/>
          <w:highlight w:val="none"/>
        </w:rPr>
        <w:t>务</w:t>
      </w:r>
      <w:r>
        <w:rPr>
          <w:color w:val="auto"/>
          <w:sz w:val="30"/>
          <w:szCs w:val="30"/>
          <w:highlight w:val="none"/>
        </w:rPr>
        <w:t>）</w:t>
      </w:r>
      <w:r>
        <w:rPr>
          <w:rFonts w:ascii="Times New Roman" w:hAnsi="Times New Roman"/>
          <w:color w:val="auto"/>
          <w:spacing w:val="4"/>
          <w:kern w:val="2"/>
          <w:sz w:val="30"/>
          <w:szCs w:val="30"/>
          <w:highlight w:val="none"/>
        </w:rPr>
        <w:t>局牵头</w:t>
      </w:r>
      <w:r>
        <w:rPr>
          <w:color w:val="auto"/>
          <w:highlight w:val="none"/>
        </w:rPr>
        <w:commentReference w:id="0"/>
      </w:r>
      <w:r>
        <w:rPr>
          <w:color w:val="auto"/>
          <w:highlight w:val="none"/>
        </w:rPr>
        <w:commentReference w:id="1"/>
      </w:r>
      <w:r>
        <w:rPr>
          <w:color w:val="auto"/>
          <w:sz w:val="30"/>
          <w:szCs w:val="30"/>
          <w:highlight w:val="none"/>
        </w:rPr>
        <w:t>，会同设计单位和占地区乡（镇）人民政府、行政村组干部组成联合调查组，设计单位</w:t>
      </w:r>
      <w:r>
        <w:rPr>
          <w:rFonts w:hint="eastAsia"/>
          <w:color w:val="auto"/>
          <w:sz w:val="30"/>
          <w:szCs w:val="30"/>
          <w:highlight w:val="none"/>
          <w:lang w:val="en-US" w:eastAsia="zh-CN"/>
        </w:rPr>
        <w:t>负责</w:t>
      </w:r>
      <w:r>
        <w:rPr>
          <w:color w:val="auto"/>
          <w:sz w:val="30"/>
          <w:szCs w:val="30"/>
          <w:highlight w:val="none"/>
        </w:rPr>
        <w:t>技术把关，</w:t>
      </w:r>
      <w:r>
        <w:rPr>
          <w:rFonts w:ascii="Times New Roman" w:hAnsi="Times New Roman"/>
          <w:color w:val="auto"/>
          <w:spacing w:val="4"/>
          <w:kern w:val="2"/>
          <w:sz w:val="30"/>
          <w:szCs w:val="30"/>
          <w:highlight w:val="none"/>
        </w:rPr>
        <w:t>县（市、区）水利</w:t>
      </w:r>
      <w:r>
        <w:rPr>
          <w:color w:val="auto"/>
          <w:sz w:val="30"/>
          <w:szCs w:val="30"/>
          <w:highlight w:val="none"/>
        </w:rPr>
        <w:t>（</w:t>
      </w:r>
      <w:r>
        <w:rPr>
          <w:rFonts w:hint="eastAsia"/>
          <w:color w:val="auto"/>
          <w:sz w:val="30"/>
          <w:szCs w:val="30"/>
          <w:highlight w:val="none"/>
          <w:lang w:val="en-US" w:eastAsia="zh-CN"/>
        </w:rPr>
        <w:t>水</w:t>
      </w:r>
      <w:r>
        <w:rPr>
          <w:rFonts w:hint="eastAsia"/>
          <w:color w:val="auto"/>
          <w:sz w:val="30"/>
          <w:szCs w:val="30"/>
          <w:highlight w:val="none"/>
        </w:rPr>
        <w:t>务</w:t>
      </w:r>
      <w:r>
        <w:rPr>
          <w:color w:val="auto"/>
          <w:sz w:val="30"/>
          <w:szCs w:val="30"/>
          <w:highlight w:val="none"/>
        </w:rPr>
        <w:t>）</w:t>
      </w:r>
      <w:r>
        <w:rPr>
          <w:rFonts w:ascii="Times New Roman" w:hAnsi="Times New Roman"/>
          <w:color w:val="auto"/>
          <w:spacing w:val="4"/>
          <w:kern w:val="2"/>
          <w:sz w:val="30"/>
          <w:szCs w:val="30"/>
          <w:highlight w:val="none"/>
        </w:rPr>
        <w:t>局</w:t>
      </w:r>
      <w:r>
        <w:rPr>
          <w:color w:val="auto"/>
          <w:sz w:val="30"/>
          <w:szCs w:val="30"/>
          <w:highlight w:val="none"/>
        </w:rPr>
        <w:t>负责调查过程中的组织、协调等工作。</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（二）调查内容</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调查内容包括土地、人口、房屋、专业项目等主要实物，同时收集建设征地涉及乡（镇）的社会经济资料。</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w:t>
      </w:r>
      <w:r>
        <w:rPr>
          <w:rFonts w:hint="eastAsia" w:ascii="楷体_GB2312" w:hAnsi="楷体_GB2312" w:eastAsia="楷体_GB2312" w:cs="楷体_GB2312"/>
          <w:color w:val="auto"/>
          <w:sz w:val="30"/>
          <w:szCs w:val="30"/>
          <w:highlight w:val="none"/>
          <w:lang w:val="en-US" w:eastAsia="zh-CN"/>
        </w:rPr>
        <w:t>三</w:t>
      </w:r>
      <w:r>
        <w:rPr>
          <w:rFonts w:hint="eastAsia" w:ascii="楷体_GB2312" w:hAnsi="楷体_GB2312" w:eastAsia="楷体_GB2312" w:cs="楷体_GB2312"/>
          <w:color w:val="auto"/>
          <w:sz w:val="30"/>
          <w:szCs w:val="30"/>
          <w:highlight w:val="none"/>
        </w:rPr>
        <w:t>）调查成果</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经初步调查，沱江流域防洪规划工程</w:t>
      </w:r>
      <w:r>
        <w:rPr>
          <w:rFonts w:hint="eastAsia"/>
          <w:color w:val="auto"/>
          <w:sz w:val="30"/>
          <w:szCs w:val="30"/>
          <w:highlight w:val="none"/>
        </w:rPr>
        <w:t>不</w:t>
      </w:r>
      <w:r>
        <w:rPr>
          <w:rFonts w:hint="eastAsia"/>
          <w:color w:val="auto"/>
          <w:sz w:val="30"/>
          <w:szCs w:val="30"/>
          <w:highlight w:val="none"/>
          <w:lang w:val="en-US" w:eastAsia="zh-CN"/>
        </w:rPr>
        <w:t>涉及</w:t>
      </w:r>
      <w:r>
        <w:rPr>
          <w:rFonts w:hint="eastAsia"/>
          <w:color w:val="auto"/>
          <w:sz w:val="30"/>
          <w:szCs w:val="30"/>
          <w:highlight w:val="none"/>
        </w:rPr>
        <w:t>永久基本农田，</w:t>
      </w:r>
      <w:r>
        <w:rPr>
          <w:rFonts w:hint="eastAsia"/>
          <w:color w:val="auto"/>
          <w:sz w:val="30"/>
          <w:szCs w:val="30"/>
          <w:highlight w:val="none"/>
          <w:lang w:val="en-US" w:eastAsia="zh-CN"/>
        </w:rPr>
        <w:t>规划</w:t>
      </w:r>
      <w:r>
        <w:rPr>
          <w:color w:val="auto"/>
          <w:sz w:val="30"/>
          <w:szCs w:val="30"/>
          <w:highlight w:val="none"/>
        </w:rPr>
        <w:t>占地总面积12.11万亩</w:t>
      </w:r>
      <w:r>
        <w:rPr>
          <w:rFonts w:hint="eastAsia"/>
          <w:color w:val="auto"/>
          <w:sz w:val="30"/>
          <w:szCs w:val="30"/>
          <w:highlight w:val="none"/>
          <w:lang w:eastAsia="zh-CN"/>
        </w:rPr>
        <w:t>。</w:t>
      </w:r>
      <w:r>
        <w:rPr>
          <w:color w:val="auto"/>
          <w:sz w:val="30"/>
          <w:szCs w:val="30"/>
          <w:highlight w:val="none"/>
        </w:rPr>
        <w:t>其中永久占地面积9.13万亩（耕地4.33万亩，园地0.42万亩，林地1.85万亩，草地0.17万亩，住宅用地0.39万亩，交通运输用地0.29万亩，水域及水利设施用地1.29万亩，其他土地0.39万亩）；临时占地面积2.98万亩（耕地1.68万亩，园地0.18万亩，林地0.52万亩，草地0.08万亩，住宅用地0.13万亩，交通运输用地0.02万亩，水域及水利设施用地0.22万亩，其他土地 0.15万亩）</w:t>
      </w:r>
      <w:r>
        <w:rPr>
          <w:rFonts w:hint="eastAsia"/>
          <w:color w:val="auto"/>
          <w:sz w:val="30"/>
          <w:szCs w:val="30"/>
          <w:highlight w:val="none"/>
          <w:lang w:eastAsia="zh-CN"/>
        </w:rPr>
        <w:t>。</w:t>
      </w:r>
      <w:r>
        <w:rPr>
          <w:color w:val="auto"/>
          <w:sz w:val="30"/>
          <w:szCs w:val="30"/>
          <w:highlight w:val="none"/>
        </w:rPr>
        <w:t>搬迁人口</w:t>
      </w:r>
      <w:r>
        <w:rPr>
          <w:rFonts w:hint="eastAsia"/>
          <w:color w:val="auto"/>
          <w:sz w:val="30"/>
          <w:szCs w:val="30"/>
          <w:highlight w:val="none"/>
          <w:lang w:val="en-US" w:eastAsia="zh-CN"/>
        </w:rPr>
        <w:t>5</w:t>
      </w:r>
      <w:r>
        <w:rPr>
          <w:color w:val="auto"/>
          <w:sz w:val="30"/>
          <w:szCs w:val="30"/>
          <w:highlight w:val="none"/>
        </w:rPr>
        <w:t>万人，拆迁各类</w:t>
      </w:r>
      <w:r>
        <w:rPr>
          <w:rFonts w:hint="eastAsia"/>
          <w:color w:val="auto"/>
          <w:sz w:val="30"/>
          <w:szCs w:val="30"/>
          <w:highlight w:val="none"/>
          <w:lang w:eastAsia="zh-CN"/>
        </w:rPr>
        <w:t>结构</w:t>
      </w:r>
      <w:r>
        <w:rPr>
          <w:color w:val="auto"/>
          <w:sz w:val="30"/>
          <w:szCs w:val="30"/>
          <w:highlight w:val="none"/>
        </w:rPr>
        <w:t>房屋面积25万m</w:t>
      </w:r>
      <w:r>
        <w:rPr>
          <w:color w:val="auto"/>
          <w:sz w:val="30"/>
          <w:szCs w:val="30"/>
          <w:highlight w:val="none"/>
          <w:vertAlign w:val="superscript"/>
        </w:rPr>
        <w:t>2</w:t>
      </w:r>
      <w:r>
        <w:rPr>
          <w:color w:val="auto"/>
          <w:sz w:val="30"/>
          <w:szCs w:val="30"/>
          <w:highlight w:val="none"/>
        </w:rPr>
        <w:t>。</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21" w:name="_Toc124757363"/>
      <w:r>
        <w:rPr>
          <w:b w:val="0"/>
          <w:bCs w:val="0"/>
          <w:color w:val="auto"/>
          <w:highlight w:val="none"/>
        </w:rPr>
        <w:t>第二节  移民安置规划</w:t>
      </w:r>
      <w:bookmarkEnd w:id="121"/>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一、规划依据及原则</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依据国家和四川省现行移民政策，农村移民</w:t>
      </w:r>
      <w:r>
        <w:rPr>
          <w:rFonts w:hint="eastAsia"/>
          <w:color w:val="auto"/>
          <w:sz w:val="30"/>
          <w:szCs w:val="30"/>
          <w:highlight w:val="none"/>
          <w:lang w:val="en-US" w:eastAsia="zh-CN"/>
        </w:rPr>
        <w:t>安</w:t>
      </w:r>
      <w:r>
        <w:rPr>
          <w:color w:val="auto"/>
          <w:sz w:val="30"/>
          <w:szCs w:val="30"/>
          <w:highlight w:val="none"/>
        </w:rPr>
        <w:t>置后生产生活水平应达到或超过原有水平；专业项目按</w:t>
      </w:r>
      <w:r>
        <w:rPr>
          <w:rFonts w:hint="eastAsia"/>
          <w:color w:val="auto"/>
          <w:sz w:val="30"/>
          <w:szCs w:val="30"/>
          <w:highlight w:val="none"/>
          <w:lang w:eastAsia="zh-CN"/>
        </w:rPr>
        <w:t>“</w:t>
      </w:r>
      <w:r>
        <w:rPr>
          <w:color w:val="auto"/>
          <w:sz w:val="30"/>
          <w:szCs w:val="30"/>
          <w:highlight w:val="none"/>
        </w:rPr>
        <w:t>原规模、原标准、恢复原功能</w:t>
      </w:r>
      <w:r>
        <w:rPr>
          <w:rFonts w:hint="eastAsia"/>
          <w:color w:val="auto"/>
          <w:sz w:val="30"/>
          <w:szCs w:val="30"/>
          <w:highlight w:val="none"/>
          <w:lang w:eastAsia="zh-CN"/>
        </w:rPr>
        <w:t>”</w:t>
      </w:r>
      <w:r>
        <w:rPr>
          <w:color w:val="auto"/>
          <w:sz w:val="30"/>
          <w:szCs w:val="30"/>
          <w:highlight w:val="none"/>
        </w:rPr>
        <w:t>的原则和国家有关规定进行复（改）建，不需要或难以恢复的，给予合理补偿。</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二、移民安置初步规划</w:t>
      </w:r>
    </w:p>
    <w:p>
      <w:pPr>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hint="eastAsia" w:ascii="楷体_GB2312" w:hAnsi="楷体_GB2312" w:eastAsia="楷体_GB2312" w:cs="楷体_GB2312"/>
          <w:color w:val="auto"/>
          <w:spacing w:val="4"/>
          <w:sz w:val="30"/>
          <w:szCs w:val="30"/>
          <w:highlight w:val="none"/>
          <w:lang w:eastAsia="zh-CN"/>
        </w:rPr>
      </w:pPr>
      <w:r>
        <w:rPr>
          <w:rFonts w:hint="eastAsia" w:ascii="楷体_GB2312" w:hAnsi="楷体_GB2312" w:eastAsia="楷体_GB2312" w:cs="楷体_GB2312"/>
          <w:color w:val="auto"/>
          <w:spacing w:val="4"/>
          <w:sz w:val="30"/>
          <w:szCs w:val="30"/>
          <w:highlight w:val="none"/>
        </w:rPr>
        <w:t>（一）农村移民</w:t>
      </w:r>
      <w:r>
        <w:rPr>
          <w:rFonts w:hint="eastAsia" w:ascii="楷体_GB2312" w:hAnsi="楷体_GB2312" w:eastAsia="楷体_GB2312" w:cs="楷体_GB2312"/>
          <w:color w:val="auto"/>
          <w:spacing w:val="4"/>
          <w:sz w:val="30"/>
          <w:szCs w:val="30"/>
          <w:highlight w:val="none"/>
          <w:lang w:eastAsia="zh-CN"/>
        </w:rPr>
        <w:t>安置初步规划</w:t>
      </w:r>
    </w:p>
    <w:p>
      <w:pPr>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sz w:val="30"/>
          <w:szCs w:val="30"/>
          <w:highlight w:val="none"/>
        </w:rPr>
      </w:pPr>
      <w:r>
        <w:rPr>
          <w:rFonts w:eastAsia="仿宋_GB2312"/>
          <w:color w:val="auto"/>
          <w:spacing w:val="4"/>
          <w:sz w:val="30"/>
          <w:szCs w:val="30"/>
          <w:highlight w:val="none"/>
        </w:rPr>
        <w:t>1.生产安置</w:t>
      </w:r>
    </w:p>
    <w:p>
      <w:pPr>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sz w:val="30"/>
          <w:szCs w:val="30"/>
          <w:highlight w:val="none"/>
        </w:rPr>
      </w:pPr>
      <w:r>
        <w:rPr>
          <w:rFonts w:eastAsia="仿宋_GB2312"/>
          <w:color w:val="auto"/>
          <w:spacing w:val="4"/>
          <w:sz w:val="30"/>
          <w:szCs w:val="30"/>
          <w:highlight w:val="none"/>
        </w:rPr>
        <w:t>本阶段农村移民生产安置采取调地安置和其他安置方式相结合的方式进行，遵循</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以农为主</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以土为本</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的安置原则，对绝大部分生产安置人口采取调剂一定数量的土地，辅以切实</w:t>
      </w:r>
      <w:r>
        <w:rPr>
          <w:rFonts w:hint="eastAsia" w:eastAsia="仿宋_GB2312"/>
          <w:color w:val="auto"/>
          <w:spacing w:val="4"/>
          <w:sz w:val="30"/>
          <w:szCs w:val="30"/>
          <w:highlight w:val="none"/>
          <w:lang w:val="en-US" w:eastAsia="zh-CN"/>
        </w:rPr>
        <w:t>可</w:t>
      </w:r>
      <w:r>
        <w:rPr>
          <w:rFonts w:eastAsia="仿宋_GB2312"/>
          <w:color w:val="auto"/>
          <w:spacing w:val="4"/>
          <w:sz w:val="30"/>
          <w:szCs w:val="30"/>
          <w:highlight w:val="none"/>
        </w:rPr>
        <w:t>行的生产发展措施进行安置；对符合自谋职业、自谋出路等其他方式安置条件</w:t>
      </w:r>
      <w:r>
        <w:rPr>
          <w:rFonts w:hint="eastAsia" w:eastAsia="仿宋_GB2312"/>
          <w:color w:val="auto"/>
          <w:spacing w:val="4"/>
          <w:sz w:val="30"/>
          <w:szCs w:val="30"/>
          <w:highlight w:val="none"/>
          <w:lang w:eastAsia="zh-CN"/>
        </w:rPr>
        <w:t>的安置人口</w:t>
      </w:r>
      <w:r>
        <w:rPr>
          <w:rFonts w:eastAsia="仿宋_GB2312"/>
          <w:color w:val="auto"/>
          <w:spacing w:val="4"/>
          <w:sz w:val="30"/>
          <w:szCs w:val="30"/>
          <w:highlight w:val="none"/>
        </w:rPr>
        <w:t>，</w:t>
      </w:r>
      <w:r>
        <w:rPr>
          <w:rFonts w:hint="eastAsia" w:eastAsia="仿宋_GB2312"/>
          <w:color w:val="auto"/>
          <w:spacing w:val="4"/>
          <w:sz w:val="30"/>
          <w:szCs w:val="30"/>
          <w:highlight w:val="none"/>
          <w:lang w:eastAsia="zh-CN"/>
        </w:rPr>
        <w:t>合理引导，本着</w:t>
      </w:r>
      <w:r>
        <w:rPr>
          <w:rFonts w:eastAsia="仿宋_GB2312"/>
          <w:color w:val="auto"/>
          <w:spacing w:val="4"/>
          <w:sz w:val="30"/>
          <w:szCs w:val="30"/>
          <w:highlight w:val="none"/>
        </w:rPr>
        <w:t>自愿</w:t>
      </w:r>
      <w:r>
        <w:rPr>
          <w:rFonts w:hint="eastAsia" w:eastAsia="仿宋_GB2312"/>
          <w:color w:val="auto"/>
          <w:spacing w:val="4"/>
          <w:sz w:val="30"/>
          <w:szCs w:val="30"/>
          <w:highlight w:val="none"/>
          <w:lang w:eastAsia="zh-CN"/>
        </w:rPr>
        <w:t>的原则</w:t>
      </w:r>
      <w:r>
        <w:rPr>
          <w:rFonts w:eastAsia="仿宋_GB2312"/>
          <w:color w:val="auto"/>
          <w:spacing w:val="4"/>
          <w:sz w:val="30"/>
          <w:szCs w:val="30"/>
          <w:highlight w:val="none"/>
        </w:rPr>
        <w:t>进行安置。</w:t>
      </w:r>
    </w:p>
    <w:p>
      <w:pPr>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sz w:val="30"/>
          <w:szCs w:val="30"/>
          <w:highlight w:val="none"/>
        </w:rPr>
      </w:pPr>
      <w:r>
        <w:rPr>
          <w:rFonts w:eastAsia="仿宋_GB2312"/>
          <w:color w:val="auto"/>
          <w:spacing w:val="4"/>
          <w:sz w:val="30"/>
          <w:szCs w:val="30"/>
          <w:highlight w:val="none"/>
        </w:rPr>
        <w:t>2.搬迁安置</w:t>
      </w:r>
    </w:p>
    <w:p>
      <w:pPr>
        <w:keepNext w:val="0"/>
        <w:keepLines w:val="0"/>
        <w:pageBreakBefore w:val="0"/>
        <w:widowControl w:val="0"/>
        <w:kinsoku/>
        <w:wordWrap/>
        <w:overflowPunct/>
        <w:topLinePunct w:val="0"/>
        <w:autoSpaceDE/>
        <w:autoSpaceDN/>
        <w:bidi w:val="0"/>
        <w:adjustRightInd/>
        <w:snapToGrid/>
        <w:spacing w:line="540" w:lineRule="exact"/>
        <w:ind w:firstLine="580" w:firstLineChars="200"/>
        <w:textAlignment w:val="auto"/>
        <w:rPr>
          <w:rFonts w:eastAsia="仿宋_GB2312"/>
          <w:color w:val="auto"/>
          <w:spacing w:val="4"/>
          <w:sz w:val="30"/>
          <w:szCs w:val="30"/>
          <w:highlight w:val="none"/>
        </w:rPr>
      </w:pPr>
      <w:r>
        <w:rPr>
          <w:rFonts w:eastAsia="仿宋_GB2312"/>
          <w:color w:val="auto"/>
          <w:spacing w:val="4"/>
          <w:sz w:val="30"/>
          <w:szCs w:val="30"/>
          <w:highlight w:val="none"/>
        </w:rPr>
        <w:t>本阶段农村移民搬迁安置暂采取在本村、组行政区域内选点建房的方式安置。</w:t>
      </w:r>
    </w:p>
    <w:p>
      <w:pPr>
        <w:keepNext w:val="0"/>
        <w:keepLines w:val="0"/>
        <w:pageBreakBefore w:val="0"/>
        <w:wordWrap/>
        <w:overflowPunct/>
        <w:topLinePunct w:val="0"/>
        <w:bidi w:val="0"/>
        <w:spacing w:line="540" w:lineRule="exact"/>
        <w:ind w:firstLine="580" w:firstLineChars="200"/>
        <w:rPr>
          <w:rFonts w:eastAsia="仿宋_GB2312"/>
          <w:color w:val="auto"/>
          <w:spacing w:val="4"/>
          <w:sz w:val="30"/>
          <w:szCs w:val="30"/>
          <w:highlight w:val="none"/>
        </w:rPr>
      </w:pPr>
      <w:r>
        <w:rPr>
          <w:rFonts w:eastAsia="仿宋_GB2312"/>
          <w:color w:val="auto"/>
          <w:spacing w:val="4"/>
          <w:sz w:val="30"/>
          <w:szCs w:val="30"/>
          <w:highlight w:val="none"/>
        </w:rPr>
        <w:t>3.临时占地处理</w:t>
      </w:r>
    </w:p>
    <w:p>
      <w:pPr>
        <w:keepNext w:val="0"/>
        <w:keepLines w:val="0"/>
        <w:pageBreakBefore w:val="0"/>
        <w:wordWrap/>
        <w:overflowPunct/>
        <w:topLinePunct w:val="0"/>
        <w:bidi w:val="0"/>
        <w:spacing w:line="540" w:lineRule="exact"/>
        <w:ind w:firstLine="580" w:firstLineChars="200"/>
        <w:rPr>
          <w:rFonts w:eastAsia="仿宋_GB2312"/>
          <w:color w:val="auto"/>
          <w:spacing w:val="4"/>
          <w:sz w:val="30"/>
          <w:szCs w:val="30"/>
          <w:highlight w:val="none"/>
        </w:rPr>
      </w:pPr>
      <w:r>
        <w:rPr>
          <w:rFonts w:eastAsia="仿宋_GB2312"/>
          <w:color w:val="auto"/>
          <w:spacing w:val="4"/>
          <w:sz w:val="30"/>
          <w:szCs w:val="30"/>
          <w:highlight w:val="none"/>
        </w:rPr>
        <w:t>对临时占用的耕地</w:t>
      </w:r>
      <w:r>
        <w:rPr>
          <w:rFonts w:hint="eastAsia" w:eastAsia="仿宋_GB2312"/>
          <w:color w:val="auto"/>
          <w:spacing w:val="4"/>
          <w:sz w:val="30"/>
          <w:szCs w:val="30"/>
          <w:highlight w:val="none"/>
          <w:lang w:eastAsia="zh-CN"/>
        </w:rPr>
        <w:t>、园地</w:t>
      </w:r>
      <w:r>
        <w:rPr>
          <w:rFonts w:eastAsia="仿宋_GB2312"/>
          <w:color w:val="auto"/>
          <w:spacing w:val="4"/>
          <w:sz w:val="30"/>
          <w:szCs w:val="30"/>
          <w:highlight w:val="none"/>
        </w:rPr>
        <w:t>复垦标准根据《土地复垦条例》（国务院令第592号）规定和《土地</w:t>
      </w:r>
      <w:r>
        <w:rPr>
          <w:rFonts w:hint="eastAsia" w:eastAsia="仿宋_GB2312"/>
          <w:color w:val="auto"/>
          <w:spacing w:val="4"/>
          <w:sz w:val="30"/>
          <w:szCs w:val="30"/>
          <w:highlight w:val="none"/>
        </w:rPr>
        <w:t>整治</w:t>
      </w:r>
      <w:r>
        <w:rPr>
          <w:rFonts w:eastAsia="仿宋_GB2312"/>
          <w:color w:val="auto"/>
          <w:spacing w:val="4"/>
          <w:sz w:val="30"/>
          <w:szCs w:val="30"/>
          <w:highlight w:val="none"/>
        </w:rPr>
        <w:t>项目规划设计规范》（TD/T1012</w:t>
      </w:r>
      <w:r>
        <w:rPr>
          <w:rFonts w:hint="eastAsia" w:ascii="宋体" w:hAnsi="宋体" w:eastAsia="宋体" w:cs="宋体"/>
          <w:color w:val="auto"/>
          <w:spacing w:val="4"/>
          <w:sz w:val="30"/>
          <w:szCs w:val="30"/>
          <w:highlight w:val="none"/>
        </w:rPr>
        <w:t>－</w:t>
      </w:r>
      <w:r>
        <w:rPr>
          <w:rFonts w:eastAsia="仿宋_GB2312"/>
          <w:color w:val="auto"/>
          <w:spacing w:val="4"/>
          <w:sz w:val="30"/>
          <w:szCs w:val="30"/>
          <w:highlight w:val="none"/>
        </w:rPr>
        <w:t>2016）相应标准进行恢复。</w:t>
      </w:r>
    </w:p>
    <w:p>
      <w:pPr>
        <w:keepNext w:val="0"/>
        <w:keepLines w:val="0"/>
        <w:pageBreakBefore w:val="0"/>
        <w:wordWrap/>
        <w:overflowPunct/>
        <w:topLinePunct w:val="0"/>
        <w:bidi w:val="0"/>
        <w:spacing w:line="540" w:lineRule="exact"/>
        <w:ind w:firstLine="580" w:firstLineChars="200"/>
        <w:rPr>
          <w:rFonts w:hint="eastAsia" w:ascii="楷体_GB2312" w:hAnsi="楷体_GB2312" w:eastAsia="楷体_GB2312" w:cs="楷体_GB2312"/>
          <w:color w:val="auto"/>
          <w:spacing w:val="4"/>
          <w:sz w:val="30"/>
          <w:szCs w:val="30"/>
          <w:highlight w:val="none"/>
          <w:lang w:eastAsia="zh-CN"/>
        </w:rPr>
      </w:pPr>
      <w:r>
        <w:rPr>
          <w:rFonts w:hint="eastAsia" w:ascii="楷体_GB2312" w:hAnsi="楷体_GB2312" w:eastAsia="楷体_GB2312" w:cs="楷体_GB2312"/>
          <w:color w:val="auto"/>
          <w:spacing w:val="4"/>
          <w:sz w:val="30"/>
          <w:szCs w:val="30"/>
          <w:highlight w:val="none"/>
        </w:rPr>
        <w:t>（二）专业项目</w:t>
      </w:r>
      <w:r>
        <w:rPr>
          <w:rFonts w:hint="eastAsia" w:ascii="楷体_GB2312" w:hAnsi="楷体_GB2312" w:eastAsia="楷体_GB2312" w:cs="楷体_GB2312"/>
          <w:color w:val="auto"/>
          <w:spacing w:val="4"/>
          <w:sz w:val="30"/>
          <w:szCs w:val="30"/>
          <w:highlight w:val="none"/>
          <w:lang w:eastAsia="zh-CN"/>
        </w:rPr>
        <w:t>迁（复）建初步规划</w:t>
      </w:r>
    </w:p>
    <w:p>
      <w:pPr>
        <w:keepNext w:val="0"/>
        <w:keepLines w:val="0"/>
        <w:pageBreakBefore w:val="0"/>
        <w:wordWrap/>
        <w:overflowPunct/>
        <w:topLinePunct w:val="0"/>
        <w:bidi w:val="0"/>
        <w:spacing w:line="540" w:lineRule="exact"/>
        <w:ind w:firstLine="580" w:firstLineChars="200"/>
        <w:rPr>
          <w:rFonts w:eastAsia="仿宋_GB2312"/>
          <w:color w:val="auto"/>
          <w:spacing w:val="4"/>
          <w:sz w:val="30"/>
          <w:szCs w:val="30"/>
          <w:highlight w:val="none"/>
        </w:rPr>
      </w:pPr>
      <w:r>
        <w:rPr>
          <w:rFonts w:eastAsia="仿宋_GB2312"/>
          <w:color w:val="auto"/>
          <w:spacing w:val="4"/>
          <w:sz w:val="30"/>
          <w:szCs w:val="30"/>
          <w:highlight w:val="none"/>
        </w:rPr>
        <w:t>专业项目遵循技术可行、经济合理，按</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原规模、原标准</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恢复原功能</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的原则进行迁复建处理，本阶段</w:t>
      </w:r>
      <w:r>
        <w:rPr>
          <w:rFonts w:hint="eastAsia" w:eastAsia="仿宋_GB2312"/>
          <w:color w:val="auto"/>
          <w:spacing w:val="4"/>
          <w:sz w:val="30"/>
          <w:szCs w:val="30"/>
          <w:highlight w:val="none"/>
          <w:lang w:eastAsia="zh-CN"/>
        </w:rPr>
        <w:t>迁（复）建规划</w:t>
      </w:r>
      <w:r>
        <w:rPr>
          <w:rFonts w:eastAsia="仿宋_GB2312"/>
          <w:color w:val="auto"/>
          <w:spacing w:val="4"/>
          <w:sz w:val="30"/>
          <w:szCs w:val="30"/>
          <w:highlight w:val="none"/>
        </w:rPr>
        <w:t>暂按影响长度的1.5倍</w:t>
      </w:r>
      <w:r>
        <w:rPr>
          <w:rFonts w:hint="eastAsia" w:eastAsia="仿宋_GB2312"/>
          <w:color w:val="auto"/>
          <w:spacing w:val="4"/>
          <w:sz w:val="30"/>
          <w:szCs w:val="30"/>
          <w:highlight w:val="none"/>
          <w:lang w:eastAsia="zh-CN"/>
        </w:rPr>
        <w:t>估</w:t>
      </w:r>
      <w:r>
        <w:rPr>
          <w:rFonts w:eastAsia="仿宋_GB2312"/>
          <w:color w:val="auto"/>
          <w:spacing w:val="4"/>
          <w:sz w:val="30"/>
          <w:szCs w:val="30"/>
          <w:highlight w:val="none"/>
        </w:rPr>
        <w:t>算投资。</w:t>
      </w:r>
    </w:p>
    <w:p>
      <w:pPr>
        <w:keepNext w:val="0"/>
        <w:keepLines w:val="0"/>
        <w:pageBreakBefore w:val="0"/>
        <w:wordWrap/>
        <w:overflowPunct/>
        <w:topLinePunct w:val="0"/>
        <w:bidi w:val="0"/>
        <w:spacing w:line="540" w:lineRule="exact"/>
        <w:ind w:firstLine="580" w:firstLineChars="200"/>
        <w:rPr>
          <w:rFonts w:hint="eastAsia" w:ascii="楷体_GB2312" w:hAnsi="楷体_GB2312" w:eastAsia="楷体_GB2312" w:cs="楷体_GB2312"/>
          <w:color w:val="auto"/>
          <w:spacing w:val="4"/>
          <w:sz w:val="30"/>
          <w:szCs w:val="30"/>
          <w:highlight w:val="none"/>
          <w:lang w:eastAsia="zh-CN"/>
        </w:rPr>
      </w:pPr>
      <w:r>
        <w:rPr>
          <w:rFonts w:hint="eastAsia" w:ascii="楷体_GB2312" w:hAnsi="楷体_GB2312" w:eastAsia="楷体_GB2312" w:cs="楷体_GB2312"/>
          <w:color w:val="auto"/>
          <w:spacing w:val="4"/>
          <w:sz w:val="30"/>
          <w:szCs w:val="30"/>
          <w:highlight w:val="none"/>
        </w:rPr>
        <w:t>（三）库底清理</w:t>
      </w:r>
      <w:r>
        <w:rPr>
          <w:rFonts w:hint="eastAsia" w:ascii="楷体_GB2312" w:hAnsi="楷体_GB2312" w:eastAsia="楷体_GB2312" w:cs="楷体_GB2312"/>
          <w:color w:val="auto"/>
          <w:spacing w:val="4"/>
          <w:sz w:val="30"/>
          <w:szCs w:val="30"/>
          <w:highlight w:val="none"/>
          <w:lang w:eastAsia="zh-CN"/>
        </w:rPr>
        <w:t>初步规划</w:t>
      </w:r>
    </w:p>
    <w:p>
      <w:pPr>
        <w:keepNext w:val="0"/>
        <w:keepLines w:val="0"/>
        <w:pageBreakBefore w:val="0"/>
        <w:widowControl/>
        <w:kinsoku w:val="0"/>
        <w:wordWrap/>
        <w:overflowPunct/>
        <w:topLinePunct w:val="0"/>
        <w:autoSpaceDE w:val="0"/>
        <w:autoSpaceDN w:val="0"/>
        <w:bidi w:val="0"/>
        <w:adjustRightInd w:val="0"/>
        <w:snapToGrid w:val="0"/>
        <w:spacing w:line="540" w:lineRule="exact"/>
        <w:ind w:firstLine="580" w:firstLineChars="200"/>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1.清理范围</w:t>
      </w:r>
    </w:p>
    <w:p>
      <w:pPr>
        <w:keepNext w:val="0"/>
        <w:keepLines w:val="0"/>
        <w:pageBreakBefore w:val="0"/>
        <w:widowControl/>
        <w:kinsoku w:val="0"/>
        <w:wordWrap/>
        <w:overflowPunct/>
        <w:topLinePunct w:val="0"/>
        <w:autoSpaceDE w:val="0"/>
        <w:autoSpaceDN w:val="0"/>
        <w:bidi w:val="0"/>
        <w:adjustRightInd w:val="0"/>
        <w:snapToGrid w:val="0"/>
        <w:spacing w:line="540" w:lineRule="exact"/>
        <w:ind w:firstLine="580" w:firstLineChars="200"/>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按照规范要求，结合水库淹没影响特点、水库运行方式和开发利用功能等，确定水库库底清理范围包括：居民迁移线以下的房屋</w:t>
      </w:r>
      <w:r>
        <w:rPr>
          <w:rFonts w:hint="eastAsia" w:eastAsia="仿宋_GB2312"/>
          <w:color w:val="auto"/>
          <w:spacing w:val="4"/>
          <w:sz w:val="30"/>
          <w:szCs w:val="30"/>
          <w:highlight w:val="none"/>
          <w:lang w:eastAsia="zh-CN"/>
        </w:rPr>
        <w:t>、</w:t>
      </w:r>
      <w:r>
        <w:rPr>
          <w:rFonts w:eastAsia="仿宋_GB2312"/>
          <w:color w:val="auto"/>
          <w:spacing w:val="4"/>
          <w:sz w:val="30"/>
          <w:szCs w:val="30"/>
          <w:highlight w:val="none"/>
        </w:rPr>
        <w:t>构筑物的拆除与清理；正常蓄水位以下成片林木和零星林木的清理；防止水质污染的卫生清理和生活垃圾等固体废物清理。</w:t>
      </w:r>
    </w:p>
    <w:p>
      <w:pPr>
        <w:keepNext w:val="0"/>
        <w:keepLines w:val="0"/>
        <w:pageBreakBefore w:val="0"/>
        <w:widowControl/>
        <w:kinsoku w:val="0"/>
        <w:wordWrap/>
        <w:overflowPunct/>
        <w:topLinePunct w:val="0"/>
        <w:autoSpaceDE w:val="0"/>
        <w:autoSpaceDN w:val="0"/>
        <w:bidi w:val="0"/>
        <w:adjustRightInd w:val="0"/>
        <w:snapToGrid w:val="0"/>
        <w:spacing w:line="540" w:lineRule="exact"/>
        <w:ind w:firstLine="580" w:firstLineChars="200"/>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2.技术要求</w:t>
      </w:r>
    </w:p>
    <w:p>
      <w:pPr>
        <w:keepNext w:val="0"/>
        <w:keepLines w:val="0"/>
        <w:pageBreakBefore w:val="0"/>
        <w:widowControl/>
        <w:kinsoku w:val="0"/>
        <w:wordWrap/>
        <w:overflowPunct/>
        <w:topLinePunct w:val="0"/>
        <w:autoSpaceDE w:val="0"/>
        <w:autoSpaceDN w:val="0"/>
        <w:bidi w:val="0"/>
        <w:adjustRightInd w:val="0"/>
        <w:snapToGrid w:val="0"/>
        <w:spacing w:line="540" w:lineRule="exact"/>
        <w:ind w:firstLine="580" w:firstLineChars="200"/>
        <w:jc w:val="left"/>
        <w:textAlignment w:val="baseline"/>
        <w:rPr>
          <w:rFonts w:eastAsia="仿宋_GB2312"/>
          <w:color w:val="auto"/>
          <w:spacing w:val="4"/>
          <w:sz w:val="30"/>
          <w:szCs w:val="30"/>
          <w:highlight w:val="none"/>
        </w:rPr>
      </w:pPr>
      <w:r>
        <w:rPr>
          <w:rFonts w:eastAsia="仿宋_GB2312"/>
          <w:color w:val="auto"/>
          <w:spacing w:val="4"/>
          <w:sz w:val="30"/>
          <w:szCs w:val="30"/>
          <w:highlight w:val="none"/>
        </w:rPr>
        <w:t>执行《水利水电工程水库库底清理设计规范》（SL644</w:t>
      </w:r>
      <w:r>
        <w:rPr>
          <w:rFonts w:hint="eastAsia" w:ascii="宋体" w:hAnsi="宋体" w:eastAsia="宋体" w:cs="宋体"/>
          <w:color w:val="auto"/>
          <w:spacing w:val="4"/>
          <w:sz w:val="30"/>
          <w:szCs w:val="30"/>
          <w:highlight w:val="none"/>
        </w:rPr>
        <w:t>－</w:t>
      </w:r>
      <w:r>
        <w:rPr>
          <w:rFonts w:eastAsia="仿宋_GB2312"/>
          <w:color w:val="auto"/>
          <w:spacing w:val="4"/>
          <w:sz w:val="30"/>
          <w:szCs w:val="30"/>
          <w:highlight w:val="none"/>
        </w:rPr>
        <w:t>2014）和有关</w:t>
      </w:r>
      <w:r>
        <w:rPr>
          <w:rFonts w:hint="eastAsia" w:eastAsia="仿宋_GB2312"/>
          <w:color w:val="auto"/>
          <w:spacing w:val="4"/>
          <w:sz w:val="30"/>
          <w:szCs w:val="30"/>
          <w:highlight w:val="none"/>
          <w:lang w:eastAsia="zh-CN"/>
        </w:rPr>
        <w:t>法律法规</w:t>
      </w:r>
      <w:r>
        <w:rPr>
          <w:rFonts w:eastAsia="仿宋_GB2312"/>
          <w:color w:val="auto"/>
          <w:spacing w:val="4"/>
          <w:sz w:val="30"/>
          <w:szCs w:val="30"/>
          <w:highlight w:val="none"/>
        </w:rPr>
        <w:t>和规范要求。</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三、补偿投资</w:t>
      </w:r>
      <w:r>
        <w:rPr>
          <w:rStyle w:val="550"/>
          <w:rFonts w:hint="eastAsia" w:ascii="黑体" w:hAnsi="黑体" w:eastAsia="黑体" w:cs="黑体"/>
          <w:b w:val="0"/>
          <w:bCs/>
          <w:color w:val="auto"/>
          <w:highlight w:val="none"/>
          <w:lang w:eastAsia="zh-CN"/>
        </w:rPr>
        <w:t>估</w:t>
      </w:r>
      <w:r>
        <w:rPr>
          <w:rStyle w:val="550"/>
          <w:rFonts w:hint="eastAsia" w:ascii="黑体" w:hAnsi="黑体" w:eastAsia="黑体" w:cs="黑体"/>
          <w:b w:val="0"/>
          <w:bCs/>
          <w:color w:val="auto"/>
          <w:highlight w:val="none"/>
        </w:rPr>
        <w:t>算</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按现行规范和相关文件匡算，</w:t>
      </w:r>
      <w:r>
        <w:rPr>
          <w:color w:val="auto"/>
          <w:sz w:val="30"/>
          <w:szCs w:val="30"/>
          <w:highlight w:val="none"/>
        </w:rPr>
        <w:t>沱江流域防洪规划工程建设征地移民安置投资244亿元，其中德阳段72亿元</w:t>
      </w:r>
      <w:r>
        <w:rPr>
          <w:rFonts w:hint="eastAsia"/>
          <w:color w:val="auto"/>
          <w:sz w:val="30"/>
          <w:szCs w:val="30"/>
          <w:highlight w:val="none"/>
          <w:lang w:eastAsia="zh-CN"/>
        </w:rPr>
        <w:t>、</w:t>
      </w:r>
      <w:r>
        <w:rPr>
          <w:color w:val="auto"/>
          <w:sz w:val="30"/>
          <w:szCs w:val="30"/>
          <w:highlight w:val="none"/>
        </w:rPr>
        <w:t>成都段49亿元</w:t>
      </w:r>
      <w:r>
        <w:rPr>
          <w:rFonts w:hint="eastAsia"/>
          <w:color w:val="auto"/>
          <w:sz w:val="30"/>
          <w:szCs w:val="30"/>
          <w:highlight w:val="none"/>
          <w:lang w:eastAsia="zh-CN"/>
        </w:rPr>
        <w:t>、</w:t>
      </w:r>
      <w:r>
        <w:rPr>
          <w:color w:val="auto"/>
          <w:sz w:val="30"/>
          <w:szCs w:val="30"/>
          <w:highlight w:val="none"/>
        </w:rPr>
        <w:t>资阳段98亿元、内江段4亿元</w:t>
      </w:r>
      <w:r>
        <w:rPr>
          <w:rFonts w:hint="eastAsia"/>
          <w:color w:val="auto"/>
          <w:sz w:val="30"/>
          <w:szCs w:val="30"/>
          <w:highlight w:val="none"/>
          <w:lang w:eastAsia="zh-CN"/>
        </w:rPr>
        <w:t>、</w:t>
      </w:r>
      <w:r>
        <w:rPr>
          <w:color w:val="auto"/>
          <w:sz w:val="30"/>
          <w:szCs w:val="30"/>
          <w:highlight w:val="none"/>
        </w:rPr>
        <w:t xml:space="preserve">自贡段 </w:t>
      </w:r>
      <w:r>
        <w:rPr>
          <w:rFonts w:hint="eastAsia"/>
          <w:color w:val="auto"/>
          <w:sz w:val="30"/>
          <w:szCs w:val="30"/>
          <w:highlight w:val="none"/>
          <w:lang w:val="en-US" w:eastAsia="zh-CN"/>
        </w:rPr>
        <w:t>8</w:t>
      </w:r>
      <w:r>
        <w:rPr>
          <w:color w:val="auto"/>
          <w:sz w:val="30"/>
          <w:szCs w:val="30"/>
          <w:highlight w:val="none"/>
        </w:rPr>
        <w:t>亿元</w:t>
      </w:r>
      <w:r>
        <w:rPr>
          <w:rFonts w:hint="eastAsia"/>
          <w:color w:val="auto"/>
          <w:sz w:val="30"/>
          <w:szCs w:val="30"/>
          <w:highlight w:val="none"/>
          <w:lang w:eastAsia="zh-CN"/>
        </w:rPr>
        <w:t>、</w:t>
      </w:r>
      <w:r>
        <w:rPr>
          <w:color w:val="auto"/>
          <w:sz w:val="30"/>
          <w:szCs w:val="30"/>
          <w:highlight w:val="none"/>
        </w:rPr>
        <w:t>泸州段1</w:t>
      </w:r>
      <w:r>
        <w:rPr>
          <w:rFonts w:hint="eastAsia"/>
          <w:color w:val="auto"/>
          <w:sz w:val="30"/>
          <w:szCs w:val="30"/>
          <w:highlight w:val="none"/>
          <w:lang w:val="en-US" w:eastAsia="zh-CN"/>
        </w:rPr>
        <w:t>3</w:t>
      </w:r>
      <w:r>
        <w:rPr>
          <w:color w:val="auto"/>
          <w:sz w:val="30"/>
          <w:szCs w:val="30"/>
          <w:highlight w:val="none"/>
        </w:rPr>
        <w:t>亿元。</w:t>
      </w:r>
    </w:p>
    <w:p>
      <w:pPr>
        <w:pStyle w:val="154"/>
        <w:ind w:firstLine="538"/>
        <w:rPr>
          <w:color w:val="auto"/>
          <w:szCs w:val="28"/>
          <w:highlight w:val="none"/>
        </w:rPr>
      </w:pPr>
    </w:p>
    <w:p>
      <w:pPr>
        <w:pStyle w:val="154"/>
        <w:ind w:firstLine="538"/>
        <w:rPr>
          <w:color w:val="auto"/>
          <w:szCs w:val="28"/>
          <w:highlight w:val="none"/>
        </w:rPr>
        <w:sectPr>
          <w:footerReference r:id="rId23" w:type="default"/>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rPr>
      </w:pPr>
      <w:bookmarkStart w:id="122" w:name="_Toc124757364"/>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rPr>
      </w:pPr>
      <w:r>
        <w:rPr>
          <w:b w:val="0"/>
          <w:bCs w:val="0"/>
          <w:color w:val="auto"/>
          <w:highlight w:val="none"/>
        </w:rPr>
        <w:t>第十章  环境影响评价</w:t>
      </w:r>
      <w:bookmarkEnd w:id="122"/>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23" w:name="_Toc124757365"/>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第一节  环境影响初步分析</w:t>
      </w:r>
      <w:bookmarkEnd w:id="123"/>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一、规划分析</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经分析，规划符合</w:t>
      </w:r>
      <w:r>
        <w:rPr>
          <w:rFonts w:hint="eastAsia"/>
          <w:color w:val="auto"/>
          <w:sz w:val="30"/>
          <w:szCs w:val="30"/>
          <w:highlight w:val="none"/>
          <w:lang w:eastAsia="zh-CN"/>
        </w:rPr>
        <w:t>《</w:t>
      </w:r>
      <w:r>
        <w:rPr>
          <w:rFonts w:hint="eastAsia"/>
          <w:color w:val="auto"/>
          <w:sz w:val="30"/>
          <w:szCs w:val="30"/>
          <w:highlight w:val="none"/>
          <w:lang w:val="en-US" w:eastAsia="zh-CN"/>
        </w:rPr>
        <w:t>中华人民共和国环境保护法</w:t>
      </w:r>
      <w:r>
        <w:rPr>
          <w:rFonts w:hint="eastAsia"/>
          <w:color w:val="auto"/>
          <w:sz w:val="30"/>
          <w:szCs w:val="30"/>
          <w:highlight w:val="none"/>
          <w:lang w:eastAsia="zh-CN"/>
        </w:rPr>
        <w:t>》《</w:t>
      </w:r>
      <w:r>
        <w:rPr>
          <w:rFonts w:hint="eastAsia"/>
          <w:color w:val="auto"/>
          <w:sz w:val="30"/>
          <w:szCs w:val="30"/>
          <w:highlight w:val="none"/>
          <w:lang w:val="en-US" w:eastAsia="zh-CN"/>
        </w:rPr>
        <w:t>中华人民共和国水法</w:t>
      </w:r>
      <w:r>
        <w:rPr>
          <w:rFonts w:hint="eastAsia"/>
          <w:color w:val="auto"/>
          <w:sz w:val="30"/>
          <w:szCs w:val="30"/>
          <w:highlight w:val="none"/>
          <w:lang w:eastAsia="zh-CN"/>
        </w:rPr>
        <w:t>》《</w:t>
      </w:r>
      <w:r>
        <w:rPr>
          <w:rFonts w:hint="eastAsia"/>
          <w:color w:val="auto"/>
          <w:sz w:val="30"/>
          <w:szCs w:val="30"/>
          <w:highlight w:val="none"/>
          <w:lang w:val="en-US" w:eastAsia="zh-CN"/>
        </w:rPr>
        <w:t>中华人民共和国防洪法</w:t>
      </w:r>
      <w:r>
        <w:rPr>
          <w:rFonts w:hint="eastAsia"/>
          <w:color w:val="auto"/>
          <w:sz w:val="30"/>
          <w:szCs w:val="30"/>
          <w:highlight w:val="none"/>
          <w:lang w:eastAsia="zh-CN"/>
        </w:rPr>
        <w:t>》</w:t>
      </w:r>
      <w:r>
        <w:rPr>
          <w:color w:val="auto"/>
          <w:sz w:val="30"/>
          <w:szCs w:val="30"/>
          <w:highlight w:val="none"/>
        </w:rPr>
        <w:t>《中华人民共和国长江保护法》</w:t>
      </w:r>
      <w:r>
        <w:rPr>
          <w:rFonts w:hint="eastAsia"/>
          <w:color w:val="auto"/>
          <w:sz w:val="30"/>
          <w:szCs w:val="30"/>
          <w:highlight w:val="none"/>
          <w:lang w:eastAsia="zh-CN"/>
        </w:rPr>
        <w:t>《</w:t>
      </w:r>
      <w:r>
        <w:rPr>
          <w:rFonts w:hint="eastAsia"/>
          <w:color w:val="auto"/>
          <w:sz w:val="30"/>
          <w:szCs w:val="30"/>
          <w:highlight w:val="none"/>
          <w:lang w:val="en-US" w:eastAsia="zh-CN"/>
        </w:rPr>
        <w:t>中华人民共和国水土保持法</w:t>
      </w:r>
      <w:r>
        <w:rPr>
          <w:rFonts w:hint="eastAsia"/>
          <w:color w:val="auto"/>
          <w:sz w:val="30"/>
          <w:szCs w:val="30"/>
          <w:highlight w:val="none"/>
          <w:lang w:eastAsia="zh-CN"/>
        </w:rPr>
        <w:t>》《</w:t>
      </w:r>
      <w:r>
        <w:rPr>
          <w:rFonts w:hint="eastAsia"/>
          <w:color w:val="auto"/>
          <w:sz w:val="30"/>
          <w:szCs w:val="30"/>
          <w:highlight w:val="none"/>
          <w:lang w:val="en-US" w:eastAsia="zh-CN"/>
        </w:rPr>
        <w:t>中华人民共和国河道管理条例</w:t>
      </w:r>
      <w:r>
        <w:rPr>
          <w:rFonts w:hint="eastAsia"/>
          <w:color w:val="auto"/>
          <w:sz w:val="30"/>
          <w:szCs w:val="30"/>
          <w:highlight w:val="none"/>
          <w:lang w:eastAsia="zh-CN"/>
        </w:rPr>
        <w:t>》《</w:t>
      </w:r>
      <w:r>
        <w:rPr>
          <w:rFonts w:hint="eastAsia"/>
          <w:color w:val="auto"/>
          <w:sz w:val="30"/>
          <w:szCs w:val="30"/>
          <w:highlight w:val="none"/>
          <w:lang w:val="en-US" w:eastAsia="zh-CN"/>
        </w:rPr>
        <w:t>四川省河道管理实施办法</w:t>
      </w:r>
      <w:r>
        <w:rPr>
          <w:rFonts w:hint="eastAsia"/>
          <w:color w:val="auto"/>
          <w:sz w:val="30"/>
          <w:szCs w:val="30"/>
          <w:highlight w:val="none"/>
          <w:lang w:eastAsia="zh-CN"/>
        </w:rPr>
        <w:t>》</w:t>
      </w:r>
      <w:r>
        <w:rPr>
          <w:color w:val="auto"/>
          <w:sz w:val="30"/>
          <w:szCs w:val="30"/>
          <w:highlight w:val="none"/>
        </w:rPr>
        <w:t>《四川省沱江流域水环境保护条例》《四川省</w:t>
      </w:r>
      <w:r>
        <w:rPr>
          <w:rFonts w:hint="eastAsia"/>
          <w:color w:val="auto"/>
          <w:sz w:val="30"/>
          <w:szCs w:val="30"/>
          <w:highlight w:val="none"/>
          <w:lang w:eastAsia="zh-CN"/>
        </w:rPr>
        <w:t>“</w:t>
      </w:r>
      <w:r>
        <w:rPr>
          <w:color w:val="auto"/>
          <w:sz w:val="30"/>
          <w:szCs w:val="30"/>
          <w:highlight w:val="none"/>
        </w:rPr>
        <w:t>十四五</w:t>
      </w:r>
      <w:r>
        <w:rPr>
          <w:rFonts w:hint="eastAsia"/>
          <w:color w:val="auto"/>
          <w:sz w:val="30"/>
          <w:szCs w:val="30"/>
          <w:highlight w:val="none"/>
          <w:lang w:eastAsia="zh-CN"/>
        </w:rPr>
        <w:t>”</w:t>
      </w:r>
      <w:r>
        <w:rPr>
          <w:color w:val="auto"/>
          <w:sz w:val="30"/>
          <w:szCs w:val="30"/>
          <w:highlight w:val="none"/>
        </w:rPr>
        <w:t>水安全保障规划》《四川省生态功能区划》《四川省人民政府关于落实生态保护红线、环境质量底线、资源利用上线制定生态环境准入清单实施生态环境分区管控的通知》</w:t>
      </w:r>
      <w:r>
        <w:rPr>
          <w:rFonts w:hint="eastAsia"/>
          <w:color w:val="auto"/>
          <w:sz w:val="30"/>
          <w:szCs w:val="30"/>
          <w:highlight w:val="none"/>
        </w:rPr>
        <w:t>（</w:t>
      </w:r>
      <w:r>
        <w:rPr>
          <w:color w:val="auto"/>
          <w:sz w:val="30"/>
          <w:szCs w:val="30"/>
          <w:highlight w:val="none"/>
        </w:rPr>
        <w:t>川府发</w:t>
      </w:r>
      <w:r>
        <w:rPr>
          <w:rFonts w:hint="default"/>
          <w:color w:val="auto"/>
          <w:sz w:val="30"/>
          <w:szCs w:val="30"/>
          <w:highlight w:val="none"/>
        </w:rPr>
        <w:t>〔2020〕9</w:t>
      </w:r>
      <w:r>
        <w:rPr>
          <w:color w:val="auto"/>
          <w:sz w:val="30"/>
          <w:szCs w:val="30"/>
          <w:highlight w:val="none"/>
        </w:rPr>
        <w:t>号</w:t>
      </w:r>
      <w:r>
        <w:rPr>
          <w:rFonts w:hint="eastAsia"/>
          <w:color w:val="auto"/>
          <w:sz w:val="30"/>
          <w:szCs w:val="30"/>
          <w:highlight w:val="none"/>
        </w:rPr>
        <w:t>）</w:t>
      </w:r>
      <w:r>
        <w:rPr>
          <w:color w:val="auto"/>
          <w:sz w:val="30"/>
          <w:szCs w:val="30"/>
          <w:highlight w:val="none"/>
        </w:rPr>
        <w:t>等</w:t>
      </w:r>
      <w:r>
        <w:rPr>
          <w:rFonts w:hint="eastAsia"/>
          <w:color w:val="auto"/>
          <w:sz w:val="30"/>
          <w:szCs w:val="30"/>
          <w:highlight w:val="none"/>
        </w:rPr>
        <w:t>法律法规、</w:t>
      </w:r>
      <w:r>
        <w:rPr>
          <w:rFonts w:hint="eastAsia"/>
          <w:color w:val="auto"/>
          <w:sz w:val="30"/>
          <w:szCs w:val="30"/>
          <w:highlight w:val="none"/>
          <w:lang w:eastAsia="zh-CN"/>
        </w:rPr>
        <w:t>有关</w:t>
      </w:r>
      <w:r>
        <w:rPr>
          <w:rFonts w:hint="eastAsia"/>
          <w:color w:val="auto"/>
          <w:sz w:val="30"/>
          <w:szCs w:val="30"/>
          <w:highlight w:val="none"/>
        </w:rPr>
        <w:t>规划</w:t>
      </w:r>
      <w:r>
        <w:rPr>
          <w:rFonts w:hint="eastAsia"/>
          <w:color w:val="auto"/>
          <w:sz w:val="30"/>
          <w:szCs w:val="30"/>
          <w:highlight w:val="none"/>
          <w:lang w:eastAsia="zh-CN"/>
        </w:rPr>
        <w:t>和有关文件</w:t>
      </w:r>
      <w:r>
        <w:rPr>
          <w:color w:val="auto"/>
          <w:sz w:val="30"/>
          <w:szCs w:val="30"/>
          <w:highlight w:val="none"/>
        </w:rPr>
        <w:t>的管控要求，与《</w:t>
      </w:r>
      <w:r>
        <w:rPr>
          <w:rFonts w:hint="eastAsia"/>
          <w:color w:val="auto"/>
          <w:sz w:val="30"/>
          <w:szCs w:val="30"/>
          <w:highlight w:val="none"/>
          <w:lang w:val="en-US" w:eastAsia="zh-CN"/>
        </w:rPr>
        <w:t>四川省</w:t>
      </w:r>
      <w:r>
        <w:rPr>
          <w:color w:val="auto"/>
          <w:sz w:val="30"/>
          <w:szCs w:val="30"/>
          <w:highlight w:val="none"/>
        </w:rPr>
        <w:t>沱江流域综合规划》</w:t>
      </w:r>
      <w:r>
        <w:rPr>
          <w:rFonts w:hint="eastAsia"/>
          <w:color w:val="auto"/>
          <w:sz w:val="30"/>
          <w:szCs w:val="30"/>
          <w:highlight w:val="none"/>
          <w:lang w:val="en-US" w:eastAsia="zh-CN"/>
        </w:rPr>
        <w:t>和国土空间规划</w:t>
      </w:r>
      <w:r>
        <w:rPr>
          <w:color w:val="auto"/>
          <w:sz w:val="30"/>
          <w:szCs w:val="30"/>
          <w:highlight w:val="none"/>
        </w:rPr>
        <w:t>相协调。</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二、环境现状调查与分析</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沱江流域规划范围内环境敏感目标主要包括水环境敏感目标和生态</w:t>
      </w:r>
      <w:r>
        <w:rPr>
          <w:rFonts w:hint="eastAsia"/>
          <w:color w:val="auto"/>
          <w:sz w:val="30"/>
          <w:szCs w:val="30"/>
          <w:highlight w:val="none"/>
          <w:lang w:val="en-US" w:eastAsia="zh-CN"/>
        </w:rPr>
        <w:t>环境</w:t>
      </w:r>
      <w:r>
        <w:rPr>
          <w:color w:val="auto"/>
          <w:sz w:val="30"/>
          <w:szCs w:val="30"/>
          <w:highlight w:val="none"/>
        </w:rPr>
        <w:t>敏感目标。</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水环境敏感目标主要为饮用水水源地。沱江流域共划分有县级及以上重要饮用水</w:t>
      </w:r>
      <w:r>
        <w:rPr>
          <w:rFonts w:hint="eastAsia"/>
          <w:color w:val="auto"/>
          <w:sz w:val="30"/>
          <w:szCs w:val="30"/>
          <w:highlight w:val="none"/>
          <w:lang w:val="en-US" w:eastAsia="zh-CN"/>
        </w:rPr>
        <w:t>水</w:t>
      </w:r>
      <w:r>
        <w:rPr>
          <w:color w:val="auto"/>
          <w:sz w:val="30"/>
          <w:szCs w:val="30"/>
          <w:highlight w:val="none"/>
        </w:rPr>
        <w:t>源地28个，乡镇集中式饮用水水源</w:t>
      </w:r>
      <w:r>
        <w:rPr>
          <w:rFonts w:hint="eastAsia"/>
          <w:color w:val="auto"/>
          <w:sz w:val="30"/>
          <w:szCs w:val="30"/>
          <w:highlight w:val="none"/>
          <w:lang w:val="en-US" w:eastAsia="zh-CN"/>
        </w:rPr>
        <w:t>地</w:t>
      </w:r>
      <w:r>
        <w:rPr>
          <w:color w:val="auto"/>
          <w:sz w:val="30"/>
          <w:szCs w:val="30"/>
          <w:highlight w:val="none"/>
        </w:rPr>
        <w:t>279个。</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生态</w:t>
      </w:r>
      <w:r>
        <w:rPr>
          <w:rFonts w:hint="eastAsia"/>
          <w:color w:val="auto"/>
          <w:sz w:val="30"/>
          <w:szCs w:val="30"/>
          <w:highlight w:val="none"/>
          <w:lang w:val="en-US" w:eastAsia="zh-CN"/>
        </w:rPr>
        <w:t>环境</w:t>
      </w:r>
      <w:r>
        <w:rPr>
          <w:color w:val="auto"/>
          <w:sz w:val="30"/>
          <w:szCs w:val="30"/>
          <w:highlight w:val="none"/>
        </w:rPr>
        <w:t>敏感目标包括特殊生态敏感区（自然保护区）、重要生态敏感区（风景名胜区、森林公园、地质公园、湿地公园和水产种质资源保护区）。</w:t>
      </w:r>
      <w:r>
        <w:rPr>
          <w:rFonts w:hint="eastAsia"/>
          <w:color w:val="auto"/>
          <w:sz w:val="30"/>
          <w:szCs w:val="30"/>
          <w:highlight w:val="none"/>
          <w:lang w:val="en-US" w:eastAsia="zh-CN"/>
        </w:rPr>
        <w:t>规划范围内涉及</w:t>
      </w:r>
      <w:r>
        <w:rPr>
          <w:color w:val="auto"/>
          <w:sz w:val="30"/>
          <w:szCs w:val="30"/>
          <w:highlight w:val="none"/>
        </w:rPr>
        <w:t>自然保护区1</w:t>
      </w:r>
      <w:r>
        <w:rPr>
          <w:rFonts w:hint="eastAsia"/>
          <w:color w:val="auto"/>
          <w:sz w:val="30"/>
          <w:szCs w:val="30"/>
          <w:highlight w:val="none"/>
          <w:lang w:val="en-US" w:eastAsia="zh-CN"/>
        </w:rPr>
        <w:t>3处</w:t>
      </w:r>
      <w:r>
        <w:rPr>
          <w:rFonts w:hint="eastAsia"/>
          <w:color w:val="auto"/>
          <w:sz w:val="30"/>
          <w:szCs w:val="30"/>
          <w:highlight w:val="none"/>
          <w:lang w:eastAsia="zh-CN"/>
        </w:rPr>
        <w:t>、</w:t>
      </w:r>
      <w:r>
        <w:rPr>
          <w:color w:val="auto"/>
          <w:sz w:val="30"/>
          <w:szCs w:val="30"/>
          <w:highlight w:val="none"/>
        </w:rPr>
        <w:t>湿地公园1</w:t>
      </w:r>
      <w:r>
        <w:rPr>
          <w:rFonts w:hint="eastAsia"/>
          <w:color w:val="auto"/>
          <w:sz w:val="30"/>
          <w:szCs w:val="30"/>
          <w:highlight w:val="none"/>
          <w:lang w:val="en-US" w:eastAsia="zh-CN"/>
        </w:rPr>
        <w:t>处</w:t>
      </w:r>
      <w:r>
        <w:rPr>
          <w:color w:val="auto"/>
          <w:sz w:val="30"/>
          <w:szCs w:val="30"/>
          <w:highlight w:val="none"/>
        </w:rPr>
        <w:t>、风景名胜区13</w:t>
      </w:r>
      <w:r>
        <w:rPr>
          <w:rFonts w:hint="eastAsia"/>
          <w:color w:val="auto"/>
          <w:sz w:val="30"/>
          <w:szCs w:val="30"/>
          <w:highlight w:val="none"/>
          <w:lang w:val="en-US" w:eastAsia="zh-CN"/>
        </w:rPr>
        <w:t>处</w:t>
      </w:r>
      <w:r>
        <w:rPr>
          <w:color w:val="auto"/>
          <w:sz w:val="30"/>
          <w:szCs w:val="30"/>
          <w:highlight w:val="none"/>
        </w:rPr>
        <w:t>、地质公园4</w:t>
      </w:r>
      <w:r>
        <w:rPr>
          <w:rFonts w:hint="eastAsia"/>
          <w:color w:val="auto"/>
          <w:sz w:val="30"/>
          <w:szCs w:val="30"/>
          <w:highlight w:val="none"/>
          <w:lang w:val="en-US" w:eastAsia="zh-CN"/>
        </w:rPr>
        <w:t>处</w:t>
      </w:r>
      <w:r>
        <w:rPr>
          <w:color w:val="auto"/>
          <w:sz w:val="30"/>
          <w:szCs w:val="30"/>
          <w:highlight w:val="none"/>
        </w:rPr>
        <w:t>、森林公园12</w:t>
      </w:r>
      <w:r>
        <w:rPr>
          <w:rFonts w:hint="eastAsia"/>
          <w:color w:val="auto"/>
          <w:sz w:val="30"/>
          <w:szCs w:val="30"/>
          <w:highlight w:val="none"/>
          <w:lang w:val="en-US" w:eastAsia="zh-CN"/>
        </w:rPr>
        <w:t>处</w:t>
      </w:r>
      <w:r>
        <w:rPr>
          <w:color w:val="auto"/>
          <w:sz w:val="30"/>
          <w:szCs w:val="30"/>
          <w:highlight w:val="none"/>
        </w:rPr>
        <w:t>、大熊猫国家公园</w:t>
      </w:r>
      <w:r>
        <w:rPr>
          <w:rFonts w:hint="eastAsia"/>
          <w:color w:val="auto"/>
          <w:sz w:val="30"/>
          <w:szCs w:val="30"/>
          <w:highlight w:val="none"/>
          <w:lang w:eastAsia="zh-CN"/>
        </w:rPr>
        <w:t>（</w:t>
      </w:r>
      <w:r>
        <w:rPr>
          <w:rFonts w:hint="eastAsia"/>
          <w:color w:val="auto"/>
          <w:sz w:val="30"/>
          <w:szCs w:val="30"/>
          <w:highlight w:val="none"/>
          <w:lang w:val="en-US" w:eastAsia="zh-CN"/>
        </w:rPr>
        <w:t>四川</w:t>
      </w:r>
      <w:r>
        <w:rPr>
          <w:rFonts w:hint="eastAsia"/>
          <w:color w:val="auto"/>
          <w:sz w:val="30"/>
          <w:szCs w:val="30"/>
          <w:highlight w:val="none"/>
          <w:lang w:eastAsia="zh-CN"/>
        </w:rPr>
        <w:t>）</w:t>
      </w:r>
      <w:r>
        <w:rPr>
          <w:color w:val="auto"/>
          <w:sz w:val="30"/>
          <w:szCs w:val="30"/>
          <w:highlight w:val="none"/>
        </w:rPr>
        <w:t>1</w:t>
      </w:r>
      <w:r>
        <w:rPr>
          <w:rFonts w:hint="eastAsia"/>
          <w:color w:val="auto"/>
          <w:sz w:val="30"/>
          <w:szCs w:val="30"/>
          <w:highlight w:val="none"/>
          <w:lang w:val="en-US" w:eastAsia="zh-CN"/>
        </w:rPr>
        <w:t>处</w:t>
      </w:r>
      <w:r>
        <w:rPr>
          <w:rFonts w:hint="eastAsia"/>
          <w:color w:val="auto"/>
          <w:sz w:val="30"/>
          <w:szCs w:val="30"/>
          <w:highlight w:val="none"/>
          <w:lang w:eastAsia="zh-CN"/>
        </w:rPr>
        <w:t>、</w:t>
      </w:r>
      <w:r>
        <w:rPr>
          <w:color w:val="auto"/>
          <w:sz w:val="30"/>
          <w:szCs w:val="30"/>
          <w:highlight w:val="none"/>
        </w:rPr>
        <w:t>水产种质资源保护区3</w:t>
      </w:r>
      <w:r>
        <w:rPr>
          <w:rFonts w:hint="eastAsia"/>
          <w:color w:val="auto"/>
          <w:sz w:val="30"/>
          <w:szCs w:val="30"/>
          <w:highlight w:val="none"/>
          <w:lang w:val="en-US" w:eastAsia="zh-CN"/>
        </w:rPr>
        <w:t>处</w:t>
      </w:r>
      <w:r>
        <w:rPr>
          <w:color w:val="auto"/>
          <w:sz w:val="30"/>
          <w:szCs w:val="30"/>
          <w:highlight w:val="none"/>
        </w:rPr>
        <w:t>。</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经过分析，流域环境现状主要</w:t>
      </w:r>
      <w:r>
        <w:rPr>
          <w:rFonts w:hint="eastAsia"/>
          <w:color w:val="auto"/>
          <w:sz w:val="30"/>
          <w:szCs w:val="30"/>
          <w:highlight w:val="none"/>
          <w:lang w:val="en-US" w:eastAsia="zh-CN"/>
        </w:rPr>
        <w:t>问题</w:t>
      </w:r>
      <w:r>
        <w:rPr>
          <w:color w:val="auto"/>
          <w:sz w:val="30"/>
          <w:szCs w:val="30"/>
          <w:highlight w:val="none"/>
        </w:rPr>
        <w:t>表现在两个方面：一是水环境承载能力有限</w:t>
      </w:r>
      <w:r>
        <w:rPr>
          <w:rFonts w:hint="eastAsia"/>
          <w:color w:val="auto"/>
          <w:sz w:val="30"/>
          <w:szCs w:val="30"/>
          <w:highlight w:val="none"/>
          <w:lang w:eastAsia="zh-CN"/>
        </w:rPr>
        <w:t>，</w:t>
      </w:r>
      <w:r>
        <w:rPr>
          <w:color w:val="auto"/>
          <w:sz w:val="30"/>
          <w:szCs w:val="30"/>
          <w:highlight w:val="none"/>
        </w:rPr>
        <w:t>二是水环境质量有待持续提升。</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三、环境影响预测与评价</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（一）水文情势影响</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规划的防洪</w:t>
      </w:r>
      <w:r>
        <w:rPr>
          <w:color w:val="auto"/>
          <w:sz w:val="30"/>
          <w:szCs w:val="30"/>
          <w:highlight w:val="none"/>
        </w:rPr>
        <w:t>水库工程</w:t>
      </w:r>
      <w:r>
        <w:rPr>
          <w:rFonts w:hint="eastAsia"/>
          <w:color w:val="auto"/>
          <w:sz w:val="30"/>
          <w:szCs w:val="30"/>
          <w:highlight w:val="none"/>
          <w:lang w:val="en-US" w:eastAsia="zh-CN"/>
        </w:rPr>
        <w:t>建成后，</w:t>
      </w:r>
      <w:r>
        <w:rPr>
          <w:color w:val="auto"/>
          <w:sz w:val="30"/>
          <w:szCs w:val="30"/>
          <w:highlight w:val="none"/>
        </w:rPr>
        <w:t>原有天然河道的水文情势发生变化，库区河段由流水生境变为静水或微流水生境，水域面积增大、水深增加</w:t>
      </w:r>
      <w:r>
        <w:rPr>
          <w:rFonts w:hint="eastAsia"/>
          <w:color w:val="auto"/>
          <w:sz w:val="30"/>
          <w:szCs w:val="30"/>
          <w:highlight w:val="none"/>
          <w:lang w:eastAsia="zh-CN"/>
        </w:rPr>
        <w:t>；</w:t>
      </w:r>
      <w:r>
        <w:rPr>
          <w:color w:val="auto"/>
          <w:sz w:val="30"/>
          <w:szCs w:val="30"/>
          <w:highlight w:val="none"/>
        </w:rPr>
        <w:t>坝前水文情势变化很大</w:t>
      </w:r>
      <w:r>
        <w:rPr>
          <w:rFonts w:hint="eastAsia"/>
          <w:color w:val="auto"/>
          <w:sz w:val="30"/>
          <w:szCs w:val="30"/>
          <w:highlight w:val="none"/>
          <w:lang w:eastAsia="zh-CN"/>
        </w:rPr>
        <w:t>；</w:t>
      </w:r>
      <w:r>
        <w:rPr>
          <w:color w:val="auto"/>
          <w:sz w:val="30"/>
          <w:szCs w:val="30"/>
          <w:highlight w:val="none"/>
        </w:rPr>
        <w:t>下游减水河段径流量减少，特别是流量较小的支流变化</w:t>
      </w:r>
      <w:r>
        <w:rPr>
          <w:rFonts w:hint="eastAsia"/>
          <w:color w:val="auto"/>
          <w:sz w:val="30"/>
          <w:szCs w:val="30"/>
          <w:highlight w:val="none"/>
          <w:lang w:val="en-US" w:eastAsia="zh-CN"/>
        </w:rPr>
        <w:t>较</w:t>
      </w:r>
      <w:r>
        <w:rPr>
          <w:color w:val="auto"/>
          <w:sz w:val="30"/>
          <w:szCs w:val="30"/>
          <w:highlight w:val="none"/>
        </w:rPr>
        <w:t>大。</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（二）水资源影响</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规划的防洪水库</w:t>
      </w:r>
      <w:r>
        <w:rPr>
          <w:rFonts w:hint="eastAsia"/>
          <w:color w:val="auto"/>
          <w:sz w:val="30"/>
          <w:szCs w:val="30"/>
          <w:highlight w:val="none"/>
          <w:lang w:val="en-US" w:eastAsia="zh-CN"/>
        </w:rPr>
        <w:t>工程</w:t>
      </w:r>
      <w:r>
        <w:rPr>
          <w:color w:val="auto"/>
          <w:sz w:val="30"/>
          <w:szCs w:val="30"/>
          <w:highlight w:val="none"/>
        </w:rPr>
        <w:t>建成后，受水区由于水量的调入，有效改善了当地</w:t>
      </w:r>
      <w:r>
        <w:rPr>
          <w:rFonts w:hint="eastAsia"/>
          <w:color w:val="auto"/>
          <w:sz w:val="30"/>
          <w:szCs w:val="30"/>
          <w:highlight w:val="none"/>
          <w:lang w:eastAsia="zh-CN"/>
        </w:rPr>
        <w:t>水</w:t>
      </w:r>
      <w:r>
        <w:rPr>
          <w:color w:val="auto"/>
          <w:sz w:val="30"/>
          <w:szCs w:val="30"/>
          <w:highlight w:val="none"/>
        </w:rPr>
        <w:t>资源配比，对于解决受纳水区域水资源时空分布及改善当地水环境具有积极作用。此外，由于回归水量增加，有利于当地水资源利用优化配置、水资源利用效率的提高。</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bookmarkStart w:id="124" w:name="_Toc109320895"/>
      <w:r>
        <w:rPr>
          <w:rFonts w:hint="eastAsia" w:ascii="楷体_GB2312" w:hAnsi="楷体_GB2312" w:eastAsia="楷体_GB2312" w:cs="楷体_GB2312"/>
          <w:color w:val="auto"/>
          <w:sz w:val="30"/>
          <w:szCs w:val="30"/>
          <w:highlight w:val="none"/>
        </w:rPr>
        <w:t>（三）水环境影响</w:t>
      </w:r>
      <w:bookmarkEnd w:id="124"/>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规划的</w:t>
      </w:r>
      <w:r>
        <w:rPr>
          <w:color w:val="auto"/>
          <w:sz w:val="30"/>
          <w:szCs w:val="30"/>
          <w:highlight w:val="none"/>
        </w:rPr>
        <w:t>堤防工程建设及河道整治项目对水环境的影响时段较短，且主要集中在施工期</w:t>
      </w:r>
      <w:r>
        <w:rPr>
          <w:rFonts w:hint="eastAsia"/>
          <w:color w:val="auto"/>
          <w:sz w:val="30"/>
          <w:szCs w:val="30"/>
          <w:highlight w:val="none"/>
          <w:lang w:eastAsia="zh-CN"/>
        </w:rPr>
        <w:t>，</w:t>
      </w:r>
      <w:r>
        <w:rPr>
          <w:color w:val="auto"/>
          <w:sz w:val="30"/>
          <w:szCs w:val="30"/>
          <w:highlight w:val="none"/>
        </w:rPr>
        <w:t>影响较小</w:t>
      </w:r>
      <w:r>
        <w:rPr>
          <w:rFonts w:hint="eastAsia"/>
          <w:color w:val="auto"/>
          <w:sz w:val="30"/>
          <w:szCs w:val="30"/>
          <w:highlight w:val="none"/>
          <w:lang w:eastAsia="zh-CN"/>
        </w:rPr>
        <w:t>。</w:t>
      </w:r>
      <w:r>
        <w:rPr>
          <w:rFonts w:hint="eastAsia"/>
          <w:color w:val="auto"/>
          <w:sz w:val="30"/>
          <w:szCs w:val="30"/>
          <w:highlight w:val="none"/>
          <w:lang w:val="en-US" w:eastAsia="zh-CN"/>
        </w:rPr>
        <w:t>规划的</w:t>
      </w:r>
      <w:r>
        <w:rPr>
          <w:color w:val="auto"/>
          <w:sz w:val="30"/>
          <w:szCs w:val="30"/>
          <w:highlight w:val="none"/>
        </w:rPr>
        <w:t>水库</w:t>
      </w:r>
      <w:r>
        <w:rPr>
          <w:rFonts w:hint="eastAsia"/>
          <w:color w:val="auto"/>
          <w:sz w:val="30"/>
          <w:szCs w:val="30"/>
          <w:highlight w:val="none"/>
          <w:lang w:val="en-US" w:eastAsia="zh-CN"/>
        </w:rPr>
        <w:t>运行</w:t>
      </w:r>
      <w:r>
        <w:rPr>
          <w:color w:val="auto"/>
          <w:sz w:val="30"/>
          <w:szCs w:val="30"/>
          <w:highlight w:val="none"/>
        </w:rPr>
        <w:t>期，可能会引起水库富营养化</w:t>
      </w:r>
      <w:r>
        <w:rPr>
          <w:rFonts w:hint="eastAsia"/>
          <w:color w:val="auto"/>
          <w:sz w:val="30"/>
          <w:szCs w:val="30"/>
          <w:highlight w:val="none"/>
          <w:lang w:val="en-US" w:eastAsia="zh-CN"/>
        </w:rPr>
        <w:t>等水质改变</w:t>
      </w:r>
      <w:r>
        <w:rPr>
          <w:color w:val="auto"/>
          <w:sz w:val="30"/>
          <w:szCs w:val="30"/>
          <w:highlight w:val="none"/>
        </w:rPr>
        <w:t>。</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（四）水生和陆生生态影响</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规划的</w:t>
      </w:r>
      <w:r>
        <w:rPr>
          <w:color w:val="auto"/>
          <w:sz w:val="30"/>
          <w:szCs w:val="30"/>
          <w:highlight w:val="none"/>
        </w:rPr>
        <w:t>堤防工程和河道整治工程对陆生生物影响较小</w:t>
      </w:r>
      <w:r>
        <w:rPr>
          <w:rFonts w:hint="eastAsia"/>
          <w:color w:val="auto"/>
          <w:sz w:val="30"/>
          <w:szCs w:val="30"/>
          <w:highlight w:val="none"/>
          <w:lang w:eastAsia="zh-CN"/>
        </w:rPr>
        <w:t>，</w:t>
      </w:r>
      <w:r>
        <w:rPr>
          <w:color w:val="auto"/>
          <w:sz w:val="30"/>
          <w:szCs w:val="30"/>
          <w:highlight w:val="none"/>
        </w:rPr>
        <w:t>对涉及河段水生生物</w:t>
      </w:r>
      <w:r>
        <w:rPr>
          <w:rFonts w:hint="eastAsia"/>
          <w:color w:val="auto"/>
          <w:sz w:val="30"/>
          <w:szCs w:val="30"/>
          <w:highlight w:val="none"/>
          <w:lang w:val="en-US" w:eastAsia="zh-CN"/>
        </w:rPr>
        <w:t>有一定</w:t>
      </w:r>
      <w:r>
        <w:rPr>
          <w:color w:val="auto"/>
          <w:sz w:val="30"/>
          <w:szCs w:val="30"/>
          <w:highlight w:val="none"/>
        </w:rPr>
        <w:t>影响；水库工程对区域陆生和水生生物有一定影响。建议在项目实施阶段按规定编制项目环境影响报告书</w:t>
      </w:r>
      <w:r>
        <w:rPr>
          <w:rFonts w:hint="eastAsia"/>
          <w:color w:val="auto"/>
          <w:sz w:val="30"/>
          <w:szCs w:val="30"/>
          <w:highlight w:val="none"/>
          <w:lang w:eastAsia="zh-CN"/>
        </w:rPr>
        <w:t>（</w:t>
      </w:r>
      <w:r>
        <w:rPr>
          <w:rFonts w:hint="eastAsia"/>
          <w:color w:val="auto"/>
          <w:sz w:val="30"/>
          <w:szCs w:val="30"/>
          <w:highlight w:val="none"/>
          <w:lang w:val="en-US" w:eastAsia="zh-CN"/>
        </w:rPr>
        <w:t>表</w:t>
      </w:r>
      <w:r>
        <w:rPr>
          <w:rFonts w:hint="eastAsia"/>
          <w:color w:val="auto"/>
          <w:sz w:val="30"/>
          <w:szCs w:val="30"/>
          <w:highlight w:val="none"/>
          <w:lang w:eastAsia="zh-CN"/>
        </w:rPr>
        <w:t>）</w:t>
      </w:r>
      <w:r>
        <w:rPr>
          <w:color w:val="auto"/>
          <w:sz w:val="30"/>
          <w:szCs w:val="30"/>
          <w:highlight w:val="none"/>
        </w:rPr>
        <w:t>，进一步完善环境影响减缓措施。</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bookmarkStart w:id="125" w:name="_Toc109320898"/>
      <w:r>
        <w:rPr>
          <w:rFonts w:hint="eastAsia" w:ascii="楷体_GB2312" w:hAnsi="楷体_GB2312" w:eastAsia="楷体_GB2312" w:cs="楷体_GB2312"/>
          <w:color w:val="auto"/>
          <w:sz w:val="30"/>
          <w:szCs w:val="30"/>
          <w:highlight w:val="none"/>
        </w:rPr>
        <w:t>（五）环境敏感区影响</w:t>
      </w:r>
      <w:bookmarkEnd w:id="125"/>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1.对重要生态功能区的影响</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根据规划防洪水库布局，涉及3</w:t>
      </w:r>
      <w:r>
        <w:rPr>
          <w:rFonts w:hint="eastAsia"/>
          <w:color w:val="auto"/>
          <w:sz w:val="30"/>
          <w:szCs w:val="30"/>
          <w:highlight w:val="none"/>
          <w:lang w:val="en-US" w:eastAsia="zh-CN"/>
        </w:rPr>
        <w:t>处</w:t>
      </w:r>
      <w:r>
        <w:rPr>
          <w:color w:val="auto"/>
          <w:sz w:val="30"/>
          <w:szCs w:val="30"/>
          <w:highlight w:val="none"/>
        </w:rPr>
        <w:t>珍稀特有鱼类和水产种质资源保护区、2</w:t>
      </w:r>
      <w:r>
        <w:rPr>
          <w:rFonts w:hint="eastAsia"/>
          <w:color w:val="auto"/>
          <w:sz w:val="30"/>
          <w:szCs w:val="30"/>
          <w:highlight w:val="none"/>
          <w:lang w:val="en-US" w:eastAsia="zh-CN"/>
        </w:rPr>
        <w:t>处</w:t>
      </w:r>
      <w:r>
        <w:rPr>
          <w:color w:val="auto"/>
          <w:sz w:val="30"/>
          <w:szCs w:val="30"/>
          <w:highlight w:val="none"/>
        </w:rPr>
        <w:t>风景名胜区、1</w:t>
      </w:r>
      <w:r>
        <w:rPr>
          <w:rFonts w:hint="eastAsia"/>
          <w:color w:val="auto"/>
          <w:sz w:val="30"/>
          <w:szCs w:val="30"/>
          <w:highlight w:val="none"/>
          <w:lang w:val="en-US" w:eastAsia="zh-CN"/>
        </w:rPr>
        <w:t>处</w:t>
      </w:r>
      <w:r>
        <w:rPr>
          <w:color w:val="auto"/>
          <w:sz w:val="30"/>
          <w:szCs w:val="30"/>
          <w:highlight w:val="none"/>
        </w:rPr>
        <w:t>自然保护区、大熊猫国家公园</w:t>
      </w:r>
      <w:r>
        <w:rPr>
          <w:rFonts w:hint="eastAsia"/>
          <w:color w:val="auto"/>
          <w:sz w:val="30"/>
          <w:szCs w:val="30"/>
          <w:highlight w:val="none"/>
          <w:lang w:eastAsia="zh-CN"/>
        </w:rPr>
        <w:t>（</w:t>
      </w:r>
      <w:r>
        <w:rPr>
          <w:rFonts w:hint="eastAsia"/>
          <w:color w:val="auto"/>
          <w:sz w:val="30"/>
          <w:szCs w:val="30"/>
          <w:highlight w:val="none"/>
          <w:lang w:val="en-US" w:eastAsia="zh-CN"/>
        </w:rPr>
        <w:t>四川</w:t>
      </w:r>
      <w:r>
        <w:rPr>
          <w:rFonts w:hint="eastAsia"/>
          <w:color w:val="auto"/>
          <w:sz w:val="30"/>
          <w:szCs w:val="30"/>
          <w:highlight w:val="none"/>
          <w:lang w:eastAsia="zh-CN"/>
        </w:rPr>
        <w:t>）</w:t>
      </w:r>
      <w:r>
        <w:rPr>
          <w:color w:val="auto"/>
          <w:sz w:val="30"/>
          <w:szCs w:val="30"/>
          <w:highlight w:val="none"/>
        </w:rPr>
        <w:t>、</w:t>
      </w:r>
      <w:r>
        <w:rPr>
          <w:rFonts w:hint="eastAsia"/>
          <w:color w:val="auto"/>
          <w:sz w:val="30"/>
          <w:szCs w:val="30"/>
          <w:highlight w:val="none"/>
          <w:lang w:val="en-US" w:eastAsia="zh-CN"/>
        </w:rPr>
        <w:t>四川</w:t>
      </w:r>
      <w:r>
        <w:rPr>
          <w:color w:val="auto"/>
          <w:sz w:val="30"/>
          <w:szCs w:val="30"/>
          <w:highlight w:val="none"/>
        </w:rPr>
        <w:t>龙门山国家地质公园等。在项目实施阶段，应结合</w:t>
      </w:r>
      <w:r>
        <w:rPr>
          <w:rFonts w:hint="eastAsia"/>
          <w:color w:val="auto"/>
          <w:sz w:val="30"/>
          <w:szCs w:val="30"/>
          <w:highlight w:val="none"/>
          <w:lang w:val="en-US" w:eastAsia="zh-CN"/>
        </w:rPr>
        <w:t>各类生态敏感区</w:t>
      </w:r>
      <w:r>
        <w:rPr>
          <w:color w:val="auto"/>
          <w:sz w:val="30"/>
          <w:szCs w:val="30"/>
          <w:highlight w:val="none"/>
        </w:rPr>
        <w:t>的环境保护与管理要求，进一步分析规划项目的可行性与</w:t>
      </w:r>
      <w:r>
        <w:rPr>
          <w:rFonts w:hint="eastAsia"/>
          <w:color w:val="auto"/>
          <w:sz w:val="30"/>
          <w:szCs w:val="30"/>
          <w:highlight w:val="none"/>
          <w:lang w:val="en-US" w:eastAsia="zh-CN"/>
        </w:rPr>
        <w:t>其</w:t>
      </w:r>
      <w:r>
        <w:rPr>
          <w:color w:val="auto"/>
          <w:sz w:val="30"/>
          <w:szCs w:val="30"/>
          <w:highlight w:val="none"/>
        </w:rPr>
        <w:t>关系。</w:t>
      </w:r>
    </w:p>
    <w:p>
      <w:pPr>
        <w:pStyle w:val="154"/>
        <w:ind w:firstLine="578"/>
        <w:rPr>
          <w:color w:val="auto"/>
          <w:sz w:val="30"/>
          <w:szCs w:val="30"/>
          <w:highlight w:val="none"/>
        </w:rPr>
      </w:pPr>
      <w:r>
        <w:rPr>
          <w:color w:val="auto"/>
          <w:sz w:val="30"/>
          <w:szCs w:val="30"/>
          <w:highlight w:val="none"/>
        </w:rPr>
        <w:t>2.对饮用水水源地保护区</w:t>
      </w:r>
      <w:r>
        <w:rPr>
          <w:rFonts w:hint="eastAsia"/>
          <w:color w:val="auto"/>
          <w:sz w:val="30"/>
          <w:szCs w:val="30"/>
          <w:highlight w:val="none"/>
          <w:lang w:val="en-US" w:eastAsia="zh-CN"/>
        </w:rPr>
        <w:t>的</w:t>
      </w:r>
      <w:r>
        <w:rPr>
          <w:color w:val="auto"/>
          <w:sz w:val="30"/>
          <w:szCs w:val="30"/>
          <w:highlight w:val="none"/>
        </w:rPr>
        <w:t xml:space="preserve">影响 </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项目施工期通过采取有效污染预防措施后，对饮用水</w:t>
      </w:r>
      <w:r>
        <w:rPr>
          <w:rFonts w:hint="eastAsia"/>
          <w:color w:val="auto"/>
          <w:sz w:val="30"/>
          <w:szCs w:val="30"/>
          <w:highlight w:val="none"/>
          <w:lang w:val="en-US" w:eastAsia="zh-CN"/>
        </w:rPr>
        <w:t>水源地</w:t>
      </w:r>
      <w:r>
        <w:rPr>
          <w:color w:val="auto"/>
          <w:sz w:val="30"/>
          <w:szCs w:val="30"/>
          <w:highlight w:val="none"/>
        </w:rPr>
        <w:t>水质影响较小，项目运营期主要水污染物为雨水地表径流，项目不属于</w:t>
      </w:r>
      <w:r>
        <w:rPr>
          <w:rFonts w:hint="eastAsia"/>
          <w:color w:val="auto"/>
          <w:sz w:val="30"/>
          <w:szCs w:val="30"/>
          <w:highlight w:val="none"/>
          <w:lang w:eastAsia="zh-CN"/>
        </w:rPr>
        <w:t>“</w:t>
      </w:r>
      <w:r>
        <w:rPr>
          <w:color w:val="auto"/>
          <w:sz w:val="30"/>
          <w:szCs w:val="30"/>
          <w:highlight w:val="none"/>
        </w:rPr>
        <w:t>对水体污染严重的建设项目</w:t>
      </w:r>
      <w:r>
        <w:rPr>
          <w:rFonts w:hint="eastAsia"/>
          <w:color w:val="auto"/>
          <w:sz w:val="30"/>
          <w:szCs w:val="30"/>
          <w:highlight w:val="none"/>
          <w:lang w:eastAsia="zh-CN"/>
        </w:rPr>
        <w:t>”</w:t>
      </w:r>
      <w:r>
        <w:rPr>
          <w:color w:val="auto"/>
          <w:sz w:val="30"/>
          <w:szCs w:val="30"/>
          <w:highlight w:val="none"/>
        </w:rPr>
        <w:t>。</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26" w:name="_Toc124757366"/>
      <w:bookmarkStart w:id="127" w:name="_Toc309578526"/>
      <w:r>
        <w:rPr>
          <w:b w:val="0"/>
          <w:bCs w:val="0"/>
          <w:color w:val="auto"/>
          <w:highlight w:val="none"/>
          <w:lang w:val="en-US"/>
        </w:rPr>
        <w:t xml:space="preserve">第二节  </w:t>
      </w:r>
      <w:r>
        <w:rPr>
          <w:b w:val="0"/>
          <w:bCs w:val="0"/>
          <w:color w:val="auto"/>
          <w:highlight w:val="none"/>
        </w:rPr>
        <w:t>环境保护措施</w:t>
      </w:r>
      <w:bookmarkEnd w:id="126"/>
      <w:bookmarkEnd w:id="127"/>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bookmarkStart w:id="128" w:name="_Toc101193383"/>
      <w:bookmarkStart w:id="129" w:name="_Toc109320902"/>
      <w:r>
        <w:rPr>
          <w:rStyle w:val="550"/>
          <w:rFonts w:hint="eastAsia" w:ascii="黑体" w:hAnsi="黑体" w:eastAsia="黑体" w:cs="黑体"/>
          <w:b w:val="0"/>
          <w:bCs w:val="0"/>
          <w:color w:val="auto"/>
          <w:highlight w:val="none"/>
        </w:rPr>
        <w:t>一、水环境保护措施</w:t>
      </w:r>
      <w:bookmarkEnd w:id="128"/>
      <w:bookmarkEnd w:id="129"/>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对施工期生产废水，利用工区开挖形成的坑、槽收集生产废水，经沉淀、除油处理后循环利用，禁止排污。</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对施工人员生活废水，修建简易旱厕</w:t>
      </w:r>
      <w:r>
        <w:rPr>
          <w:rFonts w:hint="eastAsia"/>
          <w:color w:val="auto"/>
          <w:sz w:val="30"/>
          <w:szCs w:val="30"/>
          <w:highlight w:val="none"/>
          <w:lang w:val="en-US" w:eastAsia="zh-CN"/>
        </w:rPr>
        <w:t>或使用环保厕所</w:t>
      </w:r>
      <w:r>
        <w:rPr>
          <w:color w:val="auto"/>
          <w:sz w:val="30"/>
          <w:szCs w:val="30"/>
          <w:highlight w:val="none"/>
        </w:rPr>
        <w:t>，粪便定期清理，避免直接排入河道影响水质。在施工结束后，对废弃的旱厕按照规定对其进行处理。</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bookmarkStart w:id="130" w:name="_Toc101193384"/>
      <w:bookmarkStart w:id="131" w:name="_Toc109320903"/>
      <w:r>
        <w:rPr>
          <w:rStyle w:val="550"/>
          <w:rFonts w:hint="eastAsia" w:ascii="黑体" w:hAnsi="黑体" w:eastAsia="黑体" w:cs="黑体"/>
          <w:b w:val="0"/>
          <w:bCs/>
          <w:color w:val="auto"/>
          <w:highlight w:val="none"/>
        </w:rPr>
        <w:t>二、大气环境保护措施</w:t>
      </w:r>
      <w:bookmarkEnd w:id="130"/>
      <w:bookmarkEnd w:id="131"/>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水泥在装卸运输过程中应采取良好的密封状态；加强施工机具和车辆的维护和保养，并使用优质燃料，减少废气排放；在工程区路段内实行车辆限速措施。干旱、多风季节路面应定时洒水清扫，减少扬尘危害。</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bookmarkStart w:id="132" w:name="_Toc101193385"/>
      <w:bookmarkStart w:id="133" w:name="_Toc109320904"/>
      <w:r>
        <w:rPr>
          <w:rStyle w:val="550"/>
          <w:rFonts w:hint="eastAsia" w:ascii="黑体" w:hAnsi="黑体" w:eastAsia="黑体" w:cs="黑体"/>
          <w:b w:val="0"/>
          <w:bCs/>
          <w:color w:val="auto"/>
          <w:highlight w:val="none"/>
        </w:rPr>
        <w:t>三、噪声防护措施</w:t>
      </w:r>
      <w:bookmarkEnd w:id="132"/>
      <w:bookmarkEnd w:id="133"/>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（一）合理布置施工辅助企业，禁止夜间作业，减少对工区周边居民的影响，车辆限速行驶，经过集中居民点、学校和医院等地点禁止鸣喇叭。</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 xml:space="preserve">（二）选用符合国家标准的低噪声施工机械，引进低噪声设备，加强设备的维护和保养，保持机械润滑，减少运行噪声。 </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bookmarkStart w:id="134" w:name="_Toc109320905"/>
      <w:bookmarkStart w:id="135" w:name="_Toc101193386"/>
      <w:r>
        <w:rPr>
          <w:rStyle w:val="550"/>
          <w:rFonts w:hint="eastAsia" w:ascii="黑体" w:hAnsi="黑体" w:eastAsia="黑体" w:cs="黑体"/>
          <w:b w:val="0"/>
          <w:bCs/>
          <w:color w:val="auto"/>
          <w:highlight w:val="none"/>
        </w:rPr>
        <w:t>四、生活垃圾处理措施</w:t>
      </w:r>
      <w:bookmarkEnd w:id="134"/>
      <w:bookmarkEnd w:id="135"/>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在施工区及施工人员住宿区，设置专门的垃圾桶，将垃圾分类收集，禁止乱丢乱弃和向河道中倾倒垃圾。对施工区的垃圾存放处经常喷洒杀虫药水，定期由垃圾清运车运送到指定地点集中处理</w:t>
      </w:r>
      <w:r>
        <w:rPr>
          <w:rFonts w:hint="eastAsia"/>
          <w:color w:val="auto"/>
          <w:sz w:val="30"/>
          <w:szCs w:val="30"/>
          <w:highlight w:val="none"/>
          <w:lang w:eastAsia="zh-CN"/>
        </w:rPr>
        <w:t>，</w:t>
      </w:r>
      <w:r>
        <w:rPr>
          <w:color w:val="auto"/>
          <w:sz w:val="30"/>
          <w:szCs w:val="30"/>
          <w:highlight w:val="none"/>
        </w:rPr>
        <w:t>以防止</w:t>
      </w:r>
      <w:r>
        <w:rPr>
          <w:rFonts w:hint="eastAsia"/>
          <w:color w:val="auto"/>
          <w:sz w:val="30"/>
          <w:szCs w:val="30"/>
          <w:highlight w:val="none"/>
          <w:lang w:eastAsia="zh-CN"/>
        </w:rPr>
        <w:t>蚊蝇滋生</w:t>
      </w:r>
      <w:r>
        <w:rPr>
          <w:color w:val="auto"/>
          <w:sz w:val="30"/>
          <w:szCs w:val="30"/>
          <w:highlight w:val="none"/>
        </w:rPr>
        <w:t>，减缓工程建设对地区环境卫生和施工人员的生活卫生产生不利影响。</w:t>
      </w:r>
    </w:p>
    <w:p>
      <w:pPr>
        <w:pStyle w:val="5"/>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bookmarkStart w:id="136" w:name="_Toc101193387"/>
      <w:bookmarkStart w:id="137" w:name="_Toc109320906"/>
      <w:r>
        <w:rPr>
          <w:rStyle w:val="550"/>
          <w:rFonts w:hint="eastAsia" w:ascii="黑体" w:hAnsi="黑体" w:eastAsia="黑体" w:cs="黑体"/>
          <w:b w:val="0"/>
          <w:bCs/>
          <w:color w:val="auto"/>
          <w:highlight w:val="none"/>
        </w:rPr>
        <w:t>五、内涝防治措施</w:t>
      </w:r>
      <w:bookmarkEnd w:id="136"/>
      <w:bookmarkEnd w:id="137"/>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为防止内涝，需在河岸背后地势低洼地带及支沟汇入处设置排涝涵洞或排水沟，将低洼地带的积水排入下游河道。</w:t>
      </w:r>
    </w:p>
    <w:p>
      <w:pPr>
        <w:pStyle w:val="5"/>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六、工程占地保护措施</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rPr>
        <w:t>工程建设使用土地，在项目开工前应按照国家相关规定办理用地手续，其投资列入工程总投资。对于临时使用土地的，应在临时用地期满之日起一年内完成土地复垦</w:t>
      </w:r>
      <w:r>
        <w:rPr>
          <w:color w:val="auto"/>
          <w:sz w:val="30"/>
          <w:szCs w:val="30"/>
          <w:highlight w:val="none"/>
        </w:rPr>
        <w:t>。</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bookmarkStart w:id="138" w:name="_Toc124757367"/>
      <w:bookmarkStart w:id="139" w:name="_Toc309578527"/>
      <w:r>
        <w:rPr>
          <w:b w:val="0"/>
          <w:bCs w:val="0"/>
          <w:color w:val="auto"/>
          <w:highlight w:val="none"/>
          <w:lang w:val="en-US"/>
        </w:rPr>
        <w:t>第三节</w:t>
      </w:r>
      <w:r>
        <w:rPr>
          <w:rFonts w:hint="eastAsia"/>
          <w:b w:val="0"/>
          <w:bCs w:val="0"/>
          <w:color w:val="auto"/>
          <w:highlight w:val="none"/>
          <w:lang w:val="en-US" w:eastAsia="zh-CN"/>
        </w:rPr>
        <w:t xml:space="preserve"> </w:t>
      </w:r>
      <w:r>
        <w:rPr>
          <w:b w:val="0"/>
          <w:bCs w:val="0"/>
          <w:color w:val="auto"/>
          <w:highlight w:val="none"/>
          <w:lang w:val="en-US"/>
        </w:rPr>
        <w:t xml:space="preserve"> </w:t>
      </w:r>
      <w:r>
        <w:rPr>
          <w:b w:val="0"/>
          <w:bCs w:val="0"/>
          <w:color w:val="auto"/>
          <w:highlight w:val="none"/>
        </w:rPr>
        <w:t>评价结论</w:t>
      </w:r>
      <w:bookmarkEnd w:id="138"/>
      <w:bookmarkEnd w:id="139"/>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eastAsia"/>
          <w:color w:val="auto"/>
          <w:sz w:val="30"/>
          <w:szCs w:val="30"/>
          <w:highlight w:val="none"/>
          <w:lang w:eastAsia="zh-CN"/>
        </w:rPr>
      </w:pPr>
      <w:r>
        <w:rPr>
          <w:rFonts w:hint="eastAsia" w:ascii="Times New Roman"/>
          <w:color w:val="auto"/>
          <w:sz w:val="30"/>
          <w:szCs w:val="30"/>
          <w:highlight w:val="none"/>
          <w:lang w:val="en-US" w:eastAsia="zh-CN"/>
        </w:rPr>
        <w:t>规划</w:t>
      </w:r>
      <w:r>
        <w:rPr>
          <w:rFonts w:ascii="Times New Roman"/>
          <w:color w:val="auto"/>
          <w:sz w:val="30"/>
          <w:szCs w:val="30"/>
          <w:highlight w:val="none"/>
        </w:rPr>
        <w:t>工程施工期对区域水域、空气、声和社会环境的不利影响是局部的、暂时的，且相对较小，在采取相应的环保措施以后可得到减免，且随工程的运行，施工期的各种影响将逐渐消除。</w:t>
      </w:r>
      <w:r>
        <w:rPr>
          <w:color w:val="auto"/>
          <w:sz w:val="30"/>
          <w:szCs w:val="30"/>
          <w:highlight w:val="none"/>
        </w:rPr>
        <w:t>工程运行期对</w:t>
      </w:r>
      <w:r>
        <w:rPr>
          <w:rFonts w:hint="eastAsia"/>
          <w:color w:val="auto"/>
          <w:sz w:val="30"/>
          <w:szCs w:val="30"/>
          <w:highlight w:val="none"/>
          <w:lang w:val="en-US" w:eastAsia="zh-CN"/>
        </w:rPr>
        <w:t>流域</w:t>
      </w:r>
      <w:r>
        <w:rPr>
          <w:color w:val="auto"/>
          <w:sz w:val="30"/>
          <w:szCs w:val="30"/>
          <w:highlight w:val="none"/>
        </w:rPr>
        <w:t>的水文、水资源、水环境、水生态等不存在较大影响。工程</w:t>
      </w:r>
      <w:r>
        <w:rPr>
          <w:rFonts w:hint="eastAsia"/>
          <w:color w:val="auto"/>
          <w:sz w:val="30"/>
          <w:szCs w:val="30"/>
          <w:highlight w:val="none"/>
          <w:lang w:val="en-US" w:eastAsia="zh-CN"/>
        </w:rPr>
        <w:t>实施后</w:t>
      </w:r>
      <w:r>
        <w:rPr>
          <w:color w:val="auto"/>
          <w:sz w:val="30"/>
          <w:szCs w:val="30"/>
          <w:highlight w:val="none"/>
        </w:rPr>
        <w:t>将提高沿江城镇的防洪能力，有效</w:t>
      </w:r>
      <w:r>
        <w:rPr>
          <w:rFonts w:hint="eastAsia"/>
          <w:color w:val="auto"/>
          <w:sz w:val="30"/>
          <w:szCs w:val="30"/>
          <w:highlight w:val="none"/>
          <w:lang w:val="en-US" w:eastAsia="zh-CN"/>
        </w:rPr>
        <w:t>减小、消除</w:t>
      </w:r>
      <w:r>
        <w:rPr>
          <w:color w:val="auto"/>
          <w:sz w:val="30"/>
          <w:szCs w:val="30"/>
          <w:highlight w:val="none"/>
        </w:rPr>
        <w:t>洪涝灾害损失和灾后的次生环境影响</w:t>
      </w:r>
      <w:r>
        <w:rPr>
          <w:rFonts w:hint="eastAsia"/>
          <w:color w:val="auto"/>
          <w:sz w:val="30"/>
          <w:szCs w:val="30"/>
          <w:highlight w:val="none"/>
          <w:lang w:eastAsia="zh-CN"/>
        </w:rPr>
        <w:t>。</w:t>
      </w:r>
    </w:p>
    <w:p>
      <w:pPr>
        <w:pStyle w:val="713"/>
        <w:keepNext w:val="0"/>
        <w:keepLines w:val="0"/>
        <w:pageBreakBefore w:val="0"/>
        <w:widowControl w:val="0"/>
        <w:kinsoku/>
        <w:wordWrap/>
        <w:overflowPunct/>
        <w:topLinePunct w:val="0"/>
        <w:autoSpaceDE/>
        <w:autoSpaceDN/>
        <w:bidi w:val="0"/>
        <w:adjustRightInd/>
        <w:snapToGrid/>
        <w:spacing w:line="540" w:lineRule="exact"/>
        <w:ind w:firstLine="561"/>
        <w:textAlignment w:val="auto"/>
        <w:rPr>
          <w:rFonts w:hint="default"/>
          <w:color w:val="auto"/>
          <w:sz w:val="30"/>
          <w:szCs w:val="30"/>
          <w:highlight w:val="none"/>
          <w:lang w:val="en-US" w:eastAsia="zh-CN"/>
        </w:rPr>
      </w:pPr>
      <w:r>
        <w:rPr>
          <w:rFonts w:hint="eastAsia"/>
          <w:color w:val="auto"/>
          <w:sz w:val="30"/>
          <w:szCs w:val="30"/>
          <w:highlight w:val="none"/>
          <w:lang w:val="en-US" w:eastAsia="zh-CN"/>
        </w:rPr>
        <w:t>总之，本规划实施后，其社会效益、经济效益和生态效益显著，对促进经济社会高质量发展具有重大作用。规划项目建设造成的不利环境影响在采取相应的环境保护措施后将得以减缓、消除或改善。从环境保护角度看，本规划是可行的。</w:t>
      </w:r>
    </w:p>
    <w:p>
      <w:pPr>
        <w:pStyle w:val="3"/>
        <w:keepNext/>
        <w:keepLines/>
        <w:pageBreakBefore w:val="0"/>
        <w:widowControl w:val="0"/>
        <w:kinsoku/>
        <w:wordWrap/>
        <w:overflowPunct/>
        <w:topLinePunct w:val="0"/>
        <w:autoSpaceDE/>
        <w:autoSpaceDN/>
        <w:bidi w:val="0"/>
        <w:adjustRightInd/>
        <w:snapToGrid/>
        <w:spacing w:line="540" w:lineRule="exact"/>
        <w:textAlignment w:val="auto"/>
        <w:rPr>
          <w:color w:val="auto"/>
          <w:highlight w:val="none"/>
        </w:rPr>
      </w:pPr>
      <w:r>
        <w:rPr>
          <w:color w:val="auto"/>
          <w:highlight w:val="none"/>
        </w:rPr>
        <w:br w:type="page"/>
      </w:r>
      <w:bookmarkStart w:id="140" w:name="_Toc124757368"/>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b w:val="0"/>
          <w:bCs w:val="0"/>
          <w:color w:val="auto"/>
          <w:highlight w:val="none"/>
        </w:rPr>
      </w:pPr>
      <w:r>
        <w:rPr>
          <w:b w:val="0"/>
          <w:bCs w:val="0"/>
          <w:color w:val="auto"/>
          <w:highlight w:val="none"/>
        </w:rPr>
        <w:t>第十一章  投资匡算</w:t>
      </w:r>
      <w:bookmarkEnd w:id="140"/>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bookmarkStart w:id="141" w:name="_Toc124757369"/>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b w:val="0"/>
          <w:bCs w:val="0"/>
          <w:color w:val="auto"/>
          <w:highlight w:val="none"/>
        </w:rPr>
      </w:pPr>
      <w:r>
        <w:rPr>
          <w:b w:val="0"/>
          <w:bCs w:val="0"/>
          <w:color w:val="auto"/>
          <w:highlight w:val="none"/>
        </w:rPr>
        <w:t xml:space="preserve">第一节  </w:t>
      </w:r>
      <w:r>
        <w:rPr>
          <w:rFonts w:hint="eastAsia"/>
          <w:b w:val="0"/>
          <w:bCs w:val="0"/>
          <w:color w:val="auto"/>
          <w:highlight w:val="none"/>
          <w:lang w:val="en-US" w:eastAsia="zh-CN"/>
        </w:rPr>
        <w:t>投资</w:t>
      </w:r>
      <w:r>
        <w:rPr>
          <w:b w:val="0"/>
          <w:bCs w:val="0"/>
          <w:color w:val="auto"/>
          <w:highlight w:val="none"/>
        </w:rPr>
        <w:t>匡算依据和方法</w:t>
      </w:r>
      <w:bookmarkEnd w:id="141"/>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一、编制依据</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b w:val="0"/>
          <w:bCs w:val="0"/>
          <w:color w:val="auto"/>
          <w:sz w:val="30"/>
          <w:szCs w:val="30"/>
          <w:highlight w:val="none"/>
        </w:rPr>
        <w:t>（一）匡算编制主要依据四川省水利厅</w:t>
      </w:r>
      <w:r>
        <w:rPr>
          <w:rFonts w:hint="eastAsia"/>
          <w:b w:val="0"/>
          <w:bCs w:val="0"/>
          <w:color w:val="auto"/>
          <w:sz w:val="30"/>
          <w:szCs w:val="30"/>
          <w:highlight w:val="none"/>
          <w:lang w:val="en-US" w:eastAsia="zh-CN"/>
        </w:rPr>
        <w:t>印发的</w:t>
      </w:r>
      <w:r>
        <w:rPr>
          <w:b w:val="0"/>
          <w:bCs w:val="0"/>
          <w:color w:val="auto"/>
          <w:sz w:val="30"/>
          <w:szCs w:val="30"/>
          <w:highlight w:val="none"/>
        </w:rPr>
        <w:t>《四川省水利水电工</w:t>
      </w:r>
      <w:r>
        <w:rPr>
          <w:color w:val="auto"/>
          <w:sz w:val="30"/>
          <w:szCs w:val="30"/>
          <w:highlight w:val="none"/>
        </w:rPr>
        <w:t>程设计概（估）算编制规定》（川水发〔2015〕9号）、《增值税税率调整后四川省水利水电工程设计概（估）算编制规定相应调整办法》（川水函〔2019〕610号）。</w:t>
      </w:r>
    </w:p>
    <w:p>
      <w:pPr>
        <w:pStyle w:val="154"/>
        <w:ind w:firstLine="578"/>
        <w:rPr>
          <w:color w:val="auto"/>
          <w:sz w:val="30"/>
          <w:szCs w:val="30"/>
          <w:highlight w:val="none"/>
        </w:rPr>
      </w:pPr>
      <w:r>
        <w:rPr>
          <w:color w:val="auto"/>
          <w:sz w:val="30"/>
          <w:szCs w:val="30"/>
          <w:highlight w:val="none"/>
        </w:rPr>
        <w:t>（二）定额：建筑工程执行《四川省水利水电建筑工程预算定额》（川水发〔2007〕20号），采用预算定额编制估算单价时钢筋工程、模板工程乘以1.08的单价扩大系数，其余各类工程乘以1.13的单价扩大系数。</w:t>
      </w:r>
    </w:p>
    <w:p>
      <w:pPr>
        <w:pStyle w:val="154"/>
        <w:ind w:firstLine="578"/>
        <w:rPr>
          <w:color w:val="auto"/>
          <w:sz w:val="30"/>
          <w:szCs w:val="30"/>
          <w:highlight w:val="none"/>
        </w:rPr>
      </w:pPr>
      <w:r>
        <w:rPr>
          <w:color w:val="auto"/>
          <w:sz w:val="30"/>
          <w:szCs w:val="30"/>
          <w:highlight w:val="none"/>
        </w:rPr>
        <w:t>施工机械台时费定额：</w:t>
      </w:r>
      <w:r>
        <w:rPr>
          <w:rFonts w:hint="eastAsia"/>
          <w:color w:val="auto"/>
          <w:sz w:val="30"/>
          <w:szCs w:val="30"/>
          <w:highlight w:val="none"/>
          <w:lang w:val="en-US" w:eastAsia="zh-CN"/>
        </w:rPr>
        <w:t>执行</w:t>
      </w:r>
      <w:r>
        <w:rPr>
          <w:color w:val="auto"/>
          <w:sz w:val="30"/>
          <w:szCs w:val="30"/>
          <w:highlight w:val="none"/>
        </w:rPr>
        <w:t>《水利工程施工机械台时费定额》（水利部水总〔2002〕116号文）。</w:t>
      </w:r>
    </w:p>
    <w:p>
      <w:pPr>
        <w:pStyle w:val="154"/>
        <w:ind w:firstLine="578"/>
        <w:rPr>
          <w:color w:val="auto"/>
          <w:sz w:val="30"/>
          <w:szCs w:val="30"/>
          <w:highlight w:val="none"/>
        </w:rPr>
      </w:pPr>
      <w:r>
        <w:rPr>
          <w:color w:val="auto"/>
          <w:sz w:val="30"/>
          <w:szCs w:val="30"/>
          <w:highlight w:val="none"/>
        </w:rPr>
        <w:t>（三）工程设计的有关资料、图纸和相关专业设计成果。</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（四）国家和地方与</w:t>
      </w:r>
      <w:r>
        <w:rPr>
          <w:rFonts w:hint="eastAsia"/>
          <w:color w:val="auto"/>
          <w:sz w:val="30"/>
          <w:szCs w:val="30"/>
          <w:highlight w:val="none"/>
          <w:lang w:val="en-US" w:eastAsia="zh-CN"/>
        </w:rPr>
        <w:t>规划</w:t>
      </w:r>
      <w:r>
        <w:rPr>
          <w:color w:val="auto"/>
          <w:sz w:val="30"/>
          <w:szCs w:val="30"/>
          <w:highlight w:val="none"/>
        </w:rPr>
        <w:t>工程有关的现行</w:t>
      </w:r>
      <w:r>
        <w:rPr>
          <w:rFonts w:hint="eastAsia"/>
          <w:color w:val="auto"/>
          <w:sz w:val="30"/>
          <w:szCs w:val="30"/>
          <w:highlight w:val="none"/>
        </w:rPr>
        <w:t>法律法规</w:t>
      </w:r>
      <w:r>
        <w:rPr>
          <w:color w:val="auto"/>
          <w:sz w:val="30"/>
          <w:szCs w:val="30"/>
          <w:highlight w:val="none"/>
        </w:rPr>
        <w:t>和设计规范。</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Fonts w:hint="eastAsia" w:ascii="黑体" w:hAnsi="黑体" w:eastAsia="黑体" w:cs="黑体"/>
          <w:b w:val="0"/>
          <w:bCs/>
          <w:color w:val="auto"/>
          <w:highlight w:val="none"/>
        </w:rPr>
        <w:t>匡算</w:t>
      </w:r>
      <w:r>
        <w:rPr>
          <w:rStyle w:val="550"/>
          <w:rFonts w:hint="eastAsia" w:ascii="黑体" w:hAnsi="黑体" w:eastAsia="黑体" w:cs="黑体"/>
          <w:b w:val="0"/>
          <w:bCs/>
          <w:color w:val="auto"/>
          <w:highlight w:val="none"/>
        </w:rPr>
        <w:t>方法</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（一）基础价格</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依据各地区202</w:t>
      </w:r>
      <w:r>
        <w:rPr>
          <w:rFonts w:hint="eastAsia"/>
          <w:color w:val="auto"/>
          <w:sz w:val="30"/>
          <w:szCs w:val="30"/>
          <w:highlight w:val="none"/>
        </w:rPr>
        <w:t>2</w:t>
      </w:r>
      <w:r>
        <w:rPr>
          <w:color w:val="auto"/>
          <w:sz w:val="30"/>
          <w:szCs w:val="30"/>
          <w:highlight w:val="none"/>
        </w:rPr>
        <w:t>年</w:t>
      </w:r>
      <w:r>
        <w:rPr>
          <w:rFonts w:hint="eastAsia"/>
          <w:color w:val="auto"/>
          <w:sz w:val="30"/>
          <w:szCs w:val="30"/>
          <w:highlight w:val="none"/>
          <w:lang w:val="en-US" w:eastAsia="zh-CN"/>
        </w:rPr>
        <w:t>第</w:t>
      </w:r>
      <w:r>
        <w:rPr>
          <w:color w:val="auto"/>
          <w:sz w:val="30"/>
          <w:szCs w:val="30"/>
          <w:highlight w:val="none"/>
        </w:rPr>
        <w:t>4季度价格水平，采用工程类比法拟定有关基础资料价格。</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（二）建筑工程</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根据工程方案、工程主要特征参数，类比已建和在建的同类工程，结合</w:t>
      </w:r>
      <w:r>
        <w:rPr>
          <w:rFonts w:hint="eastAsia"/>
          <w:color w:val="auto"/>
          <w:sz w:val="30"/>
          <w:szCs w:val="30"/>
          <w:highlight w:val="none"/>
          <w:lang w:val="en-US" w:eastAsia="zh-CN"/>
        </w:rPr>
        <w:t>规划</w:t>
      </w:r>
      <w:r>
        <w:rPr>
          <w:color w:val="auto"/>
          <w:sz w:val="30"/>
          <w:szCs w:val="30"/>
          <w:highlight w:val="none"/>
        </w:rPr>
        <w:t>工程建设条件按工程量乘综合指标计算投资。</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（三）施工临时工程</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施工临时工程根据</w:t>
      </w:r>
      <w:r>
        <w:rPr>
          <w:rFonts w:hint="eastAsia"/>
          <w:color w:val="auto"/>
          <w:sz w:val="30"/>
          <w:szCs w:val="30"/>
          <w:highlight w:val="none"/>
          <w:lang w:val="en-US" w:eastAsia="zh-CN"/>
        </w:rPr>
        <w:t>规划</w:t>
      </w:r>
      <w:r>
        <w:rPr>
          <w:color w:val="auto"/>
          <w:sz w:val="30"/>
          <w:szCs w:val="30"/>
          <w:highlight w:val="none"/>
        </w:rPr>
        <w:t>的工程方案、</w:t>
      </w:r>
      <w:r>
        <w:rPr>
          <w:rFonts w:hint="eastAsia"/>
          <w:color w:val="auto"/>
          <w:sz w:val="30"/>
          <w:szCs w:val="30"/>
          <w:highlight w:val="none"/>
          <w:lang w:val="en-US" w:eastAsia="zh-CN"/>
        </w:rPr>
        <w:t>工程</w:t>
      </w:r>
      <w:r>
        <w:rPr>
          <w:color w:val="auto"/>
          <w:sz w:val="30"/>
          <w:szCs w:val="30"/>
          <w:highlight w:val="none"/>
        </w:rPr>
        <w:t>主要特征参数，结合</w:t>
      </w:r>
      <w:r>
        <w:rPr>
          <w:rFonts w:hint="eastAsia"/>
          <w:color w:val="auto"/>
          <w:sz w:val="30"/>
          <w:szCs w:val="30"/>
          <w:highlight w:val="none"/>
          <w:lang w:val="en-US" w:eastAsia="zh-CN"/>
        </w:rPr>
        <w:t>规划</w:t>
      </w:r>
      <w:r>
        <w:rPr>
          <w:color w:val="auto"/>
          <w:sz w:val="30"/>
          <w:szCs w:val="30"/>
          <w:highlight w:val="none"/>
        </w:rPr>
        <w:t>工程建设条件按</w:t>
      </w:r>
      <w:r>
        <w:rPr>
          <w:rFonts w:hint="eastAsia"/>
          <w:color w:val="auto"/>
          <w:sz w:val="30"/>
          <w:szCs w:val="30"/>
          <w:highlight w:val="none"/>
          <w:lang w:eastAsia="zh-CN"/>
        </w:rPr>
        <w:t>“</w:t>
      </w:r>
      <w:r>
        <w:rPr>
          <w:color w:val="auto"/>
          <w:sz w:val="30"/>
          <w:szCs w:val="30"/>
          <w:highlight w:val="none"/>
        </w:rPr>
        <w:t>编制</w:t>
      </w:r>
      <w:r>
        <w:rPr>
          <w:rFonts w:hint="eastAsia"/>
          <w:color w:val="auto"/>
          <w:sz w:val="30"/>
          <w:szCs w:val="30"/>
          <w:highlight w:val="none"/>
          <w:lang w:val="en-US" w:eastAsia="zh-CN"/>
        </w:rPr>
        <w:t>规定</w:t>
      </w:r>
      <w:r>
        <w:rPr>
          <w:rFonts w:hint="eastAsia"/>
          <w:color w:val="auto"/>
          <w:sz w:val="30"/>
          <w:szCs w:val="30"/>
          <w:highlight w:val="none"/>
          <w:lang w:eastAsia="zh-CN"/>
        </w:rPr>
        <w:t>”</w:t>
      </w:r>
      <w:r>
        <w:rPr>
          <w:rFonts w:hint="eastAsia"/>
          <w:color w:val="auto"/>
          <w:sz w:val="30"/>
          <w:szCs w:val="30"/>
          <w:highlight w:val="none"/>
          <w:lang w:val="en-US" w:eastAsia="zh-CN"/>
        </w:rPr>
        <w:t>要求</w:t>
      </w:r>
      <w:r>
        <w:rPr>
          <w:color w:val="auto"/>
          <w:sz w:val="30"/>
          <w:szCs w:val="30"/>
          <w:highlight w:val="none"/>
        </w:rPr>
        <w:t>，按建筑工程投资的12%计列。</w:t>
      </w:r>
    </w:p>
    <w:p>
      <w:pPr>
        <w:pStyle w:val="154"/>
        <w:ind w:firstLine="578"/>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（四）独立费用</w:t>
      </w:r>
    </w:p>
    <w:p>
      <w:pPr>
        <w:pStyle w:val="154"/>
        <w:ind w:firstLine="578"/>
        <w:rPr>
          <w:color w:val="auto"/>
          <w:sz w:val="30"/>
          <w:szCs w:val="30"/>
          <w:highlight w:val="none"/>
        </w:rPr>
      </w:pPr>
      <w:r>
        <w:rPr>
          <w:color w:val="auto"/>
          <w:sz w:val="30"/>
          <w:szCs w:val="30"/>
          <w:highlight w:val="none"/>
        </w:rPr>
        <w:t>结合</w:t>
      </w:r>
      <w:r>
        <w:rPr>
          <w:rFonts w:hint="eastAsia"/>
          <w:color w:val="auto"/>
          <w:sz w:val="30"/>
          <w:szCs w:val="30"/>
          <w:highlight w:val="none"/>
          <w:lang w:val="en-US" w:eastAsia="zh-CN"/>
        </w:rPr>
        <w:t>规划</w:t>
      </w:r>
      <w:r>
        <w:rPr>
          <w:color w:val="auto"/>
          <w:sz w:val="30"/>
          <w:szCs w:val="30"/>
          <w:highlight w:val="none"/>
        </w:rPr>
        <w:t>工程的类型、规模、技术难度、建设条件，按照</w:t>
      </w:r>
      <w:r>
        <w:rPr>
          <w:rFonts w:hint="eastAsia"/>
          <w:color w:val="auto"/>
          <w:sz w:val="30"/>
          <w:szCs w:val="30"/>
          <w:highlight w:val="none"/>
          <w:lang w:eastAsia="zh-CN"/>
        </w:rPr>
        <w:t>“</w:t>
      </w:r>
      <w:r>
        <w:rPr>
          <w:color w:val="auto"/>
          <w:sz w:val="30"/>
          <w:szCs w:val="30"/>
          <w:highlight w:val="none"/>
        </w:rPr>
        <w:t>编制规定</w:t>
      </w:r>
      <w:r>
        <w:rPr>
          <w:rFonts w:hint="eastAsia"/>
          <w:color w:val="auto"/>
          <w:sz w:val="30"/>
          <w:szCs w:val="30"/>
          <w:highlight w:val="none"/>
          <w:lang w:eastAsia="zh-CN"/>
        </w:rPr>
        <w:t>”</w:t>
      </w:r>
      <w:r>
        <w:rPr>
          <w:color w:val="auto"/>
          <w:sz w:val="30"/>
          <w:szCs w:val="30"/>
          <w:highlight w:val="none"/>
        </w:rPr>
        <w:t>要求，按建筑工程投资的12%计列。</w:t>
      </w:r>
    </w:p>
    <w:p>
      <w:pPr>
        <w:pStyle w:val="154"/>
        <w:ind w:firstLine="578"/>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（五）基本预备费</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按</w:t>
      </w:r>
      <w:r>
        <w:rPr>
          <w:rFonts w:hint="eastAsia"/>
          <w:color w:val="auto"/>
          <w:sz w:val="30"/>
          <w:szCs w:val="30"/>
          <w:highlight w:val="none"/>
          <w:lang w:val="en-US" w:eastAsia="zh-CN"/>
        </w:rPr>
        <w:t>第</w:t>
      </w:r>
      <w:r>
        <w:rPr>
          <w:color w:val="auto"/>
          <w:sz w:val="30"/>
          <w:szCs w:val="30"/>
          <w:highlight w:val="none"/>
        </w:rPr>
        <w:t>一至五部分投资</w:t>
      </w:r>
      <w:r>
        <w:rPr>
          <w:rFonts w:hint="eastAsia"/>
          <w:color w:val="auto"/>
          <w:sz w:val="30"/>
          <w:szCs w:val="30"/>
          <w:highlight w:val="none"/>
          <w:lang w:eastAsia="zh-CN"/>
        </w:rPr>
        <w:t>的</w:t>
      </w:r>
      <w:r>
        <w:rPr>
          <w:color w:val="auto"/>
          <w:sz w:val="30"/>
          <w:szCs w:val="30"/>
          <w:highlight w:val="none"/>
        </w:rPr>
        <w:t>15%计列。</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color w:val="auto"/>
          <w:highlight w:val="none"/>
        </w:rPr>
      </w:pPr>
      <w:bookmarkStart w:id="142" w:name="_Toc124757370"/>
      <w:r>
        <w:rPr>
          <w:b w:val="0"/>
          <w:bCs w:val="0"/>
          <w:color w:val="auto"/>
          <w:highlight w:val="none"/>
        </w:rPr>
        <w:t xml:space="preserve">第二节  </w:t>
      </w:r>
      <w:bookmarkStart w:id="143" w:name="_Hlk121075962"/>
      <w:r>
        <w:rPr>
          <w:b w:val="0"/>
          <w:bCs w:val="0"/>
          <w:color w:val="auto"/>
          <w:highlight w:val="none"/>
        </w:rPr>
        <w:t>投资匡算成果</w:t>
      </w:r>
      <w:bookmarkEnd w:id="142"/>
      <w:bookmarkEnd w:id="143"/>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sectPr>
          <w:headerReference r:id="rId26" w:type="first"/>
          <w:footerReference r:id="rId28" w:type="first"/>
          <w:headerReference r:id="rId24" w:type="default"/>
          <w:headerReference r:id="rId25" w:type="even"/>
          <w:footerReference r:id="rId27" w:type="even"/>
          <w:pgSz w:w="11906" w:h="16838"/>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26" w:charSpace="-3871"/>
        </w:sectPr>
      </w:pPr>
      <w:bookmarkStart w:id="144" w:name="_Hlk122073035"/>
      <w:r>
        <w:rPr>
          <w:color w:val="auto"/>
          <w:sz w:val="30"/>
          <w:szCs w:val="30"/>
          <w:highlight w:val="none"/>
        </w:rPr>
        <w:t>沱江流域防洪规划项目匡算总投资87</w:t>
      </w:r>
      <w:r>
        <w:rPr>
          <w:rFonts w:hint="eastAsia"/>
          <w:color w:val="auto"/>
          <w:sz w:val="30"/>
          <w:szCs w:val="30"/>
          <w:highlight w:val="none"/>
          <w:lang w:val="en-US" w:eastAsia="zh-CN"/>
        </w:rPr>
        <w:t>3</w:t>
      </w:r>
      <w:r>
        <w:rPr>
          <w:color w:val="auto"/>
          <w:sz w:val="30"/>
          <w:szCs w:val="30"/>
          <w:highlight w:val="none"/>
        </w:rPr>
        <w:t>亿元，其中工程部分投资</w:t>
      </w:r>
      <w:bookmarkStart w:id="145" w:name="_Hlk121664514"/>
      <w:r>
        <w:rPr>
          <w:color w:val="auto"/>
          <w:sz w:val="30"/>
          <w:szCs w:val="30"/>
          <w:highlight w:val="none"/>
        </w:rPr>
        <w:t>61</w:t>
      </w:r>
      <w:r>
        <w:rPr>
          <w:rFonts w:hint="eastAsia"/>
          <w:color w:val="auto"/>
          <w:sz w:val="30"/>
          <w:szCs w:val="30"/>
          <w:highlight w:val="none"/>
          <w:lang w:val="en-US" w:eastAsia="zh-CN"/>
        </w:rPr>
        <w:t>6</w:t>
      </w:r>
      <w:r>
        <w:rPr>
          <w:color w:val="auto"/>
          <w:sz w:val="30"/>
          <w:szCs w:val="30"/>
          <w:highlight w:val="none"/>
        </w:rPr>
        <w:t>亿元，</w:t>
      </w:r>
      <w:bookmarkEnd w:id="145"/>
      <w:r>
        <w:rPr>
          <w:rFonts w:eastAsia="仿宋_GB2312"/>
          <w:color w:val="auto"/>
          <w:kern w:val="2"/>
          <w:sz w:val="30"/>
          <w:szCs w:val="30"/>
          <w:highlight w:val="none"/>
        </w:rPr>
        <w:t>建设征地移民安置投资</w:t>
      </w:r>
      <w:r>
        <w:rPr>
          <w:color w:val="auto"/>
          <w:sz w:val="30"/>
          <w:szCs w:val="30"/>
          <w:highlight w:val="none"/>
        </w:rPr>
        <w:t>244亿元，环境保护</w:t>
      </w:r>
      <w:r>
        <w:rPr>
          <w:rFonts w:hint="eastAsia"/>
          <w:color w:val="auto"/>
          <w:sz w:val="30"/>
          <w:szCs w:val="30"/>
          <w:highlight w:val="none"/>
          <w:lang w:val="en-US" w:eastAsia="zh-CN"/>
        </w:rPr>
        <w:t>工程</w:t>
      </w:r>
      <w:r>
        <w:rPr>
          <w:color w:val="auto"/>
          <w:sz w:val="30"/>
          <w:szCs w:val="30"/>
          <w:highlight w:val="none"/>
        </w:rPr>
        <w:t>投资</w:t>
      </w:r>
      <w:r>
        <w:rPr>
          <w:rFonts w:hint="eastAsia"/>
          <w:color w:val="auto"/>
          <w:sz w:val="30"/>
          <w:szCs w:val="30"/>
          <w:highlight w:val="none"/>
          <w:lang w:val="en-US" w:eastAsia="zh-CN"/>
        </w:rPr>
        <w:t>4</w:t>
      </w:r>
      <w:r>
        <w:rPr>
          <w:color w:val="auto"/>
          <w:sz w:val="30"/>
          <w:szCs w:val="30"/>
          <w:highlight w:val="none"/>
        </w:rPr>
        <w:t>亿元，水土保持</w:t>
      </w:r>
      <w:r>
        <w:rPr>
          <w:rFonts w:hint="eastAsia"/>
          <w:color w:val="auto"/>
          <w:sz w:val="30"/>
          <w:szCs w:val="30"/>
          <w:highlight w:val="none"/>
          <w:lang w:val="en-US" w:eastAsia="zh-CN"/>
        </w:rPr>
        <w:t>工程</w:t>
      </w:r>
      <w:r>
        <w:rPr>
          <w:color w:val="auto"/>
          <w:sz w:val="30"/>
          <w:szCs w:val="30"/>
          <w:highlight w:val="none"/>
        </w:rPr>
        <w:t>投资9亿元。规划总投资中，按工程类别分，新建水库</w:t>
      </w:r>
      <w:r>
        <w:rPr>
          <w:rFonts w:hint="eastAsia"/>
          <w:color w:val="auto"/>
          <w:sz w:val="30"/>
          <w:szCs w:val="30"/>
          <w:highlight w:val="none"/>
          <w:lang w:val="en-US" w:eastAsia="zh-CN"/>
        </w:rPr>
        <w:t>工程</w:t>
      </w:r>
      <w:r>
        <w:rPr>
          <w:color w:val="auto"/>
          <w:sz w:val="30"/>
          <w:szCs w:val="30"/>
          <w:highlight w:val="none"/>
        </w:rPr>
        <w:t>（</w:t>
      </w:r>
      <w:r>
        <w:rPr>
          <w:rFonts w:hint="eastAsia"/>
          <w:color w:val="auto"/>
          <w:sz w:val="30"/>
          <w:szCs w:val="30"/>
          <w:highlight w:val="none"/>
          <w:lang w:val="en-US" w:eastAsia="zh-CN"/>
        </w:rPr>
        <w:t>含</w:t>
      </w:r>
      <w:r>
        <w:rPr>
          <w:color w:val="auto"/>
          <w:sz w:val="30"/>
          <w:szCs w:val="30"/>
          <w:highlight w:val="none"/>
        </w:rPr>
        <w:t>分蓄滞洪工程）37</w:t>
      </w:r>
      <w:r>
        <w:rPr>
          <w:rFonts w:hint="eastAsia"/>
          <w:color w:val="auto"/>
          <w:sz w:val="30"/>
          <w:szCs w:val="30"/>
          <w:highlight w:val="none"/>
          <w:lang w:val="en-US" w:eastAsia="zh-CN"/>
        </w:rPr>
        <w:t>2</w:t>
      </w:r>
      <w:r>
        <w:rPr>
          <w:color w:val="auto"/>
          <w:sz w:val="30"/>
          <w:szCs w:val="30"/>
          <w:highlight w:val="none"/>
        </w:rPr>
        <w:t>亿元，堤防护岸工程265亿元，河道整治</w:t>
      </w:r>
      <w:r>
        <w:rPr>
          <w:rFonts w:hint="eastAsia"/>
          <w:color w:val="auto"/>
          <w:sz w:val="30"/>
          <w:szCs w:val="30"/>
          <w:highlight w:val="none"/>
          <w:lang w:val="en-US" w:eastAsia="zh-CN"/>
        </w:rPr>
        <w:t>工程</w:t>
      </w:r>
      <w:r>
        <w:rPr>
          <w:color w:val="auto"/>
          <w:sz w:val="30"/>
          <w:szCs w:val="30"/>
          <w:highlight w:val="none"/>
        </w:rPr>
        <w:t>15</w:t>
      </w:r>
      <w:r>
        <w:rPr>
          <w:rFonts w:hint="eastAsia"/>
          <w:color w:val="auto"/>
          <w:sz w:val="30"/>
          <w:szCs w:val="30"/>
          <w:highlight w:val="none"/>
          <w:lang w:val="en-US" w:eastAsia="zh-CN"/>
        </w:rPr>
        <w:t>7</w:t>
      </w:r>
      <w:r>
        <w:rPr>
          <w:color w:val="auto"/>
          <w:sz w:val="30"/>
          <w:szCs w:val="30"/>
          <w:highlight w:val="none"/>
        </w:rPr>
        <w:t>亿元，山洪灾害防治</w:t>
      </w:r>
      <w:r>
        <w:rPr>
          <w:rFonts w:hint="eastAsia"/>
          <w:color w:val="auto"/>
          <w:sz w:val="30"/>
          <w:szCs w:val="30"/>
          <w:highlight w:val="none"/>
          <w:lang w:val="en-US" w:eastAsia="zh-CN"/>
        </w:rPr>
        <w:t>工程</w:t>
      </w:r>
      <w:r>
        <w:rPr>
          <w:color w:val="auto"/>
          <w:sz w:val="30"/>
          <w:szCs w:val="30"/>
          <w:highlight w:val="none"/>
        </w:rPr>
        <w:t>41亿元，排涝工程1</w:t>
      </w:r>
      <w:r>
        <w:rPr>
          <w:rFonts w:hint="eastAsia"/>
          <w:color w:val="auto"/>
          <w:sz w:val="30"/>
          <w:szCs w:val="30"/>
          <w:highlight w:val="none"/>
          <w:lang w:val="en-US" w:eastAsia="zh-CN"/>
        </w:rPr>
        <w:t>1</w:t>
      </w:r>
      <w:r>
        <w:rPr>
          <w:color w:val="auto"/>
          <w:sz w:val="30"/>
          <w:szCs w:val="30"/>
          <w:highlight w:val="none"/>
        </w:rPr>
        <w:t>亿元，除险加固工程9亿元，河道清淤疏浚</w:t>
      </w:r>
      <w:r>
        <w:rPr>
          <w:rFonts w:hint="eastAsia"/>
          <w:color w:val="auto"/>
          <w:sz w:val="30"/>
          <w:szCs w:val="30"/>
          <w:highlight w:val="none"/>
          <w:lang w:val="en-US" w:eastAsia="zh-CN"/>
        </w:rPr>
        <w:t>工程</w:t>
      </w:r>
      <w:r>
        <w:rPr>
          <w:color w:val="auto"/>
          <w:sz w:val="30"/>
          <w:szCs w:val="30"/>
          <w:highlight w:val="none"/>
        </w:rPr>
        <w:t>10亿元，闸坝工程</w:t>
      </w:r>
      <w:r>
        <w:rPr>
          <w:rFonts w:hint="eastAsia"/>
          <w:color w:val="auto"/>
          <w:sz w:val="30"/>
          <w:szCs w:val="30"/>
          <w:highlight w:val="none"/>
          <w:lang w:val="en-US" w:eastAsia="zh-CN"/>
        </w:rPr>
        <w:t>1</w:t>
      </w:r>
      <w:r>
        <w:rPr>
          <w:color w:val="auto"/>
          <w:sz w:val="30"/>
          <w:szCs w:val="30"/>
          <w:highlight w:val="none"/>
        </w:rPr>
        <w:t>亿元，环保水保</w:t>
      </w:r>
      <w:r>
        <w:rPr>
          <w:rFonts w:hint="eastAsia"/>
          <w:color w:val="auto"/>
          <w:sz w:val="30"/>
          <w:szCs w:val="30"/>
          <w:highlight w:val="none"/>
          <w:lang w:val="en-US" w:eastAsia="zh-CN"/>
        </w:rPr>
        <w:t>工程</w:t>
      </w:r>
      <w:r>
        <w:rPr>
          <w:color w:val="auto"/>
          <w:sz w:val="30"/>
          <w:szCs w:val="30"/>
          <w:highlight w:val="none"/>
        </w:rPr>
        <w:t>3.7亿元，防洪非工程措施3.</w:t>
      </w:r>
      <w:r>
        <w:rPr>
          <w:rFonts w:hint="eastAsia"/>
          <w:color w:val="auto"/>
          <w:sz w:val="30"/>
          <w:szCs w:val="30"/>
          <w:highlight w:val="none"/>
          <w:lang w:val="en-US" w:eastAsia="zh-CN"/>
        </w:rPr>
        <w:t>3</w:t>
      </w:r>
      <w:r>
        <w:rPr>
          <w:color w:val="auto"/>
          <w:sz w:val="30"/>
          <w:szCs w:val="30"/>
          <w:highlight w:val="none"/>
        </w:rPr>
        <w:t>亿元。规划水平年2035年项目匡算总投资513亿元</w:t>
      </w:r>
      <w:bookmarkEnd w:id="144"/>
      <w:r>
        <w:rPr>
          <w:color w:val="auto"/>
          <w:sz w:val="30"/>
          <w:szCs w:val="30"/>
          <w:highlight w:val="none"/>
        </w:rPr>
        <w:t>。</w:t>
      </w:r>
    </w:p>
    <w:p>
      <w:pPr>
        <w:pStyle w:val="3"/>
        <w:keepNext/>
        <w:keepLines/>
        <w:pageBreakBefore w:val="0"/>
        <w:widowControl w:val="0"/>
        <w:kinsoku/>
        <w:wordWrap/>
        <w:overflowPunct/>
        <w:topLinePunct w:val="0"/>
        <w:autoSpaceDE/>
        <w:autoSpaceDN/>
        <w:bidi w:val="0"/>
        <w:adjustRightInd/>
        <w:snapToGrid/>
        <w:spacing w:line="540" w:lineRule="exact"/>
        <w:jc w:val="center"/>
        <w:textAlignment w:val="auto"/>
        <w:rPr>
          <w:rFonts w:hint="eastAsia" w:ascii="黑体" w:hAnsi="黑体" w:eastAsia="黑体" w:cs="黑体"/>
          <w:b w:val="0"/>
          <w:bCs w:val="0"/>
          <w:color w:val="auto"/>
          <w:highlight w:val="none"/>
        </w:rPr>
      </w:pPr>
      <w:bookmarkStart w:id="146" w:name="_Toc124757371"/>
    </w:p>
    <w:p>
      <w:pPr>
        <w:pStyle w:val="3"/>
        <w:keepNext/>
        <w:keepLines/>
        <w:pageBreakBefore w:val="0"/>
        <w:widowControl w:val="0"/>
        <w:kinsoku/>
        <w:wordWrap/>
        <w:overflowPunct/>
        <w:topLinePunct w:val="0"/>
        <w:autoSpaceDE/>
        <w:autoSpaceDN/>
        <w:bidi w:val="0"/>
        <w:adjustRightInd/>
        <w:snapToGrid/>
        <w:spacing w:line="540" w:lineRule="exact"/>
        <w:jc w:val="center"/>
        <w:textAlignment w:val="auto"/>
        <w:rPr>
          <w:rFonts w:hint="eastAsia" w:ascii="黑体" w:hAnsi="黑体" w:eastAsia="黑体" w:cs="黑体"/>
          <w:b w:val="0"/>
          <w:bCs w:val="0"/>
          <w:color w:val="auto"/>
          <w:highlight w:val="none"/>
          <w:lang w:val="en-US" w:eastAsia="zh-CN"/>
        </w:rPr>
      </w:pPr>
      <w:r>
        <w:rPr>
          <w:rFonts w:hint="eastAsia" w:ascii="黑体" w:hAnsi="黑体" w:eastAsia="黑体" w:cs="黑体"/>
          <w:b w:val="0"/>
          <w:bCs w:val="0"/>
          <w:color w:val="auto"/>
          <w:highlight w:val="none"/>
        </w:rPr>
        <w:t xml:space="preserve">第十二章  </w:t>
      </w:r>
      <w:bookmarkStart w:id="147" w:name="_Hlk120955653"/>
      <w:r>
        <w:rPr>
          <w:rFonts w:hint="eastAsia" w:ascii="黑体" w:hAnsi="黑体" w:eastAsia="黑体" w:cs="黑体"/>
          <w:b w:val="0"/>
          <w:bCs w:val="0"/>
          <w:color w:val="auto"/>
          <w:highlight w:val="none"/>
        </w:rPr>
        <w:t>实施意见</w:t>
      </w:r>
      <w:bookmarkEnd w:id="147"/>
      <w:r>
        <w:rPr>
          <w:rFonts w:hint="eastAsia" w:ascii="黑体" w:hAnsi="黑体" w:eastAsia="黑体" w:cs="黑体"/>
          <w:b w:val="0"/>
          <w:bCs w:val="0"/>
          <w:color w:val="auto"/>
          <w:highlight w:val="none"/>
        </w:rPr>
        <w:t>和</w:t>
      </w:r>
      <w:bookmarkStart w:id="148" w:name="_Hlk120955672"/>
      <w:r>
        <w:rPr>
          <w:rFonts w:hint="eastAsia" w:ascii="黑体" w:hAnsi="黑体" w:eastAsia="黑体" w:cs="黑体"/>
          <w:b w:val="0"/>
          <w:bCs w:val="0"/>
          <w:color w:val="auto"/>
          <w:highlight w:val="none"/>
        </w:rPr>
        <w:t>实施效果</w:t>
      </w:r>
      <w:bookmarkEnd w:id="146"/>
      <w:bookmarkEnd w:id="148"/>
      <w:r>
        <w:rPr>
          <w:rFonts w:hint="eastAsia" w:ascii="黑体" w:hAnsi="黑体" w:eastAsia="黑体" w:cs="黑体"/>
          <w:b w:val="0"/>
          <w:bCs w:val="0"/>
          <w:color w:val="auto"/>
          <w:highlight w:val="none"/>
          <w:lang w:val="en-US" w:eastAsia="zh-CN"/>
        </w:rPr>
        <w:t>评价</w:t>
      </w:r>
    </w:p>
    <w:p>
      <w:pPr>
        <w:pStyle w:val="4"/>
        <w:keepNext/>
        <w:keepLines/>
        <w:pageBreakBefore w:val="0"/>
        <w:widowControl w:val="0"/>
        <w:kinsoku/>
        <w:wordWrap/>
        <w:overflowPunct/>
        <w:topLinePunct w:val="0"/>
        <w:autoSpaceDE/>
        <w:autoSpaceDN/>
        <w:bidi w:val="0"/>
        <w:adjustRightInd/>
        <w:snapToGrid/>
        <w:spacing w:line="540" w:lineRule="exact"/>
        <w:textAlignment w:val="auto"/>
        <w:rPr>
          <w:b w:val="0"/>
          <w:bCs w:val="0"/>
          <w:color w:val="auto"/>
          <w:highlight w:val="none"/>
        </w:rPr>
      </w:pPr>
      <w:bookmarkStart w:id="149" w:name="_Toc124757372"/>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rFonts w:hint="eastAsia" w:ascii="楷体_GB2312" w:hAnsi="楷体_GB2312" w:eastAsia="楷体_GB2312" w:cs="楷体_GB2312"/>
          <w:b w:val="0"/>
          <w:bCs w:val="0"/>
          <w:color w:val="auto"/>
          <w:highlight w:val="none"/>
        </w:rPr>
      </w:pPr>
      <w:r>
        <w:rPr>
          <w:rFonts w:hint="eastAsia" w:ascii="楷体_GB2312" w:hAnsi="楷体_GB2312" w:eastAsia="楷体_GB2312" w:cs="楷体_GB2312"/>
          <w:b w:val="0"/>
          <w:bCs w:val="0"/>
          <w:color w:val="auto"/>
          <w:highlight w:val="none"/>
        </w:rPr>
        <w:t>第一节  实施意见</w:t>
      </w:r>
      <w:bookmarkEnd w:id="149"/>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一、分期原则</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b w:val="0"/>
          <w:bCs w:val="0"/>
          <w:color w:val="auto"/>
          <w:sz w:val="30"/>
          <w:szCs w:val="30"/>
          <w:highlight w:val="none"/>
        </w:rPr>
      </w:pPr>
      <w:r>
        <w:rPr>
          <w:rFonts w:hint="eastAsia" w:ascii="楷体_GB2312" w:hAnsi="楷体_GB2312" w:eastAsia="楷体_GB2312" w:cs="楷体_GB2312"/>
          <w:b w:val="0"/>
          <w:bCs w:val="0"/>
          <w:color w:val="auto"/>
          <w:sz w:val="30"/>
          <w:szCs w:val="30"/>
          <w:highlight w:val="none"/>
        </w:rPr>
        <w:t>（一）轻重缓急、因地制宜、突出重点</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b w:val="0"/>
          <w:bCs w:val="0"/>
          <w:color w:val="auto"/>
          <w:sz w:val="30"/>
          <w:szCs w:val="30"/>
          <w:highlight w:val="none"/>
        </w:rPr>
        <w:t>根据流域保护对象重要性和规划防洪工程的防洪效果，优先实施</w:t>
      </w:r>
      <w:r>
        <w:rPr>
          <w:rFonts w:hint="eastAsia"/>
          <w:color w:val="auto"/>
          <w:sz w:val="30"/>
          <w:szCs w:val="30"/>
          <w:highlight w:val="none"/>
        </w:rPr>
        <w:t>对重点城市及重要经济区域有较大防洪作用的重点工程。</w:t>
      </w:r>
    </w:p>
    <w:p>
      <w:pPr>
        <w:pStyle w:val="154"/>
        <w:keepNext w:val="0"/>
        <w:keepLines w:val="0"/>
        <w:pageBreakBefore w:val="0"/>
        <w:widowControl w:val="0"/>
        <w:numPr>
          <w:ilvl w:val="0"/>
          <w:numId w:val="8"/>
        </w:numPr>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注重实效、远近结合、分步实施</w:t>
      </w:r>
    </w:p>
    <w:p>
      <w:pPr>
        <w:pStyle w:val="154"/>
        <w:keepNext w:val="0"/>
        <w:keepLines w:val="0"/>
        <w:pageBreakBefore w:val="0"/>
        <w:widowControl w:val="0"/>
        <w:numPr>
          <w:ilvl w:val="0"/>
          <w:numId w:val="0"/>
        </w:numPr>
        <w:kinsoku/>
        <w:wordWrap/>
        <w:overflowPunct/>
        <w:topLinePunct w:val="0"/>
        <w:autoSpaceDE/>
        <w:autoSpaceDN/>
        <w:bidi w:val="0"/>
        <w:adjustRightInd/>
        <w:snapToGrid/>
        <w:ind w:firstLine="580" w:firstLineChars="200"/>
        <w:textAlignment w:val="auto"/>
        <w:rPr>
          <w:color w:val="auto"/>
          <w:sz w:val="30"/>
          <w:szCs w:val="30"/>
          <w:highlight w:val="none"/>
        </w:rPr>
      </w:pPr>
      <w:r>
        <w:rPr>
          <w:rFonts w:hint="eastAsia"/>
          <w:color w:val="auto"/>
          <w:sz w:val="30"/>
          <w:szCs w:val="30"/>
          <w:highlight w:val="none"/>
        </w:rPr>
        <w:t>根据工程效果及投资规模，优先选择综合利用效益显著、技术经济指</w:t>
      </w:r>
      <w:r>
        <w:rPr>
          <w:rFonts w:hint="eastAsia"/>
          <w:color w:val="auto"/>
          <w:sz w:val="30"/>
          <w:szCs w:val="30"/>
          <w:highlight w:val="none"/>
          <w:lang w:val="en-US" w:eastAsia="zh-CN"/>
        </w:rPr>
        <w:t>标</w:t>
      </w:r>
      <w:r>
        <w:rPr>
          <w:rFonts w:hint="eastAsia"/>
          <w:color w:val="auto"/>
          <w:sz w:val="30"/>
          <w:szCs w:val="30"/>
          <w:highlight w:val="none"/>
        </w:rPr>
        <w:t>好的工程；同时考虑保护对象经济社会发展水平，让有限资金发挥最大的效益，分步适时安排工程建设，使保护对象的防洪能力与流域防洪工程体系的总体布局及本身的经济社会发展水平相适应。</w:t>
      </w:r>
    </w:p>
    <w:p>
      <w:pPr>
        <w:pStyle w:val="154"/>
        <w:keepNext w:val="0"/>
        <w:keepLines w:val="0"/>
        <w:pageBreakBefore w:val="0"/>
        <w:widowControl w:val="0"/>
        <w:numPr>
          <w:ilvl w:val="0"/>
          <w:numId w:val="8"/>
        </w:numPr>
        <w:kinsoku/>
        <w:wordWrap/>
        <w:overflowPunct/>
        <w:topLinePunct w:val="0"/>
        <w:autoSpaceDE/>
        <w:autoSpaceDN/>
        <w:bidi w:val="0"/>
        <w:adjustRightInd/>
        <w:snapToGrid/>
        <w:ind w:left="0" w:leftChars="0" w:firstLine="580" w:firstLineChars="200"/>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与相关规划合理衔接并考虑地方建设积极性</w:t>
      </w:r>
    </w:p>
    <w:p>
      <w:pPr>
        <w:pStyle w:val="154"/>
        <w:numPr>
          <w:ilvl w:val="0"/>
          <w:numId w:val="0"/>
        </w:numPr>
        <w:ind w:firstLine="580" w:firstLineChars="200"/>
        <w:rPr>
          <w:rFonts w:hint="eastAsia"/>
          <w:color w:val="auto"/>
          <w:sz w:val="30"/>
          <w:szCs w:val="30"/>
          <w:highlight w:val="none"/>
        </w:rPr>
      </w:pPr>
      <w:r>
        <w:rPr>
          <w:rFonts w:hint="eastAsia"/>
          <w:color w:val="auto"/>
          <w:sz w:val="30"/>
          <w:szCs w:val="30"/>
          <w:highlight w:val="none"/>
        </w:rPr>
        <w:t>本次规划部分工程项目，</w:t>
      </w:r>
      <w:r>
        <w:rPr>
          <w:rFonts w:hint="eastAsia"/>
          <w:color w:val="auto"/>
          <w:sz w:val="30"/>
          <w:szCs w:val="30"/>
          <w:highlight w:val="none"/>
          <w:lang w:val="en-US" w:eastAsia="zh-CN"/>
        </w:rPr>
        <w:t>已纳入</w:t>
      </w:r>
      <w:r>
        <w:rPr>
          <w:rFonts w:hint="eastAsia"/>
          <w:color w:val="auto"/>
          <w:sz w:val="30"/>
          <w:szCs w:val="30"/>
          <w:highlight w:val="none"/>
        </w:rPr>
        <w:t>《</w:t>
      </w:r>
      <w:r>
        <w:rPr>
          <w:rFonts w:hint="eastAsia"/>
          <w:color w:val="auto"/>
          <w:sz w:val="30"/>
          <w:szCs w:val="30"/>
          <w:highlight w:val="none"/>
          <w:lang w:eastAsia="zh-CN"/>
        </w:rPr>
        <w:t>四川省</w:t>
      </w:r>
      <w:r>
        <w:rPr>
          <w:rFonts w:hint="eastAsia"/>
          <w:color w:val="auto"/>
          <w:sz w:val="30"/>
          <w:szCs w:val="30"/>
          <w:highlight w:val="none"/>
          <w:lang w:val="en-US" w:eastAsia="zh-CN"/>
        </w:rPr>
        <w:t>沱江流域综合规划</w:t>
      </w:r>
      <w:r>
        <w:rPr>
          <w:rFonts w:hint="eastAsia"/>
          <w:color w:val="auto"/>
          <w:sz w:val="30"/>
          <w:szCs w:val="30"/>
          <w:highlight w:val="none"/>
        </w:rPr>
        <w:t>》</w:t>
      </w:r>
      <w:r>
        <w:rPr>
          <w:rFonts w:hint="eastAsia"/>
          <w:color w:val="auto"/>
          <w:sz w:val="30"/>
          <w:szCs w:val="30"/>
          <w:highlight w:val="none"/>
          <w:lang w:eastAsia="zh-CN"/>
        </w:rPr>
        <w:t>，</w:t>
      </w:r>
      <w:r>
        <w:rPr>
          <w:rFonts w:hint="eastAsia"/>
          <w:color w:val="auto"/>
          <w:sz w:val="30"/>
          <w:szCs w:val="30"/>
          <w:highlight w:val="none"/>
          <w:lang w:val="en-US" w:eastAsia="zh-CN"/>
        </w:rPr>
        <w:t>全国</w:t>
      </w:r>
      <w:r>
        <w:rPr>
          <w:rFonts w:hint="eastAsia"/>
          <w:color w:val="auto"/>
          <w:sz w:val="30"/>
          <w:szCs w:val="30"/>
          <w:highlight w:val="none"/>
        </w:rPr>
        <w:t>《“十四五”解决水利防洪排涝薄弱环节实施方案》《四川省</w:t>
      </w:r>
      <w:r>
        <w:rPr>
          <w:rFonts w:hint="eastAsia"/>
          <w:color w:val="auto"/>
          <w:sz w:val="30"/>
          <w:szCs w:val="30"/>
          <w:highlight w:val="none"/>
          <w:lang w:eastAsia="zh-CN"/>
        </w:rPr>
        <w:t>“</w:t>
      </w:r>
      <w:r>
        <w:rPr>
          <w:rFonts w:hint="eastAsia"/>
          <w:color w:val="auto"/>
          <w:sz w:val="30"/>
          <w:szCs w:val="30"/>
          <w:highlight w:val="none"/>
          <w:lang w:val="en-US" w:eastAsia="zh-CN"/>
        </w:rPr>
        <w:t>十四五</w:t>
      </w:r>
      <w:r>
        <w:rPr>
          <w:rFonts w:hint="eastAsia"/>
          <w:color w:val="auto"/>
          <w:sz w:val="30"/>
          <w:szCs w:val="30"/>
          <w:highlight w:val="none"/>
          <w:lang w:eastAsia="zh-CN"/>
        </w:rPr>
        <w:t>”</w:t>
      </w:r>
      <w:r>
        <w:rPr>
          <w:rFonts w:hint="eastAsia"/>
          <w:color w:val="auto"/>
          <w:sz w:val="30"/>
          <w:szCs w:val="30"/>
          <w:highlight w:val="none"/>
          <w:lang w:val="en-US" w:eastAsia="zh-CN"/>
        </w:rPr>
        <w:t>水安全保障规划</w:t>
      </w:r>
      <w:r>
        <w:rPr>
          <w:rFonts w:hint="eastAsia"/>
          <w:color w:val="auto"/>
          <w:sz w:val="30"/>
          <w:szCs w:val="30"/>
          <w:highlight w:val="none"/>
        </w:rPr>
        <w:t>》等规划中</w:t>
      </w:r>
      <w:r>
        <w:rPr>
          <w:rFonts w:hint="eastAsia"/>
          <w:color w:val="auto"/>
          <w:sz w:val="30"/>
          <w:szCs w:val="30"/>
          <w:highlight w:val="none"/>
          <w:lang w:eastAsia="zh-CN"/>
        </w:rPr>
        <w:t>的</w:t>
      </w:r>
      <w:r>
        <w:rPr>
          <w:rFonts w:hint="eastAsia"/>
          <w:color w:val="auto"/>
          <w:sz w:val="30"/>
          <w:szCs w:val="30"/>
          <w:highlight w:val="none"/>
        </w:rPr>
        <w:t>，应优先安排实施。</w:t>
      </w:r>
    </w:p>
    <w:p>
      <w:pPr>
        <w:pStyle w:val="154"/>
        <w:keepNext w:val="0"/>
        <w:keepLines w:val="0"/>
        <w:pageBreakBefore w:val="0"/>
        <w:widowControl w:val="0"/>
        <w:numPr>
          <w:ilvl w:val="0"/>
          <w:numId w:val="0"/>
        </w:numPr>
        <w:kinsoku/>
        <w:wordWrap/>
        <w:overflowPunct/>
        <w:topLinePunct w:val="0"/>
        <w:autoSpaceDE/>
        <w:autoSpaceDN/>
        <w:bidi w:val="0"/>
        <w:adjustRightInd/>
        <w:snapToGrid/>
        <w:ind w:firstLine="580" w:firstLineChars="200"/>
        <w:textAlignment w:val="auto"/>
        <w:rPr>
          <w:rFonts w:hint="eastAsia"/>
          <w:color w:val="auto"/>
          <w:sz w:val="30"/>
          <w:szCs w:val="30"/>
          <w:highlight w:val="none"/>
        </w:rPr>
      </w:pPr>
      <w:r>
        <w:rPr>
          <w:rFonts w:hint="eastAsia"/>
          <w:color w:val="auto"/>
          <w:sz w:val="30"/>
          <w:szCs w:val="30"/>
          <w:highlight w:val="none"/>
        </w:rPr>
        <w:t>本次规划部分项目，地方已完成前期勘测设计的招投标工作，并开展了部分工作，建设积极性高，应在考虑防洪效果的基础上优先实施。</w:t>
      </w:r>
    </w:p>
    <w:p>
      <w:pPr>
        <w:pStyle w:val="154"/>
        <w:keepNext w:val="0"/>
        <w:keepLines w:val="0"/>
        <w:pageBreakBefore w:val="0"/>
        <w:widowControl w:val="0"/>
        <w:numPr>
          <w:ilvl w:val="0"/>
          <w:numId w:val="0"/>
        </w:numPr>
        <w:kinsoku/>
        <w:wordWrap/>
        <w:overflowPunct/>
        <w:topLinePunct w:val="0"/>
        <w:autoSpaceDE/>
        <w:autoSpaceDN/>
        <w:bidi w:val="0"/>
        <w:adjustRightInd/>
        <w:snapToGrid/>
        <w:ind w:firstLine="580" w:firstLineChars="200"/>
        <w:textAlignment w:val="auto"/>
        <w:rPr>
          <w:rFonts w:hint="default" w:eastAsia="仿宋_GB2312"/>
          <w:color w:val="auto"/>
          <w:sz w:val="30"/>
          <w:szCs w:val="30"/>
          <w:highlight w:val="none"/>
          <w:lang w:val="en-US" w:eastAsia="zh-CN"/>
        </w:rPr>
      </w:pPr>
      <w:r>
        <w:rPr>
          <w:rFonts w:hint="eastAsia"/>
          <w:color w:val="auto"/>
          <w:sz w:val="30"/>
          <w:szCs w:val="30"/>
          <w:highlight w:val="none"/>
          <w:lang w:val="en-US" w:eastAsia="zh-CN"/>
        </w:rPr>
        <w:t>按照上述原则，沱江流域防洪规划分近期实施和远景实施两个阶段。近期实施时段为</w:t>
      </w:r>
      <w:r>
        <w:rPr>
          <w:rStyle w:val="550"/>
          <w:rFonts w:hint="default" w:ascii="Times New Roman" w:hAnsi="Times New Roman" w:eastAsia="仿宋_GB2312" w:cs="Times New Roman"/>
          <w:color w:val="auto"/>
          <w:highlight w:val="none"/>
          <w:lang w:val="en-US" w:eastAsia="zh-CN"/>
        </w:rPr>
        <w:t>2020</w:t>
      </w:r>
      <w:r>
        <w:rPr>
          <w:rFonts w:hint="default" w:ascii="Times New Roman" w:hAnsi="Times New Roman" w:cs="Times New Roman"/>
          <w:color w:val="auto"/>
          <w:spacing w:val="4"/>
          <w:sz w:val="30"/>
          <w:szCs w:val="30"/>
          <w:highlight w:val="none"/>
        </w:rPr>
        <w:t>～</w:t>
      </w:r>
      <w:r>
        <w:rPr>
          <w:rStyle w:val="550"/>
          <w:rFonts w:hint="default" w:ascii="Times New Roman" w:hAnsi="Times New Roman" w:eastAsia="仿宋_GB2312" w:cs="Times New Roman"/>
          <w:color w:val="auto"/>
          <w:highlight w:val="none"/>
          <w:lang w:val="en-US" w:eastAsia="zh-CN"/>
        </w:rPr>
        <w:t>2035年</w:t>
      </w:r>
      <w:r>
        <w:rPr>
          <w:rStyle w:val="550"/>
          <w:rFonts w:hint="default" w:ascii="Times New Roman" w:hAnsi="Times New Roman" w:cs="Times New Roman"/>
          <w:color w:val="auto"/>
          <w:highlight w:val="none"/>
          <w:lang w:val="en-US" w:eastAsia="zh-CN"/>
        </w:rPr>
        <w:t>，远景实施时段为</w:t>
      </w:r>
      <w:r>
        <w:rPr>
          <w:rStyle w:val="550"/>
          <w:rFonts w:hint="default" w:ascii="Times New Roman" w:hAnsi="Times New Roman" w:eastAsia="仿宋_GB2312" w:cs="Times New Roman"/>
          <w:color w:val="auto"/>
          <w:highlight w:val="none"/>
          <w:lang w:val="en-US" w:eastAsia="zh-CN"/>
        </w:rPr>
        <w:t>20</w:t>
      </w:r>
      <w:r>
        <w:rPr>
          <w:rStyle w:val="550"/>
          <w:rFonts w:hint="default" w:ascii="Times New Roman" w:hAnsi="Times New Roman" w:cs="Times New Roman"/>
          <w:color w:val="auto"/>
          <w:highlight w:val="none"/>
          <w:lang w:val="en-US" w:eastAsia="zh-CN"/>
        </w:rPr>
        <w:t>36</w:t>
      </w:r>
      <w:r>
        <w:rPr>
          <w:rFonts w:hint="default" w:ascii="Times New Roman" w:hAnsi="Times New Roman" w:cs="Times New Roman"/>
          <w:color w:val="auto"/>
          <w:spacing w:val="4"/>
          <w:sz w:val="30"/>
          <w:szCs w:val="30"/>
          <w:highlight w:val="none"/>
        </w:rPr>
        <w:t>～</w:t>
      </w:r>
      <w:r>
        <w:rPr>
          <w:rStyle w:val="550"/>
          <w:rFonts w:hint="default" w:ascii="Times New Roman" w:hAnsi="Times New Roman" w:eastAsia="仿宋_GB2312" w:cs="Times New Roman"/>
          <w:color w:val="auto"/>
          <w:highlight w:val="none"/>
          <w:lang w:val="en-US" w:eastAsia="zh-CN"/>
        </w:rPr>
        <w:t>20</w:t>
      </w:r>
      <w:r>
        <w:rPr>
          <w:rStyle w:val="550"/>
          <w:rFonts w:hint="default" w:ascii="Times New Roman" w:hAnsi="Times New Roman" w:cs="Times New Roman"/>
          <w:color w:val="auto"/>
          <w:highlight w:val="none"/>
          <w:lang w:val="en-US" w:eastAsia="zh-CN"/>
        </w:rPr>
        <w:t>50</w:t>
      </w:r>
      <w:r>
        <w:rPr>
          <w:rStyle w:val="550"/>
          <w:rFonts w:hint="default" w:ascii="Times New Roman" w:hAnsi="Times New Roman" w:eastAsia="仿宋_GB2312" w:cs="Times New Roman"/>
          <w:color w:val="auto"/>
          <w:highlight w:val="none"/>
          <w:lang w:val="en-US" w:eastAsia="zh-CN"/>
        </w:rPr>
        <w:t>年</w:t>
      </w:r>
      <w:r>
        <w:rPr>
          <w:rStyle w:val="550"/>
          <w:rFonts w:hint="default" w:ascii="Times New Roman" w:hAnsi="Times New Roman" w:cs="Times New Roman"/>
          <w:color w:val="auto"/>
          <w:highlight w:val="none"/>
          <w:lang w:val="en-US" w:eastAsia="zh-CN"/>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lang w:eastAsia="zh-CN"/>
        </w:rPr>
      </w:pPr>
      <w:r>
        <w:rPr>
          <w:rStyle w:val="550"/>
          <w:rFonts w:hint="eastAsia" w:ascii="黑体" w:hAnsi="黑体" w:eastAsia="黑体" w:cs="黑体"/>
          <w:b w:val="0"/>
          <w:bCs/>
          <w:color w:val="auto"/>
          <w:highlight w:val="none"/>
        </w:rPr>
        <w:t>二、</w:t>
      </w:r>
      <w:r>
        <w:rPr>
          <w:rStyle w:val="550"/>
          <w:rFonts w:hint="eastAsia" w:ascii="黑体" w:hAnsi="黑体" w:eastAsia="黑体" w:cs="黑体"/>
          <w:b w:val="0"/>
          <w:bCs/>
          <w:color w:val="auto"/>
          <w:highlight w:val="none"/>
          <w:lang w:val="en-US" w:eastAsia="zh-CN"/>
        </w:rPr>
        <w:t>近期</w:t>
      </w:r>
      <w:r>
        <w:rPr>
          <w:rStyle w:val="550"/>
          <w:rFonts w:hint="eastAsia" w:ascii="黑体" w:hAnsi="黑体" w:eastAsia="黑体" w:cs="黑体"/>
          <w:b w:val="0"/>
          <w:bCs/>
          <w:color w:val="auto"/>
          <w:highlight w:val="none"/>
        </w:rPr>
        <w:t>实施方案</w:t>
      </w:r>
    </w:p>
    <w:p>
      <w:pPr>
        <w:pStyle w:val="154"/>
        <w:keepNext w:val="0"/>
        <w:keepLines w:val="0"/>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（一）工程措施</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ascii="Times New Roman"/>
          <w:color w:val="auto"/>
          <w:spacing w:val="4"/>
          <w:sz w:val="30"/>
          <w:szCs w:val="30"/>
          <w:highlight w:val="none"/>
        </w:rPr>
      </w:pPr>
      <w:r>
        <w:rPr>
          <w:rFonts w:hint="eastAsia" w:ascii="Times New Roman"/>
          <w:color w:val="auto"/>
          <w:spacing w:val="4"/>
          <w:sz w:val="30"/>
          <w:szCs w:val="30"/>
          <w:highlight w:val="none"/>
          <w:lang w:val="en-US" w:eastAsia="zh-CN"/>
        </w:rPr>
        <w:t>新建</w:t>
      </w:r>
      <w:r>
        <w:rPr>
          <w:rFonts w:ascii="Times New Roman"/>
          <w:color w:val="auto"/>
          <w:spacing w:val="4"/>
          <w:sz w:val="30"/>
          <w:szCs w:val="30"/>
          <w:highlight w:val="none"/>
        </w:rPr>
        <w:t>水库</w:t>
      </w:r>
      <w:r>
        <w:rPr>
          <w:rFonts w:hint="eastAsia" w:ascii="Times New Roman"/>
          <w:color w:val="auto"/>
          <w:spacing w:val="4"/>
          <w:sz w:val="30"/>
          <w:szCs w:val="30"/>
          <w:highlight w:val="none"/>
          <w:lang w:val="en-US" w:eastAsia="zh-CN"/>
        </w:rPr>
        <w:t>工程</w:t>
      </w:r>
      <w:r>
        <w:rPr>
          <w:rFonts w:hint="eastAsia" w:ascii="Times New Roman"/>
          <w:color w:val="auto"/>
          <w:spacing w:val="4"/>
          <w:sz w:val="30"/>
          <w:szCs w:val="30"/>
          <w:highlight w:val="none"/>
          <w:lang w:eastAsia="zh-CN"/>
        </w:rPr>
        <w:t>（</w:t>
      </w:r>
      <w:r>
        <w:rPr>
          <w:rFonts w:hint="eastAsia" w:ascii="Times New Roman"/>
          <w:color w:val="auto"/>
          <w:spacing w:val="4"/>
          <w:sz w:val="30"/>
          <w:szCs w:val="30"/>
          <w:highlight w:val="none"/>
          <w:lang w:val="en-US" w:eastAsia="zh-CN"/>
        </w:rPr>
        <w:t>含分</w:t>
      </w:r>
      <w:r>
        <w:rPr>
          <w:rFonts w:ascii="Times New Roman"/>
          <w:color w:val="auto"/>
          <w:spacing w:val="4"/>
          <w:sz w:val="30"/>
          <w:szCs w:val="30"/>
          <w:highlight w:val="none"/>
        </w:rPr>
        <w:t>滞蓄洪工程</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：新建德阳市高景关、金花寺水库，彭州市东林寺水库</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成都市毗河分蓄洪工程（毗河分洪工程和桤木河蓄滞洪库工程）。</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ascii="Times New Roman"/>
          <w:color w:val="auto"/>
          <w:spacing w:val="4"/>
          <w:sz w:val="30"/>
          <w:szCs w:val="30"/>
          <w:highlight w:val="none"/>
        </w:rPr>
      </w:pPr>
      <w:r>
        <w:rPr>
          <w:rFonts w:ascii="Times New Roman"/>
          <w:color w:val="auto"/>
          <w:spacing w:val="4"/>
          <w:sz w:val="30"/>
          <w:szCs w:val="30"/>
          <w:highlight w:val="none"/>
        </w:rPr>
        <w:t>除险加固</w:t>
      </w:r>
      <w:r>
        <w:rPr>
          <w:rFonts w:hint="eastAsia" w:ascii="Times New Roman"/>
          <w:color w:val="auto"/>
          <w:spacing w:val="4"/>
          <w:sz w:val="30"/>
          <w:szCs w:val="30"/>
          <w:highlight w:val="none"/>
          <w:lang w:val="en-US" w:eastAsia="zh-CN"/>
        </w:rPr>
        <w:t>工程</w:t>
      </w:r>
      <w:r>
        <w:rPr>
          <w:rFonts w:ascii="Times New Roman"/>
          <w:color w:val="auto"/>
          <w:spacing w:val="4"/>
          <w:sz w:val="30"/>
          <w:szCs w:val="30"/>
          <w:highlight w:val="none"/>
        </w:rPr>
        <w:t>：对229座病险水库</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6座病险水闸进行除险加固。</w:t>
      </w:r>
    </w:p>
    <w:p>
      <w:pPr>
        <w:pStyle w:val="713"/>
        <w:spacing w:line="540" w:lineRule="exact"/>
        <w:rPr>
          <w:rFonts w:ascii="Times New Roman"/>
          <w:color w:val="auto"/>
          <w:spacing w:val="4"/>
          <w:sz w:val="30"/>
          <w:szCs w:val="30"/>
          <w:highlight w:val="none"/>
        </w:rPr>
      </w:pPr>
      <w:r>
        <w:rPr>
          <w:rFonts w:ascii="Times New Roman"/>
          <w:color w:val="auto"/>
          <w:spacing w:val="4"/>
          <w:sz w:val="30"/>
          <w:szCs w:val="30"/>
          <w:highlight w:val="none"/>
        </w:rPr>
        <w:t>河道整治工程：河道清淤疏浚长度198km；德阳段新建11座固床坝；对金堂峡峡口河段3.</w:t>
      </w:r>
      <w:r>
        <w:rPr>
          <w:rFonts w:hint="eastAsia" w:ascii="Times New Roman"/>
          <w:color w:val="auto"/>
          <w:spacing w:val="4"/>
          <w:sz w:val="30"/>
          <w:szCs w:val="30"/>
          <w:highlight w:val="none"/>
          <w:lang w:val="en-US" w:eastAsia="zh-CN"/>
        </w:rPr>
        <w:t>15</w:t>
      </w:r>
      <w:r>
        <w:rPr>
          <w:rFonts w:ascii="Times New Roman"/>
          <w:color w:val="auto"/>
          <w:spacing w:val="4"/>
          <w:sz w:val="30"/>
          <w:szCs w:val="30"/>
          <w:highlight w:val="none"/>
        </w:rPr>
        <w:t>km拓宽10～30m，拆除金堂县北河闸；其他河道整治项目55处。</w:t>
      </w:r>
    </w:p>
    <w:p>
      <w:pPr>
        <w:pStyle w:val="713"/>
        <w:spacing w:line="540" w:lineRule="exact"/>
        <w:rPr>
          <w:rFonts w:ascii="Times New Roman"/>
          <w:color w:val="auto"/>
          <w:spacing w:val="4"/>
          <w:sz w:val="30"/>
          <w:szCs w:val="30"/>
          <w:highlight w:val="none"/>
        </w:rPr>
      </w:pPr>
      <w:r>
        <w:rPr>
          <w:rFonts w:ascii="Times New Roman"/>
          <w:color w:val="auto"/>
          <w:spacing w:val="4"/>
          <w:sz w:val="30"/>
          <w:szCs w:val="30"/>
          <w:highlight w:val="none"/>
        </w:rPr>
        <w:t>堤防护岸工程：新建堤防75</w:t>
      </w:r>
      <w:r>
        <w:rPr>
          <w:rFonts w:hint="eastAsia" w:ascii="Times New Roman"/>
          <w:color w:val="auto"/>
          <w:spacing w:val="4"/>
          <w:sz w:val="30"/>
          <w:szCs w:val="30"/>
          <w:highlight w:val="none"/>
          <w:lang w:val="en-US" w:eastAsia="zh-CN"/>
        </w:rPr>
        <w:t>3</w:t>
      </w:r>
      <w:r>
        <w:rPr>
          <w:rFonts w:ascii="Times New Roman"/>
          <w:color w:val="auto"/>
          <w:spacing w:val="4"/>
          <w:sz w:val="30"/>
          <w:szCs w:val="30"/>
          <w:highlight w:val="none"/>
        </w:rPr>
        <w:t>km</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护岸</w:t>
      </w:r>
      <w:r>
        <w:rPr>
          <w:rFonts w:hint="eastAsia" w:ascii="Times New Roman"/>
          <w:color w:val="auto"/>
          <w:spacing w:val="4"/>
          <w:sz w:val="30"/>
          <w:szCs w:val="30"/>
          <w:highlight w:val="none"/>
          <w:lang w:val="en-US" w:eastAsia="zh-CN"/>
        </w:rPr>
        <w:t>70</w:t>
      </w:r>
      <w:r>
        <w:rPr>
          <w:rFonts w:ascii="Times New Roman"/>
          <w:color w:val="auto"/>
          <w:spacing w:val="4"/>
          <w:sz w:val="30"/>
          <w:szCs w:val="30"/>
          <w:highlight w:val="none"/>
        </w:rPr>
        <w:t>km，整治堤防护岸126km。</w:t>
      </w:r>
    </w:p>
    <w:p>
      <w:pPr>
        <w:pStyle w:val="713"/>
        <w:spacing w:line="540" w:lineRule="exact"/>
        <w:rPr>
          <w:rFonts w:ascii="Times New Roman"/>
          <w:color w:val="auto"/>
          <w:spacing w:val="4"/>
          <w:sz w:val="30"/>
          <w:szCs w:val="30"/>
          <w:highlight w:val="none"/>
        </w:rPr>
      </w:pPr>
      <w:r>
        <w:rPr>
          <w:rFonts w:ascii="Times New Roman"/>
          <w:color w:val="auto"/>
          <w:spacing w:val="4"/>
          <w:sz w:val="30"/>
          <w:szCs w:val="30"/>
          <w:highlight w:val="none"/>
        </w:rPr>
        <w:t>山洪灾害防治</w:t>
      </w:r>
      <w:r>
        <w:rPr>
          <w:rFonts w:hint="eastAsia" w:ascii="Times New Roman"/>
          <w:color w:val="auto"/>
          <w:spacing w:val="4"/>
          <w:sz w:val="30"/>
          <w:szCs w:val="30"/>
          <w:highlight w:val="none"/>
          <w:lang w:val="en-US" w:eastAsia="zh-CN"/>
        </w:rPr>
        <w:t>工程</w:t>
      </w:r>
      <w:r>
        <w:rPr>
          <w:rFonts w:ascii="Times New Roman"/>
          <w:color w:val="auto"/>
          <w:spacing w:val="4"/>
          <w:sz w:val="30"/>
          <w:szCs w:val="30"/>
          <w:highlight w:val="none"/>
        </w:rPr>
        <w:t>：治理山洪沟154条，治理长度867km。</w:t>
      </w:r>
    </w:p>
    <w:p>
      <w:pPr>
        <w:pStyle w:val="713"/>
        <w:spacing w:line="540" w:lineRule="exact"/>
        <w:rPr>
          <w:rFonts w:ascii="Times New Roman"/>
          <w:color w:val="auto"/>
          <w:spacing w:val="4"/>
          <w:sz w:val="30"/>
          <w:szCs w:val="30"/>
          <w:highlight w:val="none"/>
        </w:rPr>
      </w:pPr>
      <w:r>
        <w:rPr>
          <w:rFonts w:ascii="Times New Roman"/>
          <w:color w:val="auto"/>
          <w:spacing w:val="4"/>
          <w:sz w:val="30"/>
          <w:szCs w:val="30"/>
          <w:highlight w:val="none"/>
        </w:rPr>
        <w:t>排涝工程：整治排涝沟渠260km，新建排涝沟渠1.</w:t>
      </w:r>
      <w:r>
        <w:rPr>
          <w:rFonts w:hint="eastAsia" w:ascii="Times New Roman"/>
          <w:color w:val="auto"/>
          <w:spacing w:val="4"/>
          <w:sz w:val="30"/>
          <w:szCs w:val="30"/>
          <w:highlight w:val="none"/>
          <w:lang w:val="en-US" w:eastAsia="zh-CN"/>
        </w:rPr>
        <w:t>1</w:t>
      </w:r>
      <w:r>
        <w:rPr>
          <w:rFonts w:ascii="Times New Roman"/>
          <w:color w:val="auto"/>
          <w:spacing w:val="4"/>
          <w:sz w:val="30"/>
          <w:szCs w:val="30"/>
          <w:highlight w:val="none"/>
        </w:rPr>
        <w:t>km</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抽排泵站18座</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排洪涵洞18处。</w:t>
      </w:r>
    </w:p>
    <w:p>
      <w:pPr>
        <w:pStyle w:val="713"/>
        <w:spacing w:line="540" w:lineRule="exact"/>
        <w:rPr>
          <w:rFonts w:ascii="Times New Roman"/>
          <w:color w:val="auto"/>
          <w:spacing w:val="4"/>
          <w:sz w:val="30"/>
          <w:szCs w:val="30"/>
          <w:highlight w:val="none"/>
        </w:rPr>
      </w:pPr>
      <w:r>
        <w:rPr>
          <w:rFonts w:ascii="Times New Roman"/>
          <w:color w:val="auto"/>
          <w:spacing w:val="4"/>
          <w:sz w:val="30"/>
          <w:szCs w:val="30"/>
          <w:highlight w:val="none"/>
        </w:rPr>
        <w:t>水土保持</w:t>
      </w:r>
      <w:r>
        <w:rPr>
          <w:rFonts w:hint="eastAsia" w:ascii="Times New Roman"/>
          <w:color w:val="auto"/>
          <w:spacing w:val="4"/>
          <w:sz w:val="30"/>
          <w:szCs w:val="30"/>
          <w:highlight w:val="none"/>
          <w:lang w:val="en-US" w:eastAsia="zh-CN"/>
        </w:rPr>
        <w:t>工程</w:t>
      </w:r>
      <w:r>
        <w:rPr>
          <w:rFonts w:ascii="Times New Roman"/>
          <w:color w:val="auto"/>
          <w:spacing w:val="4"/>
          <w:sz w:val="30"/>
          <w:szCs w:val="30"/>
          <w:highlight w:val="none"/>
        </w:rPr>
        <w:t>：综合治理水土流失面积</w:t>
      </w:r>
      <w:r>
        <w:rPr>
          <w:rFonts w:hint="eastAsia" w:ascii="Times New Roman"/>
          <w:color w:val="auto"/>
          <w:spacing w:val="4"/>
          <w:sz w:val="30"/>
          <w:szCs w:val="30"/>
          <w:highlight w:val="none"/>
          <w:lang w:val="en-US" w:eastAsia="zh-CN"/>
        </w:rPr>
        <w:t>6366</w:t>
      </w:r>
      <w:r>
        <w:rPr>
          <w:rFonts w:ascii="Times New Roman"/>
          <w:color w:val="auto"/>
          <w:spacing w:val="4"/>
          <w:sz w:val="30"/>
          <w:szCs w:val="30"/>
          <w:highlight w:val="none"/>
        </w:rPr>
        <w:t>km</w:t>
      </w:r>
      <w:r>
        <w:rPr>
          <w:rFonts w:ascii="Times New Roman"/>
          <w:color w:val="auto"/>
          <w:spacing w:val="4"/>
          <w:sz w:val="30"/>
          <w:szCs w:val="30"/>
          <w:highlight w:val="none"/>
          <w:vertAlign w:val="superscript"/>
        </w:rPr>
        <w:t>2</w:t>
      </w:r>
      <w:r>
        <w:rPr>
          <w:rFonts w:ascii="Times New Roman"/>
          <w:color w:val="auto"/>
          <w:spacing w:val="4"/>
          <w:sz w:val="30"/>
          <w:szCs w:val="30"/>
          <w:highlight w:val="none"/>
        </w:rPr>
        <w:t>。</w:t>
      </w:r>
    </w:p>
    <w:p>
      <w:pPr>
        <w:pStyle w:val="154"/>
        <w:ind w:firstLine="578"/>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（二）非工程措施</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主要包括山洪灾害补充调查评价</w:t>
      </w:r>
      <w:r>
        <w:rPr>
          <w:rFonts w:hint="eastAsia"/>
          <w:color w:val="auto"/>
          <w:sz w:val="30"/>
          <w:szCs w:val="30"/>
          <w:highlight w:val="none"/>
          <w:lang w:eastAsia="zh-CN"/>
        </w:rPr>
        <w:t>、</w:t>
      </w:r>
      <w:r>
        <w:rPr>
          <w:color w:val="auto"/>
          <w:sz w:val="30"/>
          <w:szCs w:val="30"/>
          <w:highlight w:val="none"/>
        </w:rPr>
        <w:t>洪水风险图制作</w:t>
      </w:r>
      <w:r>
        <w:rPr>
          <w:rFonts w:hint="eastAsia"/>
          <w:color w:val="auto"/>
          <w:sz w:val="30"/>
          <w:szCs w:val="30"/>
          <w:highlight w:val="none"/>
          <w:lang w:eastAsia="zh-CN"/>
        </w:rPr>
        <w:t>、</w:t>
      </w:r>
      <w:r>
        <w:rPr>
          <w:color w:val="auto"/>
          <w:sz w:val="30"/>
          <w:szCs w:val="30"/>
          <w:highlight w:val="none"/>
        </w:rPr>
        <w:t>洪水灾情调查评估，</w:t>
      </w:r>
      <w:r>
        <w:rPr>
          <w:rFonts w:hint="eastAsia"/>
          <w:color w:val="auto"/>
          <w:sz w:val="30"/>
          <w:szCs w:val="30"/>
          <w:highlight w:val="none"/>
          <w:lang w:val="en-US" w:eastAsia="zh-CN"/>
        </w:rPr>
        <w:t>编制</w:t>
      </w:r>
      <w:r>
        <w:rPr>
          <w:color w:val="auto"/>
          <w:sz w:val="30"/>
          <w:szCs w:val="30"/>
          <w:highlight w:val="none"/>
        </w:rPr>
        <w:t>完善应急预案防洪治涝预案、超标准</w:t>
      </w:r>
      <w:r>
        <w:rPr>
          <w:rFonts w:hint="eastAsia"/>
          <w:color w:val="auto"/>
          <w:sz w:val="30"/>
          <w:szCs w:val="30"/>
          <w:highlight w:val="none"/>
          <w:lang w:val="en-US" w:eastAsia="zh-CN"/>
        </w:rPr>
        <w:t>洪水</w:t>
      </w:r>
      <w:r>
        <w:rPr>
          <w:color w:val="auto"/>
          <w:sz w:val="30"/>
          <w:szCs w:val="30"/>
          <w:highlight w:val="none"/>
        </w:rPr>
        <w:t>预案以及洪水调度方案，</w:t>
      </w:r>
      <w:r>
        <w:rPr>
          <w:rFonts w:hint="eastAsia"/>
          <w:color w:val="auto"/>
          <w:sz w:val="30"/>
          <w:szCs w:val="30"/>
          <w:highlight w:val="none"/>
          <w:lang w:val="en-US" w:eastAsia="zh-CN"/>
        </w:rPr>
        <w:t>建设</w:t>
      </w:r>
      <w:r>
        <w:rPr>
          <w:color w:val="auto"/>
          <w:sz w:val="30"/>
          <w:szCs w:val="30"/>
          <w:highlight w:val="none"/>
        </w:rPr>
        <w:t>防汛抢险物资储备仓库</w:t>
      </w:r>
      <w:r>
        <w:rPr>
          <w:rFonts w:hint="eastAsia"/>
          <w:color w:val="auto"/>
          <w:sz w:val="30"/>
          <w:szCs w:val="30"/>
          <w:highlight w:val="none"/>
          <w:lang w:eastAsia="zh-CN"/>
        </w:rPr>
        <w:t>、</w:t>
      </w:r>
      <w:r>
        <w:rPr>
          <w:color w:val="auto"/>
          <w:sz w:val="30"/>
          <w:szCs w:val="30"/>
          <w:highlight w:val="none"/>
        </w:rPr>
        <w:t>防汛指挥系统及应急通信</w:t>
      </w:r>
      <w:r>
        <w:rPr>
          <w:rFonts w:hint="eastAsia"/>
          <w:color w:val="auto"/>
          <w:sz w:val="30"/>
          <w:szCs w:val="30"/>
          <w:highlight w:val="none"/>
          <w:lang w:eastAsia="zh-CN"/>
        </w:rPr>
        <w:t>、</w:t>
      </w:r>
      <w:r>
        <w:rPr>
          <w:color w:val="auto"/>
          <w:sz w:val="30"/>
          <w:szCs w:val="30"/>
          <w:highlight w:val="none"/>
        </w:rPr>
        <w:t>水文基础设施，安装警示标志、转移路线图，配备预警设备</w:t>
      </w:r>
      <w:r>
        <w:rPr>
          <w:rFonts w:hint="eastAsia"/>
          <w:color w:val="auto"/>
          <w:sz w:val="30"/>
          <w:szCs w:val="30"/>
          <w:highlight w:val="none"/>
          <w:lang w:val="en-US" w:eastAsia="zh-CN"/>
        </w:rPr>
        <w:t>等</w:t>
      </w:r>
      <w:r>
        <w:rPr>
          <w:color w:val="auto"/>
          <w:sz w:val="30"/>
          <w:szCs w:val="30"/>
          <w:highlight w:val="none"/>
        </w:rPr>
        <w:t>。</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lang w:eastAsia="zh-CN"/>
        </w:rPr>
      </w:pPr>
      <w:r>
        <w:rPr>
          <w:rStyle w:val="550"/>
          <w:rFonts w:hint="eastAsia" w:ascii="黑体" w:hAnsi="黑体" w:eastAsia="黑体" w:cs="黑体"/>
          <w:b w:val="0"/>
          <w:bCs/>
          <w:color w:val="auto"/>
          <w:highlight w:val="none"/>
        </w:rPr>
        <w:t>三、</w:t>
      </w:r>
      <w:r>
        <w:rPr>
          <w:rStyle w:val="550"/>
          <w:rFonts w:hint="eastAsia" w:ascii="黑体" w:hAnsi="黑体" w:eastAsia="黑体" w:cs="黑体"/>
          <w:b w:val="0"/>
          <w:bCs/>
          <w:color w:val="auto"/>
          <w:highlight w:val="none"/>
          <w:lang w:val="en-US" w:eastAsia="zh-CN"/>
        </w:rPr>
        <w:t>远景</w:t>
      </w:r>
      <w:r>
        <w:rPr>
          <w:rStyle w:val="550"/>
          <w:rFonts w:hint="eastAsia" w:ascii="黑体" w:hAnsi="黑体" w:eastAsia="黑体" w:cs="黑体"/>
          <w:b w:val="0"/>
          <w:bCs/>
          <w:color w:val="auto"/>
          <w:highlight w:val="none"/>
          <w:lang w:eastAsia="zh-CN"/>
        </w:rPr>
        <w:t>实施方案</w:t>
      </w:r>
    </w:p>
    <w:p>
      <w:pPr>
        <w:pStyle w:val="154"/>
        <w:pageBreakBefore w:val="0"/>
        <w:widowControl w:val="0"/>
        <w:kinsoku/>
        <w:wordWrap/>
        <w:overflowPunct/>
        <w:topLinePunct w:val="0"/>
        <w:autoSpaceDE/>
        <w:autoSpaceDN/>
        <w:bidi w:val="0"/>
        <w:adjustRightInd/>
        <w:snapToGrid/>
        <w:ind w:firstLine="578"/>
        <w:textAlignment w:val="auto"/>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（一）工程措施</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rFonts w:hint="eastAsia"/>
          <w:color w:val="auto"/>
          <w:sz w:val="30"/>
          <w:szCs w:val="30"/>
          <w:highlight w:val="none"/>
          <w:lang w:val="en-US" w:eastAsia="zh-CN"/>
        </w:rPr>
        <w:t>新建</w:t>
      </w:r>
      <w:r>
        <w:rPr>
          <w:color w:val="auto"/>
          <w:sz w:val="30"/>
          <w:szCs w:val="30"/>
          <w:highlight w:val="none"/>
        </w:rPr>
        <w:t>水库</w:t>
      </w:r>
      <w:r>
        <w:rPr>
          <w:rFonts w:hint="eastAsia"/>
          <w:color w:val="auto"/>
          <w:sz w:val="30"/>
          <w:szCs w:val="30"/>
          <w:highlight w:val="none"/>
          <w:lang w:val="en-US" w:eastAsia="zh-CN"/>
        </w:rPr>
        <w:t>工程</w:t>
      </w:r>
      <w:r>
        <w:rPr>
          <w:rFonts w:hint="eastAsia"/>
          <w:color w:val="auto"/>
          <w:sz w:val="30"/>
          <w:szCs w:val="30"/>
          <w:highlight w:val="none"/>
          <w:lang w:eastAsia="zh-CN"/>
        </w:rPr>
        <w:t>（</w:t>
      </w:r>
      <w:r>
        <w:rPr>
          <w:rFonts w:hint="eastAsia"/>
          <w:color w:val="auto"/>
          <w:sz w:val="30"/>
          <w:szCs w:val="30"/>
          <w:highlight w:val="none"/>
          <w:lang w:val="en-US" w:eastAsia="zh-CN"/>
        </w:rPr>
        <w:t>含</w:t>
      </w:r>
      <w:r>
        <w:rPr>
          <w:color w:val="auto"/>
          <w:sz w:val="30"/>
          <w:szCs w:val="30"/>
          <w:highlight w:val="none"/>
        </w:rPr>
        <w:t>蓄滞洪库</w:t>
      </w:r>
      <w:r>
        <w:rPr>
          <w:rFonts w:hint="eastAsia"/>
          <w:color w:val="auto"/>
          <w:sz w:val="30"/>
          <w:szCs w:val="30"/>
          <w:highlight w:val="none"/>
          <w:lang w:eastAsia="zh-CN"/>
        </w:rPr>
        <w:t>）</w:t>
      </w:r>
      <w:r>
        <w:rPr>
          <w:color w:val="auto"/>
          <w:sz w:val="30"/>
          <w:szCs w:val="30"/>
          <w:highlight w:val="none"/>
        </w:rPr>
        <w:t>：新建德阳市清平水库</w:t>
      </w:r>
      <w:r>
        <w:rPr>
          <w:rFonts w:hint="eastAsia"/>
          <w:color w:val="auto"/>
          <w:sz w:val="30"/>
          <w:szCs w:val="30"/>
          <w:highlight w:val="none"/>
          <w:lang w:eastAsia="zh-CN"/>
        </w:rPr>
        <w:t>、</w:t>
      </w:r>
      <w:r>
        <w:rPr>
          <w:color w:val="auto"/>
          <w:sz w:val="30"/>
          <w:szCs w:val="30"/>
          <w:highlight w:val="none"/>
        </w:rPr>
        <w:t>成都市中河蓄滞洪工程</w:t>
      </w:r>
      <w:r>
        <w:rPr>
          <w:rFonts w:hint="eastAsia"/>
          <w:color w:val="auto"/>
          <w:sz w:val="30"/>
          <w:szCs w:val="30"/>
          <w:highlight w:val="none"/>
          <w:lang w:eastAsia="zh-CN"/>
        </w:rPr>
        <w:t>、</w:t>
      </w:r>
      <w:r>
        <w:rPr>
          <w:color w:val="auto"/>
          <w:sz w:val="30"/>
          <w:szCs w:val="30"/>
          <w:highlight w:val="none"/>
        </w:rPr>
        <w:t>资阳市钟家湾水库</w:t>
      </w:r>
      <w:r>
        <w:rPr>
          <w:rFonts w:hint="eastAsia"/>
          <w:color w:val="auto"/>
          <w:sz w:val="30"/>
          <w:szCs w:val="30"/>
          <w:highlight w:val="none"/>
          <w:lang w:eastAsia="zh-CN"/>
        </w:rPr>
        <w:t>、</w:t>
      </w:r>
      <w:r>
        <w:rPr>
          <w:color w:val="auto"/>
          <w:sz w:val="30"/>
          <w:szCs w:val="30"/>
          <w:highlight w:val="none"/>
        </w:rPr>
        <w:t>自贡市麻柳湾</w:t>
      </w:r>
      <w:r>
        <w:rPr>
          <w:rFonts w:hint="eastAsia"/>
          <w:color w:val="auto"/>
          <w:sz w:val="30"/>
          <w:szCs w:val="30"/>
          <w:highlight w:val="none"/>
        </w:rPr>
        <w:t>分蓄洪工程</w:t>
      </w:r>
      <w:r>
        <w:rPr>
          <w:color w:val="auto"/>
          <w:sz w:val="30"/>
          <w:szCs w:val="30"/>
          <w:highlight w:val="none"/>
        </w:rPr>
        <w:t>。</w:t>
      </w:r>
    </w:p>
    <w:p>
      <w:pPr>
        <w:pStyle w:val="154"/>
        <w:ind w:firstLine="578"/>
        <w:rPr>
          <w:color w:val="auto"/>
          <w:sz w:val="30"/>
          <w:szCs w:val="30"/>
          <w:highlight w:val="none"/>
        </w:rPr>
      </w:pPr>
      <w:r>
        <w:rPr>
          <w:color w:val="auto"/>
          <w:sz w:val="30"/>
          <w:szCs w:val="30"/>
          <w:highlight w:val="none"/>
        </w:rPr>
        <w:t>除险加固</w:t>
      </w:r>
      <w:r>
        <w:rPr>
          <w:rFonts w:hint="eastAsia"/>
          <w:color w:val="auto"/>
          <w:sz w:val="30"/>
          <w:szCs w:val="30"/>
          <w:highlight w:val="none"/>
          <w:lang w:val="en-US" w:eastAsia="zh-CN"/>
        </w:rPr>
        <w:t>工程</w:t>
      </w:r>
      <w:r>
        <w:rPr>
          <w:color w:val="auto"/>
          <w:sz w:val="30"/>
          <w:szCs w:val="30"/>
          <w:highlight w:val="none"/>
        </w:rPr>
        <w:t>：对43座病险水库进行除险加固。</w:t>
      </w:r>
    </w:p>
    <w:p>
      <w:pPr>
        <w:pStyle w:val="154"/>
        <w:ind w:firstLine="578"/>
        <w:rPr>
          <w:color w:val="auto"/>
          <w:sz w:val="30"/>
          <w:szCs w:val="30"/>
          <w:highlight w:val="none"/>
        </w:rPr>
      </w:pPr>
      <w:r>
        <w:rPr>
          <w:color w:val="auto"/>
          <w:sz w:val="30"/>
          <w:szCs w:val="30"/>
          <w:highlight w:val="none"/>
        </w:rPr>
        <w:t>河道整治工程：河道清淤疏浚185km，拓宽淮安河</w:t>
      </w:r>
      <w:r>
        <w:rPr>
          <w:rFonts w:hint="eastAsia"/>
          <w:color w:val="auto"/>
          <w:sz w:val="30"/>
          <w:szCs w:val="30"/>
          <w:highlight w:val="none"/>
          <w:lang w:val="en-US" w:eastAsia="zh-CN"/>
        </w:rPr>
        <w:t>河道</w:t>
      </w:r>
      <w:r>
        <w:rPr>
          <w:color w:val="auto"/>
          <w:sz w:val="30"/>
          <w:szCs w:val="30"/>
          <w:highlight w:val="none"/>
        </w:rPr>
        <w:t>1.0km。</w:t>
      </w:r>
    </w:p>
    <w:p>
      <w:pPr>
        <w:pStyle w:val="154"/>
        <w:ind w:firstLine="578"/>
        <w:rPr>
          <w:color w:val="auto"/>
          <w:sz w:val="30"/>
          <w:szCs w:val="30"/>
          <w:highlight w:val="none"/>
        </w:rPr>
      </w:pPr>
      <w:r>
        <w:rPr>
          <w:color w:val="auto"/>
          <w:sz w:val="30"/>
          <w:szCs w:val="30"/>
          <w:highlight w:val="none"/>
        </w:rPr>
        <w:t>堤防护岸工程：新建堤防3</w:t>
      </w:r>
      <w:r>
        <w:rPr>
          <w:rFonts w:hint="eastAsia"/>
          <w:color w:val="auto"/>
          <w:sz w:val="30"/>
          <w:szCs w:val="30"/>
          <w:highlight w:val="none"/>
          <w:lang w:val="en-US" w:eastAsia="zh-CN"/>
        </w:rPr>
        <w:t>40</w:t>
      </w:r>
      <w:r>
        <w:rPr>
          <w:color w:val="auto"/>
          <w:sz w:val="30"/>
          <w:szCs w:val="30"/>
          <w:highlight w:val="none"/>
        </w:rPr>
        <w:t>km</w:t>
      </w:r>
      <w:r>
        <w:rPr>
          <w:rFonts w:hint="eastAsia"/>
          <w:color w:val="auto"/>
          <w:sz w:val="30"/>
          <w:szCs w:val="30"/>
          <w:highlight w:val="none"/>
          <w:lang w:eastAsia="zh-CN"/>
        </w:rPr>
        <w:t>、</w:t>
      </w:r>
      <w:r>
        <w:rPr>
          <w:color w:val="auto"/>
          <w:sz w:val="30"/>
          <w:szCs w:val="30"/>
          <w:highlight w:val="none"/>
        </w:rPr>
        <w:t>护岸11</w:t>
      </w:r>
      <w:r>
        <w:rPr>
          <w:rFonts w:hint="eastAsia"/>
          <w:color w:val="auto"/>
          <w:sz w:val="30"/>
          <w:szCs w:val="30"/>
          <w:highlight w:val="none"/>
          <w:lang w:val="en-US" w:eastAsia="zh-CN"/>
        </w:rPr>
        <w:t>6</w:t>
      </w:r>
      <w:r>
        <w:rPr>
          <w:color w:val="auto"/>
          <w:sz w:val="30"/>
          <w:szCs w:val="30"/>
          <w:highlight w:val="none"/>
        </w:rPr>
        <w:t>km，整治堤防护岸27km。</w:t>
      </w:r>
    </w:p>
    <w:p>
      <w:pPr>
        <w:pStyle w:val="154"/>
        <w:ind w:firstLine="578"/>
        <w:rPr>
          <w:color w:val="auto"/>
          <w:sz w:val="30"/>
          <w:szCs w:val="30"/>
          <w:highlight w:val="none"/>
        </w:rPr>
      </w:pPr>
      <w:r>
        <w:rPr>
          <w:color w:val="auto"/>
          <w:sz w:val="30"/>
          <w:szCs w:val="30"/>
          <w:highlight w:val="none"/>
        </w:rPr>
        <w:t>排涝工程：对内江隆昌河城区段进行排水排涝改造。</w:t>
      </w:r>
    </w:p>
    <w:p>
      <w:pPr>
        <w:pStyle w:val="154"/>
        <w:ind w:firstLine="578"/>
        <w:rPr>
          <w:rFonts w:hint="eastAsia" w:ascii="楷体_GB2312" w:hAnsi="楷体_GB2312" w:eastAsia="楷体_GB2312" w:cs="楷体_GB2312"/>
          <w:color w:val="auto"/>
          <w:sz w:val="30"/>
          <w:szCs w:val="30"/>
          <w:highlight w:val="none"/>
        </w:rPr>
      </w:pPr>
      <w:r>
        <w:rPr>
          <w:rFonts w:hint="eastAsia" w:ascii="楷体_GB2312" w:hAnsi="楷体_GB2312" w:eastAsia="楷体_GB2312" w:cs="楷体_GB2312"/>
          <w:color w:val="auto"/>
          <w:sz w:val="30"/>
          <w:szCs w:val="30"/>
          <w:highlight w:val="none"/>
        </w:rPr>
        <w:t>（二）非工程措施</w:t>
      </w:r>
    </w:p>
    <w:p>
      <w:pPr>
        <w:pStyle w:val="154"/>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建设山洪灾害防治监测站网，完善防洪治涝预案，新建水文基础设施等。</w:t>
      </w:r>
    </w:p>
    <w:p>
      <w:pPr>
        <w:pStyle w:val="4"/>
        <w:keepNext/>
        <w:keepLines/>
        <w:pageBreakBefore w:val="0"/>
        <w:widowControl w:val="0"/>
        <w:kinsoku/>
        <w:wordWrap/>
        <w:overflowPunct/>
        <w:topLinePunct w:val="0"/>
        <w:autoSpaceDE/>
        <w:autoSpaceDN/>
        <w:bidi w:val="0"/>
        <w:adjustRightInd/>
        <w:snapToGrid/>
        <w:spacing w:before="0" w:after="0" w:line="540" w:lineRule="exact"/>
        <w:textAlignment w:val="auto"/>
        <w:rPr>
          <w:rFonts w:hint="eastAsia" w:eastAsia="楷体_GB2312"/>
          <w:b w:val="0"/>
          <w:bCs w:val="0"/>
          <w:color w:val="auto"/>
          <w:highlight w:val="none"/>
          <w:lang w:val="en-US" w:eastAsia="zh-CN"/>
        </w:rPr>
      </w:pPr>
      <w:bookmarkStart w:id="150" w:name="_Toc124757373"/>
      <w:r>
        <w:rPr>
          <w:b w:val="0"/>
          <w:bCs w:val="0"/>
          <w:color w:val="auto"/>
          <w:highlight w:val="none"/>
        </w:rPr>
        <w:t>第二节  实施效果</w:t>
      </w:r>
      <w:bookmarkEnd w:id="150"/>
      <w:r>
        <w:rPr>
          <w:rFonts w:hint="eastAsia"/>
          <w:b w:val="0"/>
          <w:bCs w:val="0"/>
          <w:color w:val="auto"/>
          <w:highlight w:val="none"/>
          <w:lang w:val="en-US" w:eastAsia="zh-CN"/>
        </w:rPr>
        <w:t>评价</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val="0"/>
          <w:color w:val="auto"/>
          <w:highlight w:val="none"/>
        </w:rPr>
      </w:pPr>
      <w:r>
        <w:rPr>
          <w:rStyle w:val="550"/>
          <w:rFonts w:hint="eastAsia" w:ascii="黑体" w:hAnsi="黑体" w:eastAsia="黑体" w:cs="黑体"/>
          <w:b w:val="0"/>
          <w:bCs w:val="0"/>
          <w:color w:val="auto"/>
          <w:highlight w:val="none"/>
        </w:rPr>
        <w:t>一、总体评价</w:t>
      </w:r>
    </w:p>
    <w:p>
      <w:pPr>
        <w:pStyle w:val="154"/>
        <w:keepNext w:val="0"/>
        <w:keepLines w:val="0"/>
        <w:pageBreakBefore w:val="0"/>
        <w:widowControl w:val="0"/>
        <w:kinsoku/>
        <w:wordWrap/>
        <w:overflowPunct/>
        <w:topLinePunct w:val="0"/>
        <w:autoSpaceDE/>
        <w:autoSpaceDN/>
        <w:bidi w:val="0"/>
        <w:adjustRightInd/>
        <w:snapToGrid/>
        <w:ind w:firstLine="578"/>
        <w:textAlignment w:val="auto"/>
        <w:rPr>
          <w:color w:val="auto"/>
          <w:sz w:val="30"/>
          <w:szCs w:val="30"/>
          <w:highlight w:val="none"/>
        </w:rPr>
      </w:pPr>
      <w:r>
        <w:rPr>
          <w:color w:val="auto"/>
          <w:sz w:val="30"/>
          <w:szCs w:val="30"/>
          <w:highlight w:val="none"/>
        </w:rPr>
        <w:t>针对沱江流域各</w:t>
      </w:r>
      <w:r>
        <w:rPr>
          <w:rFonts w:hint="eastAsia"/>
          <w:color w:val="auto"/>
          <w:sz w:val="30"/>
          <w:szCs w:val="30"/>
          <w:highlight w:val="none"/>
          <w:lang w:val="en-US" w:eastAsia="zh-CN"/>
        </w:rPr>
        <w:t>河</w:t>
      </w:r>
      <w:r>
        <w:rPr>
          <w:color w:val="auto"/>
          <w:sz w:val="30"/>
          <w:szCs w:val="30"/>
          <w:highlight w:val="none"/>
        </w:rPr>
        <w:t>段防洪现状，以实现国家规定的防洪标准为目标导向，流域规划的防洪工程</w:t>
      </w:r>
      <w:r>
        <w:rPr>
          <w:rFonts w:hint="eastAsia"/>
          <w:color w:val="auto"/>
          <w:sz w:val="30"/>
          <w:szCs w:val="30"/>
          <w:highlight w:val="none"/>
          <w:lang w:val="en-US" w:eastAsia="zh-CN"/>
        </w:rPr>
        <w:t>措施</w:t>
      </w:r>
      <w:r>
        <w:rPr>
          <w:color w:val="auto"/>
          <w:sz w:val="30"/>
          <w:szCs w:val="30"/>
          <w:highlight w:val="none"/>
        </w:rPr>
        <w:t>和非工程措施实施后，可有效提高沿江城镇防洪能力，促进流域经济社会高质量发展，具有显著的社会效益和经济效益。地级城市以及重点保护对象防洪标准达到50年一遇</w:t>
      </w:r>
      <w:r>
        <w:rPr>
          <w:rFonts w:hint="eastAsia"/>
          <w:color w:val="auto"/>
          <w:sz w:val="30"/>
          <w:szCs w:val="30"/>
          <w:highlight w:val="none"/>
          <w:lang w:eastAsia="zh-CN"/>
        </w:rPr>
        <w:t>以上</w:t>
      </w:r>
      <w:r>
        <w:rPr>
          <w:color w:val="auto"/>
          <w:sz w:val="30"/>
          <w:szCs w:val="30"/>
          <w:highlight w:val="none"/>
        </w:rPr>
        <w:t>，县级城市防洪标准达到20</w:t>
      </w:r>
      <w:r>
        <w:rPr>
          <w:rFonts w:hint="eastAsia"/>
          <w:color w:val="auto"/>
          <w:sz w:val="30"/>
          <w:szCs w:val="30"/>
          <w:highlight w:val="none"/>
          <w:lang w:eastAsia="zh-CN"/>
        </w:rPr>
        <w:t>～</w:t>
      </w:r>
      <w:r>
        <w:rPr>
          <w:rFonts w:hint="eastAsia" w:eastAsia="仿宋_GB2312"/>
          <w:color w:val="auto"/>
          <w:sz w:val="30"/>
          <w:szCs w:val="30"/>
          <w:highlight w:val="none"/>
          <w:lang w:val="en-US" w:eastAsia="zh-CN"/>
        </w:rPr>
        <w:t>50</w:t>
      </w:r>
      <w:r>
        <w:rPr>
          <w:color w:val="auto"/>
          <w:sz w:val="30"/>
          <w:szCs w:val="30"/>
          <w:highlight w:val="none"/>
        </w:rPr>
        <w:t>年一遇，乡镇和</w:t>
      </w:r>
      <w:r>
        <w:rPr>
          <w:rFonts w:hint="eastAsia"/>
          <w:color w:val="auto"/>
          <w:sz w:val="30"/>
          <w:szCs w:val="30"/>
          <w:highlight w:val="none"/>
          <w:lang w:val="en-US" w:eastAsia="zh-CN"/>
        </w:rPr>
        <w:t>农</w:t>
      </w:r>
      <w:r>
        <w:rPr>
          <w:color w:val="auto"/>
          <w:sz w:val="30"/>
          <w:szCs w:val="30"/>
          <w:highlight w:val="none"/>
        </w:rPr>
        <w:t>村段防洪标准达到10</w:t>
      </w:r>
      <w:r>
        <w:rPr>
          <w:rFonts w:hint="eastAsia"/>
          <w:color w:val="auto"/>
          <w:sz w:val="30"/>
          <w:szCs w:val="30"/>
          <w:highlight w:val="none"/>
          <w:lang w:eastAsia="zh-CN"/>
        </w:rPr>
        <w:t>～</w:t>
      </w:r>
      <w:r>
        <w:rPr>
          <w:rFonts w:hint="eastAsia"/>
          <w:color w:val="auto"/>
          <w:sz w:val="30"/>
          <w:szCs w:val="30"/>
          <w:highlight w:val="none"/>
          <w:lang w:val="en-US" w:eastAsia="zh-CN"/>
        </w:rPr>
        <w:t>2</w:t>
      </w:r>
      <w:r>
        <w:rPr>
          <w:rFonts w:hint="eastAsia" w:eastAsia="仿宋_GB2312"/>
          <w:color w:val="auto"/>
          <w:sz w:val="30"/>
          <w:szCs w:val="30"/>
          <w:highlight w:val="none"/>
          <w:lang w:val="en-US" w:eastAsia="zh-CN"/>
        </w:rPr>
        <w:t>0</w:t>
      </w:r>
      <w:r>
        <w:rPr>
          <w:color w:val="auto"/>
          <w:sz w:val="30"/>
          <w:szCs w:val="30"/>
          <w:highlight w:val="none"/>
        </w:rPr>
        <w:t>年一遇。</w:t>
      </w:r>
    </w:p>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hint="eastAsia" w:ascii="黑体" w:hAnsi="黑体" w:eastAsia="黑体" w:cs="黑体"/>
          <w:b w:val="0"/>
          <w:bCs/>
          <w:color w:val="auto"/>
          <w:highlight w:val="none"/>
        </w:rPr>
      </w:pPr>
      <w:r>
        <w:rPr>
          <w:rStyle w:val="550"/>
          <w:rFonts w:hint="eastAsia" w:ascii="黑体" w:hAnsi="黑体" w:eastAsia="黑体" w:cs="黑体"/>
          <w:b w:val="0"/>
          <w:bCs/>
          <w:color w:val="auto"/>
          <w:highlight w:val="none"/>
        </w:rPr>
        <w:t>二、</w:t>
      </w:r>
      <w:r>
        <w:rPr>
          <w:rStyle w:val="550"/>
          <w:rFonts w:hint="eastAsia" w:ascii="黑体" w:hAnsi="黑体" w:eastAsia="黑体" w:cs="黑体"/>
          <w:b w:val="0"/>
          <w:bCs/>
          <w:color w:val="auto"/>
          <w:highlight w:val="none"/>
          <w:lang w:val="en-US" w:eastAsia="zh-CN"/>
        </w:rPr>
        <w:t>近期</w:t>
      </w:r>
      <w:r>
        <w:rPr>
          <w:rStyle w:val="550"/>
          <w:rFonts w:hint="eastAsia" w:ascii="黑体" w:hAnsi="黑体" w:eastAsia="黑体" w:cs="黑体"/>
          <w:b w:val="0"/>
          <w:bCs/>
          <w:color w:val="auto"/>
          <w:highlight w:val="none"/>
        </w:rPr>
        <w:t>实施效果</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color w:val="auto"/>
          <w:sz w:val="30"/>
          <w:szCs w:val="30"/>
          <w:highlight w:val="none"/>
        </w:rPr>
        <w:t>到2035年，规划的防洪工程</w:t>
      </w:r>
      <w:r>
        <w:rPr>
          <w:rFonts w:hint="eastAsia"/>
          <w:color w:val="auto"/>
          <w:sz w:val="30"/>
          <w:szCs w:val="30"/>
          <w:highlight w:val="none"/>
          <w:lang w:val="en-US" w:eastAsia="zh-CN"/>
        </w:rPr>
        <w:t>措施</w:t>
      </w:r>
      <w:r>
        <w:rPr>
          <w:color w:val="auto"/>
          <w:sz w:val="30"/>
          <w:szCs w:val="30"/>
          <w:highlight w:val="none"/>
        </w:rPr>
        <w:t>和非工程措施实施后，沿江重点城镇防洪能力均有大幅度提高</w:t>
      </w:r>
      <w:r>
        <w:rPr>
          <w:rFonts w:hint="eastAsia"/>
          <w:color w:val="auto"/>
          <w:sz w:val="30"/>
          <w:szCs w:val="30"/>
          <w:highlight w:val="none"/>
          <w:lang w:eastAsia="zh-CN"/>
        </w:rPr>
        <w:t>，</w:t>
      </w:r>
      <w:r>
        <w:rPr>
          <w:color w:val="auto"/>
          <w:sz w:val="30"/>
          <w:szCs w:val="30"/>
          <w:highlight w:val="none"/>
        </w:rPr>
        <w:t>山洪灾害重点防治区初步建成以监测、通信、预警等非工程措施为主与工程措施相结合的</w:t>
      </w:r>
      <w:r>
        <w:rPr>
          <w:rFonts w:hint="eastAsia"/>
          <w:color w:val="auto"/>
          <w:sz w:val="30"/>
          <w:szCs w:val="30"/>
          <w:highlight w:val="none"/>
          <w:lang w:val="en-US" w:eastAsia="zh-CN"/>
        </w:rPr>
        <w:t>防治</w:t>
      </w:r>
      <w:r>
        <w:rPr>
          <w:color w:val="auto"/>
          <w:sz w:val="30"/>
          <w:szCs w:val="30"/>
          <w:highlight w:val="none"/>
        </w:rPr>
        <w:t>体系。</w:t>
      </w:r>
    </w:p>
    <w:p>
      <w:pPr>
        <w:pStyle w:val="154"/>
        <w:keepNext w:val="0"/>
        <w:keepLines w:val="0"/>
        <w:pageBreakBefore w:val="0"/>
        <w:widowControl w:val="0"/>
        <w:numPr>
          <w:ilvl w:val="0"/>
          <w:numId w:val="9"/>
        </w:numPr>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z w:val="30"/>
          <w:szCs w:val="30"/>
          <w:highlight w:val="none"/>
        </w:rPr>
        <w:t>德阳段：</w:t>
      </w:r>
      <w:r>
        <w:rPr>
          <w:color w:val="auto"/>
          <w:sz w:val="30"/>
          <w:szCs w:val="30"/>
          <w:highlight w:val="none"/>
        </w:rPr>
        <w:t>德阳市城区、广汉市城区防洪标准达到50年一遇，绵竹市城区防洪标准达到20年一遇</w:t>
      </w:r>
      <w:r>
        <w:rPr>
          <w:rFonts w:hint="eastAsia"/>
          <w:color w:val="auto"/>
          <w:sz w:val="30"/>
          <w:szCs w:val="30"/>
          <w:highlight w:val="none"/>
          <w:lang w:eastAsia="zh-CN"/>
        </w:rPr>
        <w:t>，</w:t>
      </w:r>
      <w:r>
        <w:rPr>
          <w:color w:val="auto"/>
          <w:sz w:val="30"/>
          <w:szCs w:val="30"/>
          <w:highlight w:val="none"/>
        </w:rPr>
        <w:t>三星堆遗址保护区防洪标准达到100年一遇。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z w:val="30"/>
          <w:szCs w:val="30"/>
          <w:highlight w:val="none"/>
        </w:rPr>
        <w:t>（二）成都段：</w:t>
      </w:r>
      <w:r>
        <w:rPr>
          <w:color w:val="auto"/>
          <w:sz w:val="30"/>
          <w:szCs w:val="30"/>
          <w:highlight w:val="none"/>
        </w:rPr>
        <w:t>青白江区、新都区、彭州市城区防洪标准达到50年一遇，金堂县城防洪标准达到20年一遇，简州新城、淮州新城防洪标准达到100年一遇。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z w:val="30"/>
          <w:szCs w:val="30"/>
          <w:highlight w:val="none"/>
        </w:rPr>
        <w:t>（三）资阳段：</w:t>
      </w:r>
      <w:r>
        <w:rPr>
          <w:rFonts w:hint="eastAsia"/>
          <w:color w:val="auto"/>
          <w:sz w:val="30"/>
          <w:szCs w:val="30"/>
          <w:highlight w:val="none"/>
        </w:rPr>
        <w:t>资阳城区宝台段、侯家坪段防洪标准达到50年一遇</w:t>
      </w:r>
      <w:r>
        <w:rPr>
          <w:rFonts w:hint="eastAsia"/>
          <w:color w:val="auto"/>
          <w:sz w:val="30"/>
          <w:szCs w:val="30"/>
          <w:highlight w:val="none"/>
          <w:lang w:eastAsia="zh-CN"/>
        </w:rPr>
        <w:t>，</w:t>
      </w:r>
      <w:r>
        <w:rPr>
          <w:rFonts w:hint="eastAsia"/>
          <w:color w:val="auto"/>
          <w:sz w:val="30"/>
          <w:szCs w:val="30"/>
          <w:highlight w:val="none"/>
        </w:rPr>
        <w:t>墨池坝段、李家坝段、董家坝段、南津驿段防洪标准达到20年一遇</w:t>
      </w:r>
      <w:r>
        <w:rPr>
          <w:rFonts w:hint="eastAsia"/>
          <w:color w:val="auto"/>
          <w:sz w:val="30"/>
          <w:szCs w:val="30"/>
          <w:highlight w:val="none"/>
          <w:lang w:eastAsia="zh-CN"/>
        </w:rPr>
        <w:t>，</w:t>
      </w:r>
      <w:r>
        <w:rPr>
          <w:rFonts w:hint="eastAsia"/>
          <w:color w:val="auto"/>
          <w:sz w:val="30"/>
          <w:szCs w:val="30"/>
          <w:highlight w:val="none"/>
        </w:rPr>
        <w:t>一般场镇和乡村段防洪标准达到10年一遇</w:t>
      </w:r>
      <w:r>
        <w:rPr>
          <w:color w:val="auto"/>
          <w:sz w:val="30"/>
          <w:szCs w:val="30"/>
          <w:highlight w:val="none"/>
        </w:rPr>
        <w:t>。</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z w:val="30"/>
          <w:szCs w:val="30"/>
          <w:highlight w:val="none"/>
        </w:rPr>
        <w:t>（四）内江段：</w:t>
      </w:r>
      <w:r>
        <w:rPr>
          <w:color w:val="auto"/>
          <w:sz w:val="30"/>
          <w:szCs w:val="30"/>
          <w:highlight w:val="none"/>
        </w:rPr>
        <w:t>内江市城区右岸防洪标准为50年一遇，左岸及各组团堤防建设防洪标准</w:t>
      </w:r>
      <w:r>
        <w:rPr>
          <w:rFonts w:hint="eastAsia"/>
          <w:color w:val="auto"/>
          <w:sz w:val="30"/>
          <w:szCs w:val="30"/>
          <w:highlight w:val="none"/>
          <w:lang w:val="en-US" w:eastAsia="zh-CN"/>
        </w:rPr>
        <w:t>为</w:t>
      </w:r>
      <w:r>
        <w:rPr>
          <w:color w:val="auto"/>
          <w:sz w:val="30"/>
          <w:szCs w:val="30"/>
          <w:highlight w:val="none"/>
        </w:rPr>
        <w:t>20年一遇，并采取临时拦挡、辅以预警疏散等措施将内江城区左岸防洪标准提高至50年一遇</w:t>
      </w:r>
      <w:r>
        <w:rPr>
          <w:rFonts w:hint="eastAsia"/>
          <w:color w:val="auto"/>
          <w:sz w:val="30"/>
          <w:szCs w:val="30"/>
          <w:highlight w:val="none"/>
          <w:lang w:eastAsia="zh-CN"/>
        </w:rPr>
        <w:t>，</w:t>
      </w:r>
      <w:r>
        <w:rPr>
          <w:color w:val="auto"/>
          <w:sz w:val="30"/>
          <w:szCs w:val="30"/>
          <w:highlight w:val="none"/>
        </w:rPr>
        <w:t>资中县水南镇河湾段防洪标准达到20年一遇</w:t>
      </w:r>
      <w:r>
        <w:rPr>
          <w:rFonts w:hint="eastAsia"/>
          <w:color w:val="auto"/>
          <w:sz w:val="30"/>
          <w:szCs w:val="30"/>
          <w:highlight w:val="none"/>
          <w:lang w:eastAsia="zh-CN"/>
        </w:rPr>
        <w:t>，</w:t>
      </w:r>
      <w:r>
        <w:rPr>
          <w:color w:val="auto"/>
          <w:sz w:val="30"/>
          <w:szCs w:val="30"/>
          <w:highlight w:val="none"/>
        </w:rPr>
        <w:t>一般场镇和乡村段防洪标准达到10年一遇。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color w:val="auto"/>
          <w:sz w:val="30"/>
          <w:szCs w:val="30"/>
          <w:highlight w:val="none"/>
        </w:rPr>
      </w:pPr>
      <w:r>
        <w:rPr>
          <w:rFonts w:hint="eastAsia" w:ascii="楷体_GB2312" w:hAnsi="楷体_GB2312" w:eastAsia="楷体_GB2312" w:cs="楷体_GB2312"/>
          <w:color w:val="auto"/>
          <w:sz w:val="30"/>
          <w:szCs w:val="30"/>
          <w:highlight w:val="none"/>
        </w:rPr>
        <w:t>（五）自贡段：</w:t>
      </w:r>
      <w:r>
        <w:rPr>
          <w:color w:val="auto"/>
          <w:sz w:val="30"/>
          <w:szCs w:val="30"/>
          <w:highlight w:val="none"/>
        </w:rPr>
        <w:t>自贡市城区</w:t>
      </w:r>
      <w:r>
        <w:rPr>
          <w:rFonts w:hint="eastAsia"/>
          <w:color w:val="auto"/>
          <w:sz w:val="30"/>
          <w:szCs w:val="30"/>
          <w:highlight w:val="none"/>
          <w:lang w:val="en-US" w:eastAsia="zh-CN"/>
        </w:rPr>
        <w:t>段</w:t>
      </w:r>
      <w:r>
        <w:rPr>
          <w:color w:val="auto"/>
          <w:sz w:val="30"/>
          <w:szCs w:val="30"/>
          <w:highlight w:val="none"/>
        </w:rPr>
        <w:t>、富顺县段防洪标准</w:t>
      </w:r>
      <w:r>
        <w:rPr>
          <w:rFonts w:hint="eastAsia"/>
          <w:color w:val="auto"/>
          <w:sz w:val="30"/>
          <w:szCs w:val="30"/>
          <w:highlight w:val="none"/>
          <w:lang w:val="en-US" w:eastAsia="zh-CN"/>
        </w:rPr>
        <w:t>达</w:t>
      </w:r>
      <w:r>
        <w:rPr>
          <w:color w:val="auto"/>
          <w:sz w:val="30"/>
          <w:szCs w:val="30"/>
          <w:highlight w:val="none"/>
        </w:rPr>
        <w:t>到10～20年一遇</w:t>
      </w:r>
      <w:r>
        <w:rPr>
          <w:rFonts w:hint="eastAsia"/>
          <w:color w:val="auto"/>
          <w:sz w:val="30"/>
          <w:szCs w:val="30"/>
          <w:highlight w:val="none"/>
          <w:lang w:eastAsia="zh-CN"/>
        </w:rPr>
        <w:t>，</w:t>
      </w:r>
      <w:r>
        <w:rPr>
          <w:color w:val="auto"/>
          <w:sz w:val="30"/>
          <w:szCs w:val="30"/>
          <w:highlight w:val="none"/>
        </w:rPr>
        <w:t>釜溪河除自贡</w:t>
      </w:r>
      <w:r>
        <w:rPr>
          <w:rFonts w:hint="eastAsia"/>
          <w:color w:val="auto"/>
          <w:sz w:val="30"/>
          <w:szCs w:val="30"/>
          <w:highlight w:val="none"/>
          <w:lang w:val="en-US" w:eastAsia="zh-CN"/>
        </w:rPr>
        <w:t>市</w:t>
      </w:r>
      <w:r>
        <w:rPr>
          <w:color w:val="auto"/>
          <w:sz w:val="30"/>
          <w:szCs w:val="30"/>
          <w:highlight w:val="none"/>
        </w:rPr>
        <w:t>城区段外防洪标准</w:t>
      </w:r>
      <w:r>
        <w:rPr>
          <w:rFonts w:hint="eastAsia"/>
          <w:color w:val="auto"/>
          <w:sz w:val="30"/>
          <w:szCs w:val="30"/>
          <w:highlight w:val="none"/>
          <w:lang w:val="en-US" w:eastAsia="zh-CN"/>
        </w:rPr>
        <w:t>达</w:t>
      </w:r>
      <w:r>
        <w:rPr>
          <w:color w:val="auto"/>
          <w:sz w:val="30"/>
          <w:szCs w:val="30"/>
          <w:highlight w:val="none"/>
        </w:rPr>
        <w:t>到10年一遇。</w:t>
      </w:r>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Style w:val="733"/>
          <w:rFonts w:hint="eastAsia"/>
          <w:color w:val="auto"/>
          <w:highlight w:val="none"/>
          <w:lang w:val="en-US" w:eastAsia="zh-CN"/>
        </w:rPr>
      </w:pPr>
      <w:r>
        <w:rPr>
          <w:rFonts w:hint="eastAsia" w:ascii="楷体_GB2312" w:hAnsi="楷体_GB2312" w:eastAsia="楷体_GB2312" w:cs="楷体_GB2312"/>
          <w:color w:val="auto"/>
          <w:sz w:val="30"/>
          <w:szCs w:val="30"/>
          <w:highlight w:val="none"/>
        </w:rPr>
        <w:t>（六）泸州段：</w:t>
      </w:r>
      <w:r>
        <w:rPr>
          <w:color w:val="auto"/>
          <w:sz w:val="30"/>
          <w:szCs w:val="30"/>
          <w:highlight w:val="none"/>
        </w:rPr>
        <w:t>泸州市城区沱江右岸中心半岛片区</w:t>
      </w:r>
      <w:r>
        <w:rPr>
          <w:rFonts w:hint="eastAsia"/>
          <w:color w:val="auto"/>
          <w:sz w:val="30"/>
          <w:szCs w:val="30"/>
          <w:highlight w:val="none"/>
          <w:lang w:val="en-US" w:eastAsia="zh-CN"/>
        </w:rPr>
        <w:t>段</w:t>
      </w:r>
      <w:r>
        <w:rPr>
          <w:color w:val="auto"/>
          <w:sz w:val="30"/>
          <w:szCs w:val="30"/>
          <w:highlight w:val="none"/>
        </w:rPr>
        <w:t>防洪标准达到50年一遇，沱江左岸小市</w:t>
      </w:r>
      <w:r>
        <w:rPr>
          <w:rFonts w:hint="eastAsia" w:ascii="宋体" w:hAnsi="宋体" w:eastAsia="宋体" w:cs="宋体"/>
          <w:color w:val="auto"/>
          <w:sz w:val="30"/>
          <w:szCs w:val="30"/>
          <w:highlight w:val="none"/>
        </w:rPr>
        <w:t>－</w:t>
      </w:r>
      <w:r>
        <w:rPr>
          <w:color w:val="auto"/>
          <w:sz w:val="30"/>
          <w:szCs w:val="30"/>
          <w:highlight w:val="none"/>
        </w:rPr>
        <w:t>大驿坝片区</w:t>
      </w:r>
      <w:r>
        <w:rPr>
          <w:rFonts w:hint="eastAsia"/>
          <w:color w:val="auto"/>
          <w:sz w:val="30"/>
          <w:szCs w:val="30"/>
          <w:highlight w:val="none"/>
          <w:lang w:val="en-US" w:eastAsia="zh-CN"/>
        </w:rPr>
        <w:t>段</w:t>
      </w:r>
      <w:r>
        <w:rPr>
          <w:color w:val="auto"/>
          <w:sz w:val="30"/>
          <w:szCs w:val="30"/>
          <w:highlight w:val="none"/>
        </w:rPr>
        <w:t>防洪标准达到20年一遇。泸县</w:t>
      </w:r>
      <w:r>
        <w:rPr>
          <w:rFonts w:hint="eastAsia"/>
          <w:color w:val="auto"/>
          <w:sz w:val="30"/>
          <w:szCs w:val="30"/>
          <w:highlight w:val="none"/>
          <w:lang w:val="en-US" w:eastAsia="zh-CN"/>
        </w:rPr>
        <w:t>城区</w:t>
      </w:r>
      <w:r>
        <w:rPr>
          <w:color w:val="auto"/>
          <w:sz w:val="30"/>
          <w:szCs w:val="30"/>
          <w:highlight w:val="none"/>
        </w:rPr>
        <w:t>防洪标准达到20年一遇。 </w:t>
      </w:r>
      <w:bookmarkEnd w:id="0"/>
      <w:bookmarkEnd w:id="4"/>
      <w:bookmarkEnd w:id="5"/>
      <w:bookmarkEnd w:id="6"/>
      <w:bookmarkEnd w:id="7"/>
      <w:bookmarkEnd w:id="8"/>
      <w:bookmarkEnd w:id="9"/>
      <w:bookmarkEnd w:id="10"/>
      <w:bookmarkStart w:id="151" w:name="_Toc309578535"/>
      <w:bookmarkStart w:id="152" w:name="_Toc292351811"/>
      <w:bookmarkStart w:id="153" w:name="_Toc302980362"/>
    </w:p>
    <w:p>
      <w:pPr>
        <w:pStyle w:val="154"/>
        <w:keepNext w:val="0"/>
        <w:keepLines w:val="0"/>
        <w:pageBreakBefore w:val="0"/>
        <w:widowControl w:val="0"/>
        <w:kinsoku/>
        <w:wordWrap/>
        <w:overflowPunct/>
        <w:topLinePunct w:val="0"/>
        <w:autoSpaceDE/>
        <w:autoSpaceDN/>
        <w:bidi w:val="0"/>
        <w:adjustRightInd/>
        <w:snapToGrid/>
        <w:spacing w:line="540" w:lineRule="exact"/>
        <w:ind w:firstLine="578"/>
        <w:textAlignment w:val="auto"/>
        <w:rPr>
          <w:rStyle w:val="733"/>
          <w:rFonts w:hint="eastAsia" w:ascii="黑体" w:hAnsi="黑体" w:eastAsia="黑体" w:cs="黑体"/>
          <w:b w:val="0"/>
          <w:bCs w:val="0"/>
          <w:color w:val="auto"/>
          <w:highlight w:val="none"/>
        </w:rPr>
      </w:pPr>
      <w:r>
        <w:rPr>
          <w:rStyle w:val="733"/>
          <w:rFonts w:hint="eastAsia" w:ascii="黑体" w:hAnsi="黑体" w:eastAsia="黑体" w:cs="黑体"/>
          <w:b w:val="0"/>
          <w:bCs w:val="0"/>
          <w:color w:val="auto"/>
          <w:highlight w:val="none"/>
        </w:rPr>
        <w:t>三、</w:t>
      </w:r>
      <w:r>
        <w:rPr>
          <w:rStyle w:val="733"/>
          <w:rFonts w:hint="eastAsia" w:ascii="黑体" w:hAnsi="黑体" w:eastAsia="黑体" w:cs="黑体"/>
          <w:b w:val="0"/>
          <w:bCs w:val="0"/>
          <w:color w:val="auto"/>
          <w:highlight w:val="none"/>
          <w:lang w:val="en-US" w:eastAsia="zh-CN"/>
        </w:rPr>
        <w:t>远景</w:t>
      </w:r>
      <w:r>
        <w:rPr>
          <w:rStyle w:val="733"/>
          <w:rFonts w:hint="eastAsia" w:ascii="黑体" w:hAnsi="黑体" w:eastAsia="黑体" w:cs="黑体"/>
          <w:b w:val="0"/>
          <w:bCs w:val="0"/>
          <w:color w:val="auto"/>
          <w:highlight w:val="none"/>
        </w:rPr>
        <w:t>实施效果</w:t>
      </w:r>
    </w:p>
    <w:p>
      <w:pPr>
        <w:pStyle w:val="713"/>
        <w:keepNext w:val="0"/>
        <w:keepLines w:val="0"/>
        <w:pageBreakBefore w:val="0"/>
        <w:widowControl w:val="0"/>
        <w:kinsoku/>
        <w:wordWrap/>
        <w:overflowPunct/>
        <w:topLinePunct w:val="0"/>
        <w:autoSpaceDE/>
        <w:autoSpaceDN/>
        <w:bidi w:val="0"/>
        <w:adjustRightInd/>
        <w:snapToGrid/>
        <w:spacing w:line="540" w:lineRule="exact"/>
        <w:textAlignment w:val="auto"/>
        <w:rPr>
          <w:rFonts w:ascii="Times New Roman"/>
          <w:color w:val="auto"/>
          <w:spacing w:val="4"/>
          <w:sz w:val="30"/>
          <w:szCs w:val="30"/>
        </w:rPr>
      </w:pPr>
      <w:r>
        <w:rPr>
          <w:rFonts w:hint="eastAsia" w:ascii="Times New Roman"/>
          <w:color w:val="auto"/>
          <w:spacing w:val="4"/>
          <w:sz w:val="30"/>
          <w:szCs w:val="30"/>
          <w:highlight w:val="none"/>
          <w:lang w:val="en-US" w:eastAsia="zh-CN"/>
        </w:rPr>
        <w:t>到</w:t>
      </w:r>
      <w:r>
        <w:rPr>
          <w:rFonts w:ascii="Times New Roman"/>
          <w:color w:val="auto"/>
          <w:spacing w:val="4"/>
          <w:sz w:val="30"/>
          <w:szCs w:val="30"/>
          <w:highlight w:val="none"/>
        </w:rPr>
        <w:t>2050年，</w:t>
      </w:r>
      <w:r>
        <w:rPr>
          <w:rFonts w:hint="eastAsia" w:ascii="Times New Roman"/>
          <w:color w:val="auto"/>
          <w:spacing w:val="4"/>
          <w:sz w:val="30"/>
          <w:szCs w:val="30"/>
          <w:highlight w:val="none"/>
          <w:lang w:val="en-US" w:eastAsia="zh-CN"/>
        </w:rPr>
        <w:t>流域</w:t>
      </w:r>
      <w:r>
        <w:rPr>
          <w:rFonts w:ascii="Times New Roman"/>
          <w:color w:val="auto"/>
          <w:spacing w:val="4"/>
          <w:sz w:val="30"/>
          <w:szCs w:val="30"/>
          <w:highlight w:val="none"/>
        </w:rPr>
        <w:t>防洪</w:t>
      </w:r>
      <w:r>
        <w:rPr>
          <w:rFonts w:hint="eastAsia" w:ascii="Times New Roman"/>
          <w:color w:val="auto"/>
          <w:spacing w:val="4"/>
          <w:sz w:val="30"/>
          <w:szCs w:val="30"/>
          <w:highlight w:val="none"/>
          <w:lang w:val="en-US" w:eastAsia="zh-CN"/>
        </w:rPr>
        <w:t>减灾</w:t>
      </w:r>
      <w:r>
        <w:rPr>
          <w:rFonts w:ascii="Times New Roman"/>
          <w:color w:val="auto"/>
          <w:spacing w:val="4"/>
          <w:sz w:val="30"/>
          <w:szCs w:val="30"/>
          <w:highlight w:val="none"/>
        </w:rPr>
        <w:t>体系</w:t>
      </w:r>
      <w:r>
        <w:rPr>
          <w:rFonts w:hint="eastAsia" w:ascii="Times New Roman"/>
          <w:color w:val="auto"/>
          <w:spacing w:val="4"/>
          <w:sz w:val="30"/>
          <w:szCs w:val="30"/>
          <w:highlight w:val="none"/>
          <w:lang w:val="en-US" w:eastAsia="zh-CN"/>
        </w:rPr>
        <w:t>全面完善</w:t>
      </w:r>
      <w:r>
        <w:rPr>
          <w:rFonts w:ascii="Times New Roman"/>
          <w:color w:val="auto"/>
          <w:spacing w:val="4"/>
          <w:sz w:val="30"/>
          <w:szCs w:val="30"/>
          <w:highlight w:val="none"/>
        </w:rPr>
        <w:t>，金堂</w:t>
      </w:r>
      <w:r>
        <w:rPr>
          <w:rFonts w:hint="eastAsia" w:ascii="Times New Roman"/>
          <w:color w:val="auto"/>
          <w:spacing w:val="4"/>
          <w:sz w:val="30"/>
          <w:szCs w:val="30"/>
          <w:highlight w:val="none"/>
          <w:lang w:val="en-US" w:eastAsia="zh-CN"/>
        </w:rPr>
        <w:t>县</w:t>
      </w:r>
      <w:r>
        <w:rPr>
          <w:rFonts w:ascii="Times New Roman"/>
          <w:color w:val="auto"/>
          <w:spacing w:val="4"/>
          <w:sz w:val="30"/>
          <w:szCs w:val="30"/>
          <w:highlight w:val="none"/>
        </w:rPr>
        <w:t>、自贡</w:t>
      </w:r>
      <w:r>
        <w:rPr>
          <w:rFonts w:hint="eastAsia" w:ascii="Times New Roman"/>
          <w:color w:val="auto"/>
          <w:spacing w:val="4"/>
          <w:sz w:val="30"/>
          <w:szCs w:val="30"/>
          <w:highlight w:val="none"/>
          <w:lang w:val="en-US" w:eastAsia="zh-CN"/>
        </w:rPr>
        <w:t>市</w:t>
      </w:r>
      <w:r>
        <w:rPr>
          <w:rFonts w:hint="eastAsia" w:ascii="Times New Roman"/>
          <w:color w:val="auto"/>
          <w:spacing w:val="4"/>
          <w:sz w:val="30"/>
          <w:szCs w:val="30"/>
          <w:highlight w:val="none"/>
          <w:lang w:eastAsia="zh-CN"/>
        </w:rPr>
        <w:t>、</w:t>
      </w:r>
      <w:r>
        <w:rPr>
          <w:rFonts w:ascii="Times New Roman"/>
          <w:color w:val="auto"/>
          <w:spacing w:val="4"/>
          <w:sz w:val="30"/>
          <w:szCs w:val="30"/>
          <w:highlight w:val="none"/>
        </w:rPr>
        <w:t>泸州</w:t>
      </w:r>
      <w:r>
        <w:rPr>
          <w:rFonts w:hint="eastAsia" w:ascii="Times New Roman"/>
          <w:color w:val="auto"/>
          <w:spacing w:val="4"/>
          <w:sz w:val="30"/>
          <w:szCs w:val="30"/>
          <w:highlight w:val="none"/>
          <w:lang w:eastAsia="zh-CN"/>
        </w:rPr>
        <w:t>市</w:t>
      </w:r>
      <w:r>
        <w:rPr>
          <w:rFonts w:ascii="Times New Roman"/>
          <w:color w:val="auto"/>
          <w:spacing w:val="4"/>
          <w:sz w:val="30"/>
          <w:szCs w:val="30"/>
          <w:highlight w:val="none"/>
        </w:rPr>
        <w:t>城市防洪以及三星堆遗址保护</w:t>
      </w:r>
      <w:r>
        <w:rPr>
          <w:rFonts w:hint="eastAsia" w:ascii="Times New Roman"/>
          <w:color w:val="auto"/>
          <w:spacing w:val="4"/>
          <w:sz w:val="30"/>
          <w:szCs w:val="30"/>
          <w:highlight w:val="none"/>
          <w:lang w:val="en-US" w:eastAsia="zh-CN"/>
        </w:rPr>
        <w:t>区</w:t>
      </w:r>
      <w:r>
        <w:rPr>
          <w:rFonts w:ascii="Times New Roman"/>
          <w:color w:val="auto"/>
          <w:spacing w:val="4"/>
          <w:sz w:val="30"/>
          <w:szCs w:val="30"/>
          <w:highlight w:val="none"/>
        </w:rPr>
        <w:t>防</w:t>
      </w:r>
      <w:r>
        <w:rPr>
          <w:rFonts w:ascii="Times New Roman"/>
          <w:color w:val="auto"/>
          <w:spacing w:val="4"/>
          <w:sz w:val="30"/>
          <w:szCs w:val="30"/>
        </w:rPr>
        <w:t>洪</w:t>
      </w:r>
      <w:r>
        <w:rPr>
          <w:rFonts w:hint="eastAsia" w:ascii="Times New Roman"/>
          <w:color w:val="auto"/>
          <w:spacing w:val="4"/>
          <w:sz w:val="30"/>
          <w:szCs w:val="30"/>
          <w:lang w:val="en-US" w:eastAsia="zh-CN"/>
        </w:rPr>
        <w:t>能力显著提升</w:t>
      </w:r>
      <w:r>
        <w:rPr>
          <w:rFonts w:hint="eastAsia" w:ascii="Times New Roman"/>
          <w:color w:val="auto"/>
          <w:spacing w:val="4"/>
          <w:sz w:val="30"/>
          <w:szCs w:val="30"/>
          <w:lang w:eastAsia="zh-CN"/>
        </w:rPr>
        <w:t>，</w:t>
      </w:r>
      <w:r>
        <w:rPr>
          <w:rFonts w:ascii="Times New Roman"/>
          <w:color w:val="auto"/>
          <w:spacing w:val="4"/>
          <w:sz w:val="30"/>
          <w:szCs w:val="30"/>
        </w:rPr>
        <w:t>金堂县</w:t>
      </w:r>
      <w:r>
        <w:rPr>
          <w:rFonts w:hint="eastAsia" w:ascii="Times New Roman"/>
          <w:color w:val="auto"/>
          <w:spacing w:val="4"/>
          <w:sz w:val="30"/>
          <w:szCs w:val="30"/>
          <w:lang w:eastAsia="zh-CN"/>
        </w:rPr>
        <w:t>、</w:t>
      </w:r>
      <w:r>
        <w:rPr>
          <w:rFonts w:ascii="Times New Roman"/>
          <w:color w:val="auto"/>
          <w:spacing w:val="4"/>
          <w:sz w:val="30"/>
          <w:szCs w:val="30"/>
        </w:rPr>
        <w:t>自贡市城</w:t>
      </w:r>
      <w:r>
        <w:rPr>
          <w:rFonts w:hint="eastAsia" w:ascii="Times New Roman"/>
          <w:color w:val="auto"/>
          <w:spacing w:val="4"/>
          <w:sz w:val="30"/>
          <w:szCs w:val="30"/>
          <w:lang w:val="en-US" w:eastAsia="zh-CN"/>
        </w:rPr>
        <w:t>区</w:t>
      </w:r>
      <w:r>
        <w:rPr>
          <w:rFonts w:ascii="Times New Roman"/>
          <w:color w:val="auto"/>
          <w:spacing w:val="4"/>
          <w:sz w:val="30"/>
          <w:szCs w:val="30"/>
        </w:rPr>
        <w:t>防洪标准</w:t>
      </w:r>
      <w:r>
        <w:rPr>
          <w:rFonts w:hint="eastAsia" w:ascii="Times New Roman"/>
          <w:color w:val="auto"/>
          <w:spacing w:val="4"/>
          <w:sz w:val="30"/>
          <w:szCs w:val="30"/>
          <w:lang w:val="en-US" w:eastAsia="zh-CN"/>
        </w:rPr>
        <w:t>提高</w:t>
      </w:r>
      <w:r>
        <w:rPr>
          <w:rFonts w:ascii="Times New Roman"/>
          <w:color w:val="auto"/>
          <w:spacing w:val="4"/>
          <w:sz w:val="30"/>
          <w:szCs w:val="30"/>
        </w:rPr>
        <w:t>到50年一遇</w:t>
      </w:r>
      <w:r>
        <w:rPr>
          <w:rFonts w:hint="eastAsia" w:ascii="Times New Roman"/>
          <w:color w:val="auto"/>
          <w:spacing w:val="4"/>
          <w:sz w:val="30"/>
          <w:szCs w:val="30"/>
          <w:lang w:eastAsia="zh-CN"/>
        </w:rPr>
        <w:t>；</w:t>
      </w:r>
      <w:r>
        <w:rPr>
          <w:rFonts w:ascii="Times New Roman"/>
          <w:color w:val="auto"/>
          <w:spacing w:val="4"/>
          <w:sz w:val="30"/>
          <w:szCs w:val="30"/>
        </w:rPr>
        <w:t>其余县级城市和乡</w:t>
      </w:r>
      <w:r>
        <w:rPr>
          <w:rFonts w:hint="eastAsia" w:ascii="Times New Roman"/>
          <w:color w:val="auto"/>
          <w:spacing w:val="4"/>
          <w:sz w:val="30"/>
          <w:szCs w:val="30"/>
          <w:lang w:eastAsia="zh-CN"/>
        </w:rPr>
        <w:t>（</w:t>
      </w:r>
      <w:r>
        <w:rPr>
          <w:rFonts w:hint="eastAsia" w:ascii="Times New Roman"/>
          <w:color w:val="auto"/>
          <w:spacing w:val="4"/>
          <w:sz w:val="30"/>
          <w:szCs w:val="30"/>
          <w:lang w:val="en-US" w:eastAsia="zh-CN"/>
        </w:rPr>
        <w:t>镇</w:t>
      </w:r>
      <w:r>
        <w:rPr>
          <w:rFonts w:hint="eastAsia" w:ascii="Times New Roman"/>
          <w:color w:val="auto"/>
          <w:spacing w:val="4"/>
          <w:sz w:val="30"/>
          <w:szCs w:val="30"/>
          <w:lang w:eastAsia="zh-CN"/>
        </w:rPr>
        <w:t>）</w:t>
      </w:r>
      <w:r>
        <w:rPr>
          <w:rFonts w:ascii="Times New Roman"/>
          <w:color w:val="auto"/>
          <w:spacing w:val="4"/>
          <w:sz w:val="30"/>
          <w:szCs w:val="30"/>
        </w:rPr>
        <w:t>村河段全面达到</w:t>
      </w:r>
      <w:r>
        <w:rPr>
          <w:rFonts w:hint="eastAsia" w:ascii="Times New Roman"/>
          <w:color w:val="auto"/>
          <w:spacing w:val="4"/>
          <w:sz w:val="30"/>
          <w:szCs w:val="30"/>
          <w:lang w:val="en-US" w:eastAsia="zh-CN"/>
        </w:rPr>
        <w:t>规划确定的</w:t>
      </w:r>
      <w:r>
        <w:rPr>
          <w:rFonts w:ascii="Times New Roman"/>
          <w:color w:val="auto"/>
          <w:spacing w:val="4"/>
          <w:sz w:val="30"/>
          <w:szCs w:val="30"/>
        </w:rPr>
        <w:t>防洪标准</w:t>
      </w:r>
      <w:r>
        <w:rPr>
          <w:rFonts w:hint="eastAsia" w:ascii="Times New Roman"/>
          <w:color w:val="auto"/>
          <w:spacing w:val="4"/>
          <w:sz w:val="30"/>
          <w:szCs w:val="30"/>
          <w:lang w:eastAsia="zh-CN"/>
        </w:rPr>
        <w:t>，</w:t>
      </w:r>
      <w:r>
        <w:rPr>
          <w:rFonts w:ascii="Times New Roman"/>
          <w:color w:val="auto"/>
          <w:spacing w:val="4"/>
          <w:sz w:val="30"/>
          <w:szCs w:val="30"/>
        </w:rPr>
        <w:t>实现河道治理和管理法制化、规范化，流域防洪管理基本实现现代</w:t>
      </w:r>
      <w:r>
        <w:rPr>
          <w:rFonts w:hint="eastAsia" w:ascii="Times New Roman"/>
          <w:color w:val="auto"/>
          <w:spacing w:val="4"/>
          <w:sz w:val="30"/>
          <w:szCs w:val="30"/>
          <w:lang w:val="en-US" w:eastAsia="zh-CN"/>
        </w:rPr>
        <w:t>化</w:t>
      </w:r>
      <w:r>
        <w:rPr>
          <w:rFonts w:ascii="Times New Roman"/>
          <w:color w:val="auto"/>
          <w:spacing w:val="4"/>
          <w:sz w:val="30"/>
          <w:szCs w:val="30"/>
        </w:rPr>
        <w:t>。</w:t>
      </w:r>
    </w:p>
    <w:p>
      <w:pPr>
        <w:pStyle w:val="3"/>
        <w:keepNext/>
        <w:keepLines/>
        <w:pageBreakBefore w:val="0"/>
        <w:widowControl w:val="0"/>
        <w:kinsoku/>
        <w:wordWrap/>
        <w:overflowPunct/>
        <w:topLinePunct w:val="0"/>
        <w:autoSpaceDE/>
        <w:autoSpaceDN/>
        <w:bidi w:val="0"/>
        <w:adjustRightInd/>
        <w:snapToGrid/>
        <w:spacing w:before="0" w:after="0" w:line="640" w:lineRule="exact"/>
        <w:textAlignment w:val="auto"/>
        <w:rPr>
          <w:color w:val="auto"/>
        </w:rPr>
      </w:pPr>
      <w:r>
        <w:rPr>
          <w:color w:val="auto"/>
        </w:rPr>
        <w:br w:type="page"/>
      </w:r>
      <w:bookmarkStart w:id="154" w:name="_Toc124757374"/>
    </w:p>
    <w:p>
      <w:pPr>
        <w:pStyle w:val="3"/>
        <w:keepNext/>
        <w:keepLines/>
        <w:pageBreakBefore w:val="0"/>
        <w:widowControl w:val="0"/>
        <w:kinsoku/>
        <w:wordWrap/>
        <w:overflowPunct/>
        <w:topLinePunct w:val="0"/>
        <w:autoSpaceDE/>
        <w:autoSpaceDN/>
        <w:bidi w:val="0"/>
        <w:adjustRightInd/>
        <w:snapToGrid/>
        <w:spacing w:before="0" w:after="0" w:line="640" w:lineRule="exact"/>
        <w:jc w:val="center"/>
        <w:textAlignment w:val="auto"/>
        <w:rPr>
          <w:b w:val="0"/>
          <w:bCs w:val="0"/>
          <w:color w:val="auto"/>
        </w:rPr>
      </w:pPr>
      <w:r>
        <w:rPr>
          <w:b w:val="0"/>
          <w:bCs w:val="0"/>
          <w:color w:val="auto"/>
        </w:rPr>
        <w:t>第十三章  保障措施</w:t>
      </w:r>
      <w:bookmarkEnd w:id="151"/>
      <w:bookmarkEnd w:id="154"/>
    </w:p>
    <w:bookmarkEnd w:id="152"/>
    <w:bookmarkEnd w:id="153"/>
    <w:p>
      <w:pPr>
        <w:pStyle w:val="5"/>
        <w:keepNext/>
        <w:keepLines/>
        <w:pageBreakBefore w:val="0"/>
        <w:widowControl w:val="0"/>
        <w:kinsoku/>
        <w:wordWrap/>
        <w:overflowPunct/>
        <w:topLinePunct w:val="0"/>
        <w:autoSpaceDE/>
        <w:autoSpaceDN/>
        <w:bidi w:val="0"/>
        <w:adjustRightInd/>
        <w:snapToGrid/>
        <w:spacing w:before="0" w:after="0" w:line="540" w:lineRule="exact"/>
        <w:textAlignment w:val="auto"/>
        <w:rPr>
          <w:rStyle w:val="550"/>
          <w:rFonts w:ascii="Times New Roman" w:hAnsi="Times New Roman"/>
          <w:color w:val="auto"/>
        </w:rPr>
      </w:pPr>
      <w:bookmarkStart w:id="155" w:name="_Toc302980363"/>
    </w:p>
    <w:p>
      <w:pPr>
        <w:pStyle w:val="5"/>
        <w:keepNext/>
        <w:keepLines/>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rPr>
      </w:pPr>
      <w:r>
        <w:rPr>
          <w:rStyle w:val="550"/>
          <w:rFonts w:hint="eastAsia" w:ascii="黑体" w:hAnsi="黑体" w:eastAsia="黑体" w:cs="黑体"/>
          <w:b w:val="0"/>
          <w:bCs/>
          <w:color w:val="auto"/>
        </w:rPr>
        <w:t>一、</w:t>
      </w:r>
      <w:bookmarkEnd w:id="155"/>
      <w:r>
        <w:rPr>
          <w:rStyle w:val="550"/>
          <w:rFonts w:hint="eastAsia" w:ascii="黑体" w:hAnsi="黑体" w:eastAsia="黑体" w:cs="黑体"/>
          <w:b w:val="0"/>
          <w:bCs/>
          <w:color w:val="auto"/>
        </w:rPr>
        <w:t>加强组织领导</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rPr>
      </w:pPr>
      <w:r>
        <w:rPr>
          <w:color w:val="auto"/>
          <w:sz w:val="30"/>
          <w:szCs w:val="30"/>
        </w:rPr>
        <w:t>沱江流域相关市、县</w:t>
      </w:r>
      <w:r>
        <w:rPr>
          <w:rFonts w:hint="eastAsia"/>
          <w:color w:val="auto"/>
          <w:sz w:val="30"/>
          <w:szCs w:val="30"/>
          <w:lang w:eastAsia="zh-CN"/>
        </w:rPr>
        <w:t>（市、</w:t>
      </w:r>
      <w:r>
        <w:rPr>
          <w:rFonts w:hint="eastAsia"/>
          <w:color w:val="auto"/>
          <w:sz w:val="30"/>
          <w:szCs w:val="30"/>
          <w:lang w:val="en-US" w:eastAsia="zh-CN"/>
        </w:rPr>
        <w:t>区）人民</w:t>
      </w:r>
      <w:r>
        <w:rPr>
          <w:color w:val="auto"/>
          <w:sz w:val="30"/>
          <w:szCs w:val="30"/>
        </w:rPr>
        <w:t>政府是沱江流域防洪规划实施的责任主体，要加强组织领导，把提高流域防洪能力摆在重要位置，统筹</w:t>
      </w:r>
      <w:r>
        <w:rPr>
          <w:rFonts w:hint="eastAsia"/>
          <w:color w:val="auto"/>
          <w:sz w:val="30"/>
          <w:szCs w:val="30"/>
          <w:lang w:val="en-US" w:eastAsia="zh-CN"/>
        </w:rPr>
        <w:t>发展和安全，</w:t>
      </w:r>
      <w:r>
        <w:rPr>
          <w:color w:val="auto"/>
          <w:sz w:val="30"/>
          <w:szCs w:val="30"/>
        </w:rPr>
        <w:t>落实各项</w:t>
      </w:r>
      <w:r>
        <w:rPr>
          <w:rFonts w:hint="eastAsia"/>
          <w:color w:val="auto"/>
          <w:sz w:val="30"/>
          <w:szCs w:val="30"/>
          <w:lang w:val="en-US" w:eastAsia="zh-CN"/>
        </w:rPr>
        <w:t>规划</w:t>
      </w:r>
      <w:r>
        <w:rPr>
          <w:color w:val="auto"/>
          <w:sz w:val="30"/>
          <w:szCs w:val="30"/>
        </w:rPr>
        <w:t>任务，</w:t>
      </w:r>
      <w:r>
        <w:rPr>
          <w:rFonts w:hint="eastAsia"/>
          <w:color w:val="auto"/>
          <w:sz w:val="30"/>
          <w:szCs w:val="30"/>
          <w:lang w:val="en-US" w:eastAsia="zh-CN"/>
        </w:rPr>
        <w:t>加快流域</w:t>
      </w:r>
      <w:r>
        <w:rPr>
          <w:color w:val="auto"/>
          <w:sz w:val="30"/>
          <w:szCs w:val="30"/>
        </w:rPr>
        <w:t>防洪工程</w:t>
      </w:r>
      <w:r>
        <w:rPr>
          <w:rFonts w:hint="eastAsia"/>
          <w:color w:val="auto"/>
          <w:sz w:val="30"/>
          <w:szCs w:val="30"/>
          <w:lang w:val="en-US" w:eastAsia="zh-CN"/>
        </w:rPr>
        <w:t>措施</w:t>
      </w:r>
      <w:r>
        <w:rPr>
          <w:color w:val="auto"/>
          <w:sz w:val="30"/>
          <w:szCs w:val="30"/>
        </w:rPr>
        <w:t>和非工程措施建设。省直有关部门要认真履职</w:t>
      </w:r>
      <w:r>
        <w:rPr>
          <w:rFonts w:hint="eastAsia"/>
          <w:color w:val="auto"/>
          <w:sz w:val="30"/>
          <w:szCs w:val="30"/>
          <w:lang w:val="en-US" w:eastAsia="zh-CN"/>
        </w:rPr>
        <w:t>尽</w:t>
      </w:r>
      <w:r>
        <w:rPr>
          <w:color w:val="auto"/>
          <w:sz w:val="30"/>
          <w:szCs w:val="30"/>
        </w:rPr>
        <w:t>责，加强协调联动，</w:t>
      </w:r>
      <w:r>
        <w:rPr>
          <w:rFonts w:hint="eastAsia"/>
          <w:color w:val="auto"/>
          <w:sz w:val="30"/>
          <w:szCs w:val="30"/>
          <w:lang w:val="en-US" w:eastAsia="zh-CN"/>
        </w:rPr>
        <w:t>合力推进</w:t>
      </w:r>
      <w:r>
        <w:rPr>
          <w:color w:val="auto"/>
          <w:sz w:val="30"/>
          <w:szCs w:val="30"/>
        </w:rPr>
        <w:t>规划任务</w:t>
      </w:r>
      <w:r>
        <w:rPr>
          <w:rFonts w:hint="eastAsia"/>
          <w:color w:val="auto"/>
          <w:sz w:val="30"/>
          <w:szCs w:val="30"/>
          <w:lang w:val="en-US" w:eastAsia="zh-CN"/>
        </w:rPr>
        <w:t>落地见效</w:t>
      </w:r>
      <w:r>
        <w:rPr>
          <w:color w:val="auto"/>
          <w:sz w:val="30"/>
          <w:szCs w:val="30"/>
        </w:rPr>
        <w:t>。</w:t>
      </w:r>
    </w:p>
    <w:p>
      <w:pPr>
        <w:pStyle w:val="5"/>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rPr>
      </w:pPr>
      <w:bookmarkStart w:id="156" w:name="_Toc302980364"/>
      <w:r>
        <w:rPr>
          <w:rStyle w:val="550"/>
          <w:rFonts w:hint="eastAsia" w:ascii="黑体" w:hAnsi="黑体" w:eastAsia="黑体" w:cs="黑体"/>
          <w:b w:val="0"/>
          <w:bCs/>
          <w:color w:val="auto"/>
        </w:rPr>
        <w:t>二、全力推进项目</w:t>
      </w:r>
      <w:bookmarkEnd w:id="156"/>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rPr>
      </w:pPr>
      <w:r>
        <w:rPr>
          <w:color w:val="auto"/>
          <w:sz w:val="30"/>
          <w:szCs w:val="30"/>
        </w:rPr>
        <w:t>各级政府及有关部门要全力推进防洪重点项目</w:t>
      </w:r>
      <w:r>
        <w:rPr>
          <w:rFonts w:hint="eastAsia"/>
          <w:color w:val="auto"/>
          <w:sz w:val="30"/>
          <w:szCs w:val="30"/>
          <w:lang w:val="en-US" w:eastAsia="zh-CN"/>
        </w:rPr>
        <w:t>前期工作</w:t>
      </w:r>
      <w:r>
        <w:rPr>
          <w:rFonts w:hint="eastAsia"/>
          <w:color w:val="auto"/>
          <w:sz w:val="30"/>
          <w:szCs w:val="30"/>
          <w:lang w:eastAsia="zh-CN"/>
        </w:rPr>
        <w:t>，</w:t>
      </w:r>
      <w:r>
        <w:rPr>
          <w:color w:val="auto"/>
          <w:sz w:val="30"/>
          <w:szCs w:val="30"/>
        </w:rPr>
        <w:t>加快</w:t>
      </w:r>
      <w:r>
        <w:rPr>
          <w:rFonts w:hint="eastAsia"/>
          <w:color w:val="auto"/>
          <w:sz w:val="30"/>
          <w:szCs w:val="30"/>
          <w:lang w:val="en-US" w:eastAsia="zh-CN"/>
        </w:rPr>
        <w:t>推进</w:t>
      </w:r>
      <w:r>
        <w:rPr>
          <w:color w:val="auto"/>
          <w:sz w:val="30"/>
          <w:szCs w:val="30"/>
        </w:rPr>
        <w:t>在建项目建设</w:t>
      </w:r>
      <w:r>
        <w:rPr>
          <w:rFonts w:hint="eastAsia"/>
          <w:color w:val="auto"/>
          <w:sz w:val="30"/>
          <w:szCs w:val="30"/>
          <w:lang w:val="en-US" w:eastAsia="zh-CN"/>
        </w:rPr>
        <w:t>进度</w:t>
      </w:r>
      <w:r>
        <w:rPr>
          <w:color w:val="auto"/>
          <w:sz w:val="30"/>
          <w:szCs w:val="30"/>
        </w:rPr>
        <w:t>，尽</w:t>
      </w:r>
      <w:r>
        <w:rPr>
          <w:rFonts w:hint="eastAsia"/>
          <w:color w:val="auto"/>
          <w:sz w:val="30"/>
          <w:szCs w:val="30"/>
          <w:lang w:val="en-US" w:eastAsia="zh-CN"/>
        </w:rPr>
        <w:t>早开工一批，加快建设一批，竣工验收一批，</w:t>
      </w:r>
      <w:r>
        <w:rPr>
          <w:color w:val="auto"/>
          <w:sz w:val="30"/>
          <w:szCs w:val="30"/>
        </w:rPr>
        <w:t>发挥工程效益；强化项目管理，确保</w:t>
      </w:r>
      <w:r>
        <w:rPr>
          <w:rFonts w:hint="eastAsia"/>
          <w:color w:val="auto"/>
          <w:sz w:val="30"/>
          <w:szCs w:val="30"/>
          <w:lang w:val="en-US" w:eastAsia="zh-CN"/>
        </w:rPr>
        <w:t>防洪</w:t>
      </w:r>
      <w:r>
        <w:rPr>
          <w:color w:val="auto"/>
          <w:sz w:val="30"/>
          <w:szCs w:val="30"/>
        </w:rPr>
        <w:t>工程质量</w:t>
      </w:r>
      <w:r>
        <w:rPr>
          <w:rFonts w:hint="eastAsia"/>
          <w:color w:val="auto"/>
          <w:sz w:val="30"/>
          <w:szCs w:val="30"/>
          <w:lang w:eastAsia="zh-CN"/>
        </w:rPr>
        <w:t>、进度和</w:t>
      </w:r>
      <w:r>
        <w:rPr>
          <w:color w:val="auto"/>
          <w:sz w:val="30"/>
          <w:szCs w:val="30"/>
        </w:rPr>
        <w:t>安全。</w:t>
      </w:r>
    </w:p>
    <w:p>
      <w:pPr>
        <w:pStyle w:val="5"/>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rPr>
      </w:pPr>
      <w:bookmarkStart w:id="157" w:name="_Toc302980365"/>
      <w:r>
        <w:rPr>
          <w:rStyle w:val="550"/>
          <w:rFonts w:hint="eastAsia" w:ascii="黑体" w:hAnsi="黑体" w:eastAsia="黑体" w:cs="黑体"/>
          <w:b w:val="0"/>
          <w:bCs/>
          <w:color w:val="auto"/>
        </w:rPr>
        <w:t>三、加大投入力度</w:t>
      </w:r>
      <w:bookmarkEnd w:id="157"/>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rPr>
      </w:pPr>
      <w:r>
        <w:rPr>
          <w:color w:val="auto"/>
          <w:sz w:val="30"/>
          <w:szCs w:val="30"/>
        </w:rPr>
        <w:t>坚持</w:t>
      </w:r>
      <w:r>
        <w:rPr>
          <w:rFonts w:hint="eastAsia"/>
          <w:color w:val="auto"/>
          <w:sz w:val="30"/>
          <w:szCs w:val="30"/>
          <w:lang w:eastAsia="zh-CN"/>
        </w:rPr>
        <w:t>“</w:t>
      </w:r>
      <w:r>
        <w:rPr>
          <w:rFonts w:hint="eastAsia"/>
          <w:color w:val="auto"/>
          <w:sz w:val="30"/>
          <w:szCs w:val="30"/>
          <w:lang w:val="en-US" w:eastAsia="zh-CN"/>
        </w:rPr>
        <w:t>两手发力</w:t>
      </w:r>
      <w:r>
        <w:rPr>
          <w:rFonts w:hint="eastAsia"/>
          <w:color w:val="auto"/>
          <w:sz w:val="30"/>
          <w:szCs w:val="30"/>
          <w:lang w:eastAsia="zh-CN"/>
        </w:rPr>
        <w:t>”</w:t>
      </w:r>
      <w:r>
        <w:rPr>
          <w:color w:val="auto"/>
          <w:sz w:val="30"/>
          <w:szCs w:val="30"/>
        </w:rPr>
        <w:t>，</w:t>
      </w:r>
      <w:r>
        <w:rPr>
          <w:rFonts w:hint="eastAsia"/>
          <w:color w:val="auto"/>
          <w:sz w:val="30"/>
          <w:szCs w:val="30"/>
          <w:lang w:eastAsia="zh-CN"/>
        </w:rPr>
        <w:t>创新投融资体制机制，</w:t>
      </w:r>
      <w:r>
        <w:rPr>
          <w:color w:val="auto"/>
          <w:sz w:val="30"/>
          <w:szCs w:val="30"/>
        </w:rPr>
        <w:t>积极</w:t>
      </w:r>
      <w:r>
        <w:rPr>
          <w:rFonts w:hint="eastAsia"/>
          <w:color w:val="auto"/>
          <w:sz w:val="30"/>
          <w:szCs w:val="30"/>
          <w:lang w:eastAsia="zh-CN"/>
        </w:rPr>
        <w:t>争取</w:t>
      </w:r>
      <w:r>
        <w:rPr>
          <w:color w:val="auto"/>
          <w:sz w:val="30"/>
          <w:szCs w:val="30"/>
        </w:rPr>
        <w:t>财政</w:t>
      </w:r>
      <w:r>
        <w:rPr>
          <w:rFonts w:hint="eastAsia"/>
          <w:color w:val="auto"/>
          <w:sz w:val="30"/>
          <w:szCs w:val="30"/>
          <w:lang w:val="en-US" w:eastAsia="zh-CN"/>
        </w:rPr>
        <w:t>资金</w:t>
      </w:r>
      <w:r>
        <w:rPr>
          <w:color w:val="auto"/>
          <w:sz w:val="30"/>
          <w:szCs w:val="30"/>
        </w:rPr>
        <w:t>，</w:t>
      </w:r>
      <w:r>
        <w:rPr>
          <w:rFonts w:hint="eastAsia"/>
          <w:color w:val="auto"/>
          <w:sz w:val="30"/>
          <w:szCs w:val="30"/>
          <w:lang w:eastAsia="zh-CN"/>
        </w:rPr>
        <w:t>加强</w:t>
      </w:r>
      <w:r>
        <w:rPr>
          <w:color w:val="auto"/>
          <w:sz w:val="30"/>
          <w:szCs w:val="30"/>
        </w:rPr>
        <w:t>地方政府专项债券支持，引导社会资本投入，多渠道筹措建设资金。地方政府要强化政府资源配置，盘活存量水利资产，拓宽</w:t>
      </w:r>
      <w:r>
        <w:rPr>
          <w:rFonts w:hint="eastAsia"/>
          <w:color w:val="auto"/>
          <w:sz w:val="30"/>
          <w:szCs w:val="30"/>
          <w:lang w:eastAsia="zh-CN"/>
        </w:rPr>
        <w:t>投</w:t>
      </w:r>
      <w:r>
        <w:rPr>
          <w:color w:val="auto"/>
          <w:sz w:val="30"/>
          <w:szCs w:val="30"/>
        </w:rPr>
        <w:t>融资渠道，做好防洪工程项目</w:t>
      </w:r>
      <w:r>
        <w:rPr>
          <w:rFonts w:hint="eastAsia"/>
          <w:color w:val="auto"/>
          <w:sz w:val="30"/>
          <w:szCs w:val="30"/>
          <w:lang w:val="en-US" w:eastAsia="zh-CN"/>
        </w:rPr>
        <w:t>建设</w:t>
      </w:r>
      <w:r>
        <w:rPr>
          <w:color w:val="auto"/>
          <w:sz w:val="30"/>
          <w:szCs w:val="30"/>
        </w:rPr>
        <w:t>资金保障。</w:t>
      </w:r>
    </w:p>
    <w:p>
      <w:pPr>
        <w:pStyle w:val="5"/>
        <w:pageBreakBefore w:val="0"/>
        <w:widowControl w:val="0"/>
        <w:kinsoku/>
        <w:wordWrap/>
        <w:overflowPunct/>
        <w:topLinePunct w:val="0"/>
        <w:autoSpaceDE/>
        <w:autoSpaceDN/>
        <w:bidi w:val="0"/>
        <w:adjustRightInd/>
        <w:snapToGrid/>
        <w:spacing w:before="0" w:after="0" w:line="560" w:lineRule="exact"/>
        <w:textAlignment w:val="auto"/>
        <w:rPr>
          <w:rStyle w:val="550"/>
          <w:rFonts w:hint="eastAsia" w:ascii="黑体" w:hAnsi="黑体" w:eastAsia="黑体" w:cs="黑体"/>
          <w:b w:val="0"/>
          <w:bCs/>
          <w:color w:val="auto"/>
        </w:rPr>
      </w:pPr>
      <w:r>
        <w:rPr>
          <w:rStyle w:val="550"/>
          <w:rFonts w:hint="eastAsia" w:ascii="黑体" w:hAnsi="黑体" w:eastAsia="黑体" w:cs="黑体"/>
          <w:b w:val="0"/>
          <w:bCs/>
          <w:color w:val="auto"/>
        </w:rPr>
        <w:t>四、加强优化调度</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rPr>
      </w:pPr>
      <w:r>
        <w:rPr>
          <w:color w:val="auto"/>
          <w:sz w:val="30"/>
          <w:szCs w:val="30"/>
        </w:rPr>
        <w:t>各级政府要建立</w:t>
      </w:r>
      <w:r>
        <w:rPr>
          <w:rFonts w:hint="eastAsia"/>
          <w:color w:val="auto"/>
          <w:sz w:val="30"/>
          <w:szCs w:val="30"/>
          <w:lang w:eastAsia="zh-CN"/>
        </w:rPr>
        <w:t>“</w:t>
      </w:r>
      <w:r>
        <w:rPr>
          <w:color w:val="auto"/>
          <w:sz w:val="30"/>
          <w:szCs w:val="30"/>
        </w:rPr>
        <w:t>大水调</w:t>
      </w:r>
      <w:r>
        <w:rPr>
          <w:rFonts w:hint="eastAsia"/>
          <w:color w:val="auto"/>
          <w:sz w:val="30"/>
          <w:szCs w:val="30"/>
          <w:lang w:eastAsia="zh-CN"/>
        </w:rPr>
        <w:t>”</w:t>
      </w:r>
      <w:r>
        <w:rPr>
          <w:color w:val="auto"/>
          <w:sz w:val="30"/>
          <w:szCs w:val="30"/>
        </w:rPr>
        <w:t>工作协调机制和流域联合调度机制，加强防洪工程调度，统筹解决防洪、供水、发电、航运、生态等调度矛盾，进一步完善防汛预案</w:t>
      </w:r>
      <w:r>
        <w:rPr>
          <w:rFonts w:hint="eastAsia"/>
          <w:color w:val="auto"/>
          <w:sz w:val="30"/>
          <w:szCs w:val="30"/>
          <w:lang w:eastAsia="zh-CN"/>
        </w:rPr>
        <w:t>、</w:t>
      </w:r>
      <w:r>
        <w:rPr>
          <w:color w:val="auto"/>
          <w:sz w:val="30"/>
          <w:szCs w:val="30"/>
        </w:rPr>
        <w:t>防汛预报预警系统</w:t>
      </w:r>
      <w:r>
        <w:rPr>
          <w:rFonts w:hint="eastAsia"/>
          <w:color w:val="auto"/>
          <w:sz w:val="30"/>
          <w:szCs w:val="30"/>
          <w:lang w:val="en-US" w:eastAsia="zh-CN"/>
        </w:rPr>
        <w:t>及</w:t>
      </w:r>
      <w:r>
        <w:rPr>
          <w:color w:val="auto"/>
          <w:sz w:val="30"/>
          <w:szCs w:val="30"/>
        </w:rPr>
        <w:t>指挥调度体系，加强洪水风险管理，着力提升水旱灾害防御能力。</w:t>
      </w:r>
    </w:p>
    <w:p>
      <w:pPr>
        <w:pStyle w:val="5"/>
        <w:pageBreakBefore w:val="0"/>
        <w:widowControl w:val="0"/>
        <w:kinsoku/>
        <w:wordWrap/>
        <w:overflowPunct/>
        <w:topLinePunct w:val="0"/>
        <w:autoSpaceDE/>
        <w:autoSpaceDN/>
        <w:bidi w:val="0"/>
        <w:adjustRightInd/>
        <w:snapToGrid/>
        <w:spacing w:before="0" w:after="0" w:line="560" w:lineRule="exact"/>
        <w:textAlignment w:val="auto"/>
        <w:rPr>
          <w:rStyle w:val="733"/>
          <w:rFonts w:hint="eastAsia" w:ascii="黑体" w:hAnsi="黑体" w:eastAsia="黑体" w:cs="黑体"/>
          <w:b w:val="0"/>
          <w:bCs/>
          <w:color w:val="auto"/>
        </w:rPr>
      </w:pPr>
      <w:r>
        <w:rPr>
          <w:rStyle w:val="733"/>
          <w:rFonts w:hint="eastAsia" w:ascii="黑体" w:hAnsi="黑体" w:eastAsia="黑体" w:cs="黑体"/>
          <w:b w:val="0"/>
          <w:bCs/>
          <w:color w:val="auto"/>
        </w:rPr>
        <w:t>五、强化大质量管理</w:t>
      </w:r>
    </w:p>
    <w:p>
      <w:pPr>
        <w:pStyle w:val="154"/>
        <w:pageBreakBefore w:val="0"/>
        <w:widowControl w:val="0"/>
        <w:kinsoku/>
        <w:wordWrap/>
        <w:overflowPunct/>
        <w:topLinePunct w:val="0"/>
        <w:autoSpaceDE/>
        <w:autoSpaceDN/>
        <w:bidi w:val="0"/>
        <w:adjustRightInd/>
        <w:snapToGrid/>
        <w:spacing w:line="560" w:lineRule="exact"/>
        <w:ind w:firstLine="578"/>
        <w:textAlignment w:val="auto"/>
        <w:rPr>
          <w:color w:val="auto"/>
          <w:sz w:val="30"/>
          <w:szCs w:val="30"/>
        </w:rPr>
      </w:pPr>
      <w:r>
        <w:rPr>
          <w:rFonts w:hint="eastAsia"/>
          <w:color w:val="auto"/>
          <w:sz w:val="30"/>
          <w:szCs w:val="30"/>
          <w:lang w:val="en-US" w:eastAsia="zh-CN"/>
        </w:rPr>
        <w:t>健全</w:t>
      </w:r>
      <w:r>
        <w:rPr>
          <w:color w:val="auto"/>
          <w:sz w:val="30"/>
          <w:szCs w:val="30"/>
        </w:rPr>
        <w:t>建管</w:t>
      </w:r>
      <w:r>
        <w:rPr>
          <w:rFonts w:hint="eastAsia"/>
          <w:color w:val="auto"/>
          <w:sz w:val="30"/>
          <w:szCs w:val="30"/>
          <w:lang w:val="en-US" w:eastAsia="zh-CN"/>
        </w:rPr>
        <w:t>运维</w:t>
      </w:r>
      <w:r>
        <w:rPr>
          <w:color w:val="auto"/>
          <w:sz w:val="30"/>
          <w:szCs w:val="30"/>
        </w:rPr>
        <w:t>体制机制，夯实大质量管理基础，落实分级分类管理，全面构建以质量为核心、安全为底线、进度为目标和建设程序规范、资金使用高效的水利工程建设大质量管理体系，加快形成政府主导、行业监督、项目法人主责、社会各方参与的水利工程建设大质量管理格局。</w:t>
      </w:r>
    </w:p>
    <w:p>
      <w:pPr>
        <w:pStyle w:val="154"/>
        <w:spacing w:line="520" w:lineRule="exact"/>
        <w:ind w:firstLine="578"/>
        <w:rPr>
          <w:color w:val="auto"/>
          <w:sz w:val="30"/>
          <w:szCs w:val="30"/>
        </w:rPr>
      </w:pPr>
    </w:p>
    <w:p>
      <w:pPr>
        <w:pStyle w:val="154"/>
        <w:spacing w:line="520" w:lineRule="exact"/>
        <w:ind w:firstLine="578"/>
        <w:rPr>
          <w:color w:val="auto"/>
          <w:sz w:val="30"/>
          <w:szCs w:val="30"/>
        </w:rPr>
      </w:pPr>
    </w:p>
    <w:p>
      <w:pPr>
        <w:pStyle w:val="154"/>
        <w:spacing w:line="520" w:lineRule="exact"/>
        <w:ind w:firstLine="578"/>
        <w:rPr>
          <w:color w:val="auto"/>
          <w:sz w:val="30"/>
          <w:szCs w:val="30"/>
        </w:rPr>
      </w:pPr>
    </w:p>
    <w:p>
      <w:pPr>
        <w:rPr>
          <w:color w:val="auto"/>
        </w:rPr>
        <w:sectPr>
          <w:headerReference r:id="rId29" w:type="default"/>
          <w:footerReference r:id="rId30" w:type="default"/>
          <w:footerReference r:id="rId31" w:type="even"/>
          <w:pgSz w:w="11907" w:h="16840"/>
          <w:pgMar w:top="1134" w:right="1418" w:bottom="1417" w:left="1418" w:header="851" w:footer="1332" w:gutter="0"/>
          <w:paperSrc/>
          <w:pgBorders>
            <w:top w:val="none" w:sz="0" w:space="0"/>
            <w:left w:val="none" w:sz="0" w:space="0"/>
            <w:bottom w:val="none" w:sz="0" w:space="0"/>
            <w:right w:val="none" w:sz="0" w:space="0"/>
          </w:pgBorders>
          <w:pgNumType w:fmt="decimal"/>
          <w:cols w:space="720" w:num="1"/>
          <w:rtlGutter w:val="0"/>
          <w:docGrid w:type="linesAndChars" w:linePitch="331" w:charSpace="-3866"/>
        </w:sectPr>
      </w:pPr>
    </w:p>
    <w:p>
      <w:pPr>
        <w:jc w:val="center"/>
        <w:rPr>
          <w:rFonts w:hint="eastAsia" w:eastAsia="华文中宋"/>
          <w:color w:val="auto"/>
          <w:sz w:val="44"/>
          <w:szCs w:val="44"/>
          <w:lang w:eastAsia="zh-CN"/>
        </w:rPr>
      </w:pPr>
      <w:r>
        <w:rPr>
          <w:rFonts w:hint="eastAsia" w:eastAsia="华文中宋"/>
          <w:color w:val="auto"/>
          <w:sz w:val="44"/>
          <w:szCs w:val="44"/>
          <w:lang w:eastAsia="zh-CN"/>
        </w:rPr>
        <w:drawing>
          <wp:inline distT="0" distB="0" distL="114300" distR="114300">
            <wp:extent cx="8889365" cy="12824460"/>
            <wp:effectExtent l="0" t="0" r="6985" b="15240"/>
            <wp:docPr id="1" name="图片 9" descr="沱江流域水系站网示意图ok"/>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9" descr="沱江流域水系站网示意图ok"/>
                    <pic:cNvPicPr>
                      <a:picLocks noChangeAspect="true"/>
                    </pic:cNvPicPr>
                  </pic:nvPicPr>
                  <pic:blipFill>
                    <a:blip r:embed="rId34"/>
                    <a:stretch>
                      <a:fillRect/>
                    </a:stretch>
                  </pic:blipFill>
                  <pic:spPr>
                    <a:xfrm>
                      <a:off x="0" y="0"/>
                      <a:ext cx="8889365" cy="12824460"/>
                    </a:xfrm>
                    <a:prstGeom prst="rect">
                      <a:avLst/>
                    </a:prstGeom>
                    <a:noFill/>
                    <a:ln>
                      <a:noFill/>
                    </a:ln>
                  </pic:spPr>
                </pic:pic>
              </a:graphicData>
            </a:graphic>
          </wp:inline>
        </w:drawing>
      </w:r>
      <w:r>
        <w:rPr>
          <w:rFonts w:hint="eastAsia" w:eastAsia="华文中宋"/>
          <w:color w:val="auto"/>
          <w:sz w:val="44"/>
          <w:szCs w:val="44"/>
          <w:lang w:eastAsia="zh-CN"/>
        </w:rPr>
        <w:drawing>
          <wp:inline distT="0" distB="0" distL="114300" distR="114300">
            <wp:extent cx="8886190" cy="13216255"/>
            <wp:effectExtent l="0" t="0" r="10160" b="4445"/>
            <wp:docPr id="2" name="图片 8" descr="沱江流域防洪规划2022ok"/>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8" descr="沱江流域防洪规划2022ok"/>
                    <pic:cNvPicPr>
                      <a:picLocks noChangeAspect="true"/>
                    </pic:cNvPicPr>
                  </pic:nvPicPr>
                  <pic:blipFill>
                    <a:blip r:embed="rId35"/>
                    <a:stretch>
                      <a:fillRect/>
                    </a:stretch>
                  </pic:blipFill>
                  <pic:spPr>
                    <a:xfrm>
                      <a:off x="0" y="0"/>
                      <a:ext cx="8886190" cy="13216255"/>
                    </a:xfrm>
                    <a:prstGeom prst="rect">
                      <a:avLst/>
                    </a:prstGeom>
                    <a:noFill/>
                    <a:ln>
                      <a:noFill/>
                    </a:ln>
                  </pic:spPr>
                </pic:pic>
              </a:graphicData>
            </a:graphic>
          </wp:inline>
        </w:drawing>
      </w:r>
    </w:p>
    <w:p>
      <w:pPr>
        <w:widowControl/>
        <w:jc w:val="left"/>
        <w:rPr>
          <w:color w:val="auto"/>
          <w:sz w:val="44"/>
          <w:szCs w:val="44"/>
        </w:rPr>
      </w:pPr>
    </w:p>
    <w:sectPr>
      <w:footerReference r:id="rId32" w:type="default"/>
      <w:pgSz w:w="16838" w:h="23811"/>
      <w:pgMar w:top="1134" w:right="1418" w:bottom="1134" w:left="1418" w:header="851" w:footer="992" w:gutter="0"/>
      <w:pgBorders>
        <w:top w:val="none" w:sz="0" w:space="0"/>
        <w:left w:val="none" w:sz="0" w:space="0"/>
        <w:bottom w:val="none" w:sz="0" w:space="0"/>
        <w:right w:val="none" w:sz="0" w:space="0"/>
      </w:pgBorders>
      <w:pgNumType w:fmt="decimal"/>
      <w:cols w:space="720" w:num="1"/>
      <w:docGrid w:type="linesAndChars" w:linePitch="331" w:charSpace="-3866"/>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苏翔" w:date="2023-09-15T14:44:00Z" w:initials="邓">
    <w:p w14:paraId="77EF6B1C">
      <w:pPr>
        <w:pStyle w:val="28"/>
      </w:pPr>
      <w:r>
        <w:rPr>
          <w:rFonts w:hint="eastAsia"/>
        </w:rPr>
        <w:t>大成律所意见：水利局称谓是否准确？</w:t>
      </w:r>
    </w:p>
  </w:comment>
  <w:comment w:id="1" w:author="user" w:date="2023-09-21T09:00:00Z" w:initials="u">
    <w:p w14:paraId="7FEFD7D9">
      <w:pPr>
        <w:pStyle w:val="28"/>
        <w:rPr>
          <w:rFonts w:hint="eastAsia" w:eastAsia="华文中宋"/>
          <w:lang w:eastAsia="zh-CN"/>
        </w:rPr>
      </w:pPr>
      <w:r>
        <w:rPr>
          <w:rFonts w:hint="eastAsia"/>
          <w:lang w:eastAsia="zh-CN"/>
        </w:rPr>
        <w:t>称谓准确</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7EF6B1C" w15:done="0"/>
  <w15:commentEx w15:paraId="7FEFD7D9"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华文中宋">
    <w:panose1 w:val="02010600040101010101"/>
    <w:charset w:val="86"/>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Arial">
    <w:altName w:val="Times New Roman"/>
    <w:panose1 w:val="020B0604020202020204"/>
    <w:charset w:val="00"/>
    <w:family w:val="swiss"/>
    <w:pitch w:val="default"/>
    <w:sig w:usb0="E0002AFF" w:usb1="C0007843" w:usb2="00000009" w:usb3="00000000" w:csb0="400001FF" w:csb1="FFFF0000"/>
  </w:font>
  <w:font w:name="Courier New">
    <w:altName w:val="DejaVu Sans"/>
    <w:panose1 w:val="02070309020205020404"/>
    <w:charset w:val="00"/>
    <w:family w:val="modern"/>
    <w:pitch w:val="default"/>
    <w:sig w:usb0="E0002AFF" w:usb1="C0007843" w:usb2="00000009" w:usb3="00000000" w:csb0="400001FF" w:csb1="FFFF0000"/>
  </w:font>
  <w:font w:name="Cambria">
    <w:altName w:val="Noto Sans Syriac Eastern"/>
    <w:panose1 w:val="02040503050406030204"/>
    <w:charset w:val="00"/>
    <w:family w:val="roman"/>
    <w:pitch w:val="default"/>
    <w:sig w:usb0="E00002FF" w:usb1="400004FF" w:usb2="00000000" w:usb3="00000000" w:csb0="2000019F" w:csb1="00000000"/>
  </w:font>
  <w:font w:name="ISOCT">
    <w:altName w:val="汉仪中秀体简"/>
    <w:panose1 w:val="00000400000000000000"/>
    <w:charset w:val="00"/>
    <w:family w:val="auto"/>
    <w:pitch w:val="default"/>
    <w:sig w:usb0="00000000" w:usb1="00000000" w:usb2="00000000" w:usb3="00000000" w:csb0="000001FF" w:csb1="00000000"/>
  </w:font>
  <w:font w:name="CG Times">
    <w:altName w:val="Times New Roman"/>
    <w:panose1 w:val="00000000000000000000"/>
    <w:charset w:val="00"/>
    <w:family w:val="roman"/>
    <w:pitch w:val="default"/>
    <w:sig w:usb0="00000000" w:usb1="00000000" w:usb2="00000000" w:usb3="00000000" w:csb0="00000001" w:csb1="00000000"/>
  </w:font>
  <w:font w:name="楷体">
    <w:altName w:val="方正楷体_GBK"/>
    <w:panose1 w:val="02010609060101010101"/>
    <w:charset w:val="00"/>
    <w:family w:val="modern"/>
    <w:pitch w:val="default"/>
    <w:sig w:usb0="800002BF" w:usb1="38CF7CFA" w:usb2="00000016" w:usb3="00000000" w:csb0="00040001" w:csb1="00000000"/>
  </w:font>
  <w:font w:name="Tahoma">
    <w:altName w:val="DejaVu Sans"/>
    <w:panose1 w:val="020B0604030504040204"/>
    <w:charset w:val="00"/>
    <w:family w:val="swiss"/>
    <w:pitch w:val="default"/>
    <w:sig w:usb0="E1002EFF" w:usb1="C000605B" w:usb2="00000029" w:usb3="00000000" w:csb0="200101FF" w:csb1="20280000"/>
  </w:font>
  <w:font w:name="Verdana">
    <w:altName w:val="DejaVu Sans"/>
    <w:panose1 w:val="020B0604030504040204"/>
    <w:charset w:val="00"/>
    <w:family w:val="swiss"/>
    <w:pitch w:val="default"/>
    <w:sig w:usb0="A10006FF" w:usb1="4000205B" w:usb2="00000010" w:usb3="00000000" w:csb0="2000019F" w:csb1="00000000"/>
  </w:font>
  <w:font w:name="方正小标宋_GBK">
    <w:panose1 w:val="02000000000000000000"/>
    <w:charset w:val="86"/>
    <w:family w:val="script"/>
    <w:pitch w:val="default"/>
    <w:sig w:usb0="00000001" w:usb1="08000000" w:usb2="00000000" w:usb3="00000000" w:csb0="00040000" w:csb1="00000000"/>
  </w:font>
  <w:font w:name="Arial Unicode MS">
    <w:altName w:val="Times New Roman"/>
    <w:panose1 w:val="020B0604020202020204"/>
    <w:charset w:val="00"/>
    <w:family w:val="swiss"/>
    <w:pitch w:val="default"/>
    <w:sig w:usb0="FFFFFFFF" w:usb1="E9FFFFFF" w:usb2="0000003F" w:usb3="00000000" w:csb0="603F01FF" w:csb1="FFFF0000"/>
  </w:font>
  <w:font w:name="方正书宋简体">
    <w:altName w:val="方正书宋_GBK"/>
    <w:panose1 w:val="03000509000000000000"/>
    <w:charset w:val="00"/>
    <w:family w:val="script"/>
    <w:pitch w:val="default"/>
    <w:sig w:usb0="00000001" w:usb1="080E0000" w:usb2="00000000" w:usb3="00000000" w:csb0="00040000" w:csb1="00000000"/>
  </w:font>
  <w:font w:name="华文楷体">
    <w:altName w:val="方正楷体_GBK"/>
    <w:panose1 w:val="02010600040101010101"/>
    <w:charset w:val="00"/>
    <w:family w:val="auto"/>
    <w:pitch w:val="default"/>
    <w:sig w:usb0="00000287" w:usb1="080F0000" w:usb2="00000000" w:usb3="00000000" w:csb0="0004009F" w:csb1="DFD70000"/>
  </w:font>
  <w:font w:name="Swis721 Lt BT">
    <w:altName w:val="汉仪君黑-35简"/>
    <w:panose1 w:val="020B0403020202020204"/>
    <w:charset w:val="00"/>
    <w:family w:val="swiss"/>
    <w:pitch w:val="default"/>
    <w:sig w:usb0="800000AF" w:usb1="1000204A" w:usb2="00000000" w:usb3="00000000" w:csb0="00000011" w:csb1="00000000"/>
  </w:font>
  <w:font w:name="方正细黑一简体">
    <w:altName w:val="汉仪中等线简"/>
    <w:panose1 w:val="03000509000000000000"/>
    <w:charset w:val="00"/>
    <w:family w:val="auto"/>
    <w:pitch w:val="default"/>
    <w:sig w:usb0="00000001" w:usb1="080E0000" w:usb2="00000000" w:usb3="00000000" w:csb0="00040000" w:csb1="00000000"/>
  </w:font>
  <w:font w:name="Swis721 BT">
    <w:altName w:val="汉仪君黑-35简"/>
    <w:panose1 w:val="020B0504020202020204"/>
    <w:charset w:val="00"/>
    <w:family w:val="swiss"/>
    <w:pitch w:val="default"/>
    <w:sig w:usb0="800000AF" w:usb1="1000204A" w:usb2="00000000" w:usb3="00000000" w:csb0="00000011" w:csb1="00000000"/>
  </w:font>
  <w:font w:name="方正黑体简体">
    <w:altName w:val="方正黑体_GBK"/>
    <w:panose1 w:val="03000509000000000000"/>
    <w:charset w:val="00"/>
    <w:family w:val="script"/>
    <w:pitch w:val="default"/>
    <w:sig w:usb0="00000001" w:usb1="080E0000" w:usb2="00000000" w:usb3="00000000" w:csb0="00040000" w:csb1="00000000"/>
  </w:font>
  <w:font w:name="ˎ̥">
    <w:altName w:val="汉仪新人文宋简"/>
    <w:panose1 w:val="00000000000000000000"/>
    <w:charset w:val="00"/>
    <w:family w:val="roman"/>
    <w:pitch w:val="default"/>
    <w:sig w:usb0="00000000" w:usb1="00000000" w:usb2="00000000" w:usb3="00000000" w:csb0="00040001" w:csb1="00000000"/>
  </w:font>
  <w:font w:name="Arial Narrow">
    <w:altName w:val="Times New Roman"/>
    <w:panose1 w:val="020B0606020202030204"/>
    <w:charset w:val="00"/>
    <w:family w:val="swiss"/>
    <w:pitch w:val="default"/>
    <w:sig w:usb0="00000287" w:usb1="00000800" w:usb2="00000000" w:usb3="00000000" w:csb0="2000009F" w:csb1="DFD70000"/>
  </w:font>
  <w:font w:name="MS Reference Sans Serif">
    <w:altName w:val="DejaVu Sans"/>
    <w:panose1 w:val="020B0604030504040204"/>
    <w:charset w:val="00"/>
    <w:family w:val="swiss"/>
    <w:pitch w:val="default"/>
    <w:sig w:usb0="00000287" w:usb1="00000000" w:usb2="00000000" w:usb3="00000000" w:csb0="2000019F" w:csb1="00000000"/>
  </w:font>
  <w:font w:name="等线">
    <w:altName w:val="宋体"/>
    <w:panose1 w:val="02010600030101010101"/>
    <w:charset w:val="00"/>
    <w:family w:val="auto"/>
    <w:pitch w:val="default"/>
    <w:sig w:usb0="A00002BF" w:usb1="38CF7CFA" w:usb2="00000016" w:usb3="00000000" w:csb0="0004000F" w:csb1="00000000"/>
  </w:font>
  <w:font w:name="方正小标宋简体">
    <w:panose1 w:val="02000000000000000000"/>
    <w:charset w:val="86"/>
    <w:family w:val="script"/>
    <w:pitch w:val="default"/>
    <w:sig w:usb0="A00002BF" w:usb1="184F6CFA" w:usb2="00000012" w:usb3="00000000" w:csb0="00040001" w:csb1="00000000"/>
  </w:font>
  <w:font w:name="仿宋">
    <w:panose1 w:val="02010609060101010101"/>
    <w:charset w:val="86"/>
    <w:family w:val="modern"/>
    <w:pitch w:val="default"/>
    <w:sig w:usb0="800002BF" w:usb1="38CF7CFA" w:usb2="00000016" w:usb3="00000000" w:csb0="00040001" w:csb1="00000000"/>
  </w:font>
  <w:font w:name="方正楷体_GBK">
    <w:panose1 w:val="02000000000000000000"/>
    <w:charset w:val="86"/>
    <w:family w:val="auto"/>
    <w:pitch w:val="default"/>
    <w:sig w:usb0="00000001" w:usb1="08000000" w:usb2="00000000" w:usb3="00000000" w:csb0="00040000"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文泉驿微米黑">
    <w:panose1 w:val="020B0606030804020204"/>
    <w:charset w:val="86"/>
    <w:family w:val="auto"/>
    <w:pitch w:val="default"/>
    <w:sig w:usb0="E10002EF" w:usb1="6BDFFCFB" w:usb2="00800036" w:usb3="00000000" w:csb0="603E01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right="360"/>
      <w:jc w:val="center"/>
    </w:pPr>
    <w:r>
      <w:rPr>
        <w:sz w:val="18"/>
      </w:rPr>
      <mc:AlternateContent>
        <mc:Choice Requires="wps">
          <w:drawing>
            <wp:anchor distT="0" distB="0" distL="114300" distR="114300" simplePos="0" relativeHeight="25168076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文本框 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pPr>
                          <w:r>
                            <w:fldChar w:fldCharType="begin"/>
                          </w:r>
                          <w:r>
                            <w:instrText xml:space="preserve"> PAGE  \* MERGEFORMAT </w:instrText>
                          </w:r>
                          <w:r>
                            <w:fldChar w:fldCharType="separate"/>
                          </w:r>
                          <w:r>
                            <w:t>1</w:t>
                          </w:r>
                          <w:r>
                            <w:fldChar w:fldCharType="end"/>
                          </w:r>
                        </w:p>
                      </w:txbxContent>
                    </wps:txbx>
                    <wps:bodyPr vert="horz" wrap="none" lIns="0" tIns="0" rIns="0" bIns="0" anchor="t" anchorCtr="false" upright="false">
                      <a:spAutoFit/>
                    </wps:bodyPr>
                  </wps:wsp>
                </a:graphicData>
              </a:graphic>
            </wp:anchor>
          </w:drawing>
        </mc:Choice>
        <mc:Fallback>
          <w:pict>
            <v:shape id="文本框 3" o:spid="_x0000_s1026" o:spt="202" type="#_x0000_t202" style="position:absolute;left:0pt;margin-top:0pt;height:144pt;width:144pt;mso-position-horizontal:outside;mso-position-horizontal-relative:margin;mso-wrap-style:none;z-index:25168076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WAAAAZHJzL1BLAQIUABQAAAAIAIdO4kDOqXm5zwAAAAUBAAAPAAAAAAAAAAEA&#10;IAAAADgAAABkcnMvZG93bnJldi54bWxQSwECFAAUAAAACACHTuJAB8L7UskBAAB8AwAADgAAAAAA&#10;AAABACAAAAA0AQAAZHJzL2Uyb0RvYy54bWxQSwUGAAAAAAYABgBZAQAAbwUAAAAA&#10;">
              <v:fill on="f" focussize="0,0"/>
              <v:stroke on="f"/>
              <v:imagedata o:title=""/>
              <o:lock v:ext="edit" aspectratio="f"/>
              <v:textbox inset="0mm,0mm,0mm,0mm" style="mso-fit-shape-to-text:t;">
                <w:txbxContent>
                  <w:p>
                    <w:pPr>
                      <w:pStyle w:val="55"/>
                    </w:pPr>
                    <w:r>
                      <w:fldChar w:fldCharType="begin"/>
                    </w:r>
                    <w:r>
                      <w:instrText xml:space="preserve"> PAGE  \* MERGEFORMAT </w:instrText>
                    </w:r>
                    <w:r>
                      <w:fldChar w:fldCharType="separate"/>
                    </w:r>
                    <w:r>
                      <w:t>1</w:t>
                    </w:r>
                    <w:r>
                      <w:fldChar w:fldCharType="end"/>
                    </w:r>
                  </w:p>
                </w:txbxContent>
              </v:textbox>
            </v:shape>
          </w:pict>
        </mc:Fallback>
      </mc:AlternateContent>
    </w:r>
    <w:r>
      <w:rPr>
        <w:szCs w:val="21"/>
      </w:rPr>
      <w:t>-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1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44</w:t>
                          </w:r>
                          <w:r>
                            <w:rPr>
                              <w:sz w:val="28"/>
                              <w:szCs w:val="28"/>
                            </w:rPr>
                            <w:fldChar w:fldCharType="end"/>
                          </w:r>
                          <w:r>
                            <w:rPr>
                              <w:sz w:val="28"/>
                              <w:szCs w:val="28"/>
                            </w:rPr>
                            <w:t xml:space="preserve"> —</w:t>
                          </w:r>
                        </w:p>
                      </w:txbxContent>
                    </wps:txbx>
                    <wps:bodyPr vert="horz" wrap="none" lIns="0" tIns="0" rIns="0" bIns="0" anchor="t" anchorCtr="false" upright="true">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WAAAAZHJzL1BLAQIUABQAAAAIAIdO4kDOqXm5zwAAAAUBAAAPAAAAAAAAAAEA&#10;IAAAADgAAABkcnMvZG93bnJldi54bWxQSwECFAAUAAAACACHTuJADQS8d8kBAAB7AwAADgAAAAAA&#10;AAABACAAAAA0AQAAZHJzL2Uyb0RvYy54bWxQSwUGAAAAAAYABgBZAQAAbwU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44</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zql5uc8AAAAFAQAADwAAAAAAAAABACAAAAA4AAAAZHJzL2Rvd25y&#10;ZXYueG1sUEsBAhQAFAAAAAgAh07iQPUZ8AO4AQAAYQMAAA4AAAAAAAAAAQAgAAAANAEAAGRycy9l&#10;Mm9Eb2MueG1sUEsFBgAAAAAGAAYAWQEAAF4FA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1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wrap="none" lIns="0" tIns="0" rIns="0" bIns="0" upright="true">
                      <a:spAutoFit/>
                    </wps:bodyPr>
                  </wps:wsp>
                </a:graphicData>
              </a:graphic>
            </wp:anchor>
          </w:drawing>
        </mc:Choice>
        <mc:Fallback>
          <w:pict>
            <v:shape id="文本框 10"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WAAAAZHJzL1BLAQIU&#10;ABQAAAAIAIdO4kDOqXm5zwAAAAUBAAAPAAAAAAAAAAEAIAAAADgAAABkcnMvZG93bnJldi54bWxQ&#10;SwECFAAUAAAACACHTuJAQQRHzbEBAABSAwAADgAAAAAAAAABACAAAAA0AQAAZHJzL2Uyb0RvYy54&#10;bWxQSwUGAAAAAAYABgBZAQAAVwU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BYAAABk&#10;cnMvUEsBAhQAFAAAAAgAh07iQM6pebnPAAAABQEAAA8AAAAAAAAAAQAgAAAAOAAAAGRycy9kb3du&#10;cmV2LnhtbFBLAQIUABQAAAAIAIdO4kB47ktquQEAAGEDAAAOAAAAAAAAAAEAIAAAADQBAABkcnMv&#10;ZTJvRG9jLnhtbFBLBQYAAAAABgAGAFkBAABfBQ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1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48</w:t>
                          </w:r>
                          <w:r>
                            <w:rPr>
                              <w:sz w:val="28"/>
                              <w:szCs w:val="28"/>
                            </w:rPr>
                            <w:fldChar w:fldCharType="end"/>
                          </w:r>
                          <w:r>
                            <w:rPr>
                              <w:sz w:val="28"/>
                              <w:szCs w:val="28"/>
                            </w:rPr>
                            <w:t xml:space="preserve"> —</w:t>
                          </w:r>
                        </w:p>
                      </w:txbxContent>
                    </wps:txbx>
                    <wps:bodyPr vert="horz" wrap="none" lIns="0" tIns="0" rIns="0" bIns="0" anchor="t" anchorCtr="false" upright="true">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WAAAAZHJzL1BLAQIUABQAAAAIAIdO4kDOqXm5zwAAAAUBAAAPAAAAAAAAAAEA&#10;IAAAADgAAABkcnMvZG93bnJldi54bWxQSwECFAAUAAAACACHTuJAkq4m38kBAAB7AwAADgAAAAAA&#10;AAABACAAAAA0AQAAZHJzL2Uyb0RvYy54bWxQSwUGAAAAAAYABgBZAQAAbwU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48</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zql5uc8AAAAFAQAADwAAAAAAAAABACAAAAA4AAAAZHJzL2Rvd25y&#10;ZXYueG1sUEsBAhQAFAAAAAgAh07iQHCeJFa4AQAAYQMAAA4AAAAAAAAAAQAgAAAANAEAAGRycy9l&#10;Mm9Eb2MueG1sUEsFBgAAAAAGAAYAWQEAAF4FA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1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wrap="none" lIns="0" tIns="0" rIns="0" bIns="0" upright="true">
                      <a:spAutoFit/>
                    </wps:bodyPr>
                  </wps:wsp>
                </a:graphicData>
              </a:graphic>
            </wp:anchor>
          </w:drawing>
        </mc:Choice>
        <mc:Fallback>
          <w:pict>
            <v:shape id="文本框 14"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BYAAABkcnMvUEsB&#10;AhQAFAAAAAgAh07iQM6pebnPAAAABQEAAA8AAAAAAAAAAQAgAAAAOAAAAGRycy9kb3ducmV2Lnht&#10;bFBLAQIUABQAAAAIAIdO4kBNrVsYswEAAFIDAAAOAAAAAAAAAAEAIAAAADQBAABkcnMvZTJvRG9j&#10;LnhtbFBLBQYAAAAABgAGAFkBAABZ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zql5uc8AAAAFAQAADwAAAAAAAAABACAAAAA4AAAAZHJzL2Rvd25y&#10;ZXYueG1sUEsBAhQAFAAAAAgAh07iQP1pnz+4AQAAYQMAAA4AAAAAAAAAAQAgAAAANAEAAGRycy9l&#10;Mm9Eb2MueG1sUEsFBgAAAAAGAAYAWQEAAF4FA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2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52</w:t>
                          </w:r>
                          <w:r>
                            <w:rPr>
                              <w:sz w:val="28"/>
                              <w:szCs w:val="28"/>
                            </w:rPr>
                            <w:fldChar w:fldCharType="end"/>
                          </w:r>
                          <w:r>
                            <w:rPr>
                              <w:sz w:val="28"/>
                              <w:szCs w:val="28"/>
                            </w:rPr>
                            <w:t xml:space="preserve"> —</w:t>
                          </w:r>
                        </w:p>
                      </w:txbxContent>
                    </wps:txbx>
                    <wps:bodyPr vert="horz" wrap="none" lIns="0" tIns="0" rIns="0" bIns="0" anchor="t" anchorCtr="false" upright="true">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BYAAABkcnMvUEsBAhQAFAAAAAgAh07iQM6pebnPAAAABQEAAA8AAAAAAAAAAQAg&#10;AAAAOAAAAGRycy9kb3ducmV2LnhtbFBLAQIUABQAAAAIAIdO4kC5ssidyAEAAHwDAAAOAAAAAAAA&#10;AAEAIAAAADQBAABkcnMvZTJvRG9jLnhtbFBLBQYAAAAABgAGAFkBAABu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52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BYAAABk&#10;cnMvUEsBAhQAFAAAAAgAh07iQM6pebnPAAAABQEAAA8AAAAAAAAAAQAgAAAAOAAAAGRycy9kb3du&#10;cmV2LnhtbFBLAQIUABQAAAAIAIdO4kBl5MjDuQEAAGEDAAAOAAAAAAAAAAEAIAAAADQBAABkcnMv&#10;ZTJvRG9jLnhtbFBLBQYAAAAABgAGAFkBAABfBQ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1" name="文本框 1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wrap="none" lIns="0" tIns="0" rIns="0" bIns="0" upright="true">
                      <a:spAutoFit/>
                    </wps:bodyPr>
                  </wps:wsp>
                </a:graphicData>
              </a:graphic>
            </wp:anchor>
          </w:drawing>
        </mc:Choice>
        <mc:Fallback>
          <w:pict>
            <v:shape id="文本框 18"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BYAAABkcnMvUEsB&#10;AhQAFAAAAAgAh07iQM6pebnPAAAABQEAAA8AAAAAAAAAAQAgAAAAOAAAAGRycy9kb3ducmV2Lnht&#10;bFBLAQIUABQAAAAIAIdO4kBaCgb3swEAAFMDAAAOAAAAAAAAAAEAIAAAADQBAABkcnMvZTJvRG9j&#10;LnhtbFBLBQYAAAAABgAGAFkBAABZ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6BNzqroBAABhAwAADgAAAAAAAAABACAAAAA0AQAAZHJz&#10;L2Uyb0RvYy54bWxQSwUGAAAAAAYABgBZAQAAYAU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3"/>
      </w:rPr>
    </w:pPr>
    <w:r>
      <w:rPr>
        <w:rStyle w:val="93"/>
      </w:rPr>
      <w:fldChar w:fldCharType="begin"/>
    </w:r>
    <w:r>
      <w:rPr>
        <w:rStyle w:val="93"/>
      </w:rPr>
      <w:instrText xml:space="preserve">PAGE  </w:instrText>
    </w:r>
    <w:r>
      <w:rPr>
        <w:rStyle w:val="93"/>
      </w:rPr>
      <w:fldChar w:fldCharType="end"/>
    </w:r>
  </w:p>
  <w:p>
    <w:pPr>
      <w:pStyle w:val="5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2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wrap="none" lIns="0" tIns="0" rIns="0" bIns="0" upright="true">
                      <a:spAutoFit/>
                    </wps:bodyPr>
                  </wps:wsp>
                </a:graphicData>
              </a:graphic>
            </wp:anchor>
          </w:drawing>
        </mc:Choice>
        <mc:Fallback>
          <w:pict>
            <v:shape id="文本框 22"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BYAAABkcnMvUEsB&#10;AhQAFAAAAAgAh07iQM6pebnPAAAABQEAAA8AAAAAAAAAAQAgAAAAOAAAAGRycy9kb3ducmV2Lnht&#10;bFBLAQIUABQAAAAIAIdO4kCRzCbYswEAAFMDAAAOAAAAAAAAAAEAIAAAADQBAABkcnMvZTJvRG9j&#10;LnhtbFBLBQYAAAAABgAGAFkBAABZ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8vwEeboBAABhAwAADgAAAAAAAAABACAAAAA0AQAAZHJz&#10;L2Uyb0RvYy54bWxQSwUGAAAAAAYABgBZAQAAYAU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3"/>
      </w:rPr>
    </w:pPr>
    <w:r>
      <w:rPr>
        <w:rStyle w:val="93"/>
      </w:rPr>
      <w:fldChar w:fldCharType="begin"/>
    </w:r>
    <w:r>
      <w:rPr>
        <w:rStyle w:val="93"/>
      </w:rPr>
      <w:instrText xml:space="preserve">PAGE  </w:instrText>
    </w:r>
    <w:r>
      <w:rPr>
        <w:rStyle w:val="93"/>
      </w:rPr>
      <w:fldChar w:fldCharType="end"/>
    </w:r>
  </w:p>
  <w:p>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3"/>
      </w:rPr>
    </w:pPr>
    <w:r>
      <w:rPr>
        <w:rStyle w:val="93"/>
      </w:rPr>
      <w:fldChar w:fldCharType="begin"/>
    </w:r>
    <w:r>
      <w:rPr>
        <w:rStyle w:val="93"/>
      </w:rPr>
      <w:instrText xml:space="preserve">PAGE  </w:instrText>
    </w:r>
    <w:r>
      <w:rPr>
        <w:rStyle w:val="93"/>
      </w:rPr>
      <w:fldChar w:fldCharType="end"/>
    </w:r>
  </w:p>
  <w:p>
    <w:pPr>
      <w:pStyle w:val="55"/>
      <w:ind w:right="36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2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71</w:t>
                          </w:r>
                          <w:r>
                            <w:rPr>
                              <w:sz w:val="32"/>
                              <w:szCs w:val="32"/>
                            </w:rPr>
                            <w:fldChar w:fldCharType="end"/>
                          </w:r>
                          <w:r>
                            <w:rPr>
                              <w:sz w:val="32"/>
                              <w:szCs w:val="32"/>
                            </w:rPr>
                            <w:t xml:space="preserve"> —</w:t>
                          </w:r>
                        </w:p>
                      </w:txbxContent>
                    </wps:txbx>
                    <wps:bodyPr vert="horz" wrap="none" lIns="0" tIns="0" rIns="0" bIns="0" anchor="t" anchorCtr="false" upright="true">
                      <a:spAutoFit/>
                    </wps:bodyPr>
                  </wps:wsp>
                </a:graphicData>
              </a:graphic>
            </wp:anchor>
          </w:drawing>
        </mc:Choice>
        <mc:Fallback>
          <w:pict>
            <v:shape id="文本框 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WAAAAZHJzL1BLAQIUABQAAAAIAIdO4kDOqXm5zwAAAAUBAAAPAAAAAAAA&#10;AAEAIAAAADgAAABkcnMvZG93bnJldi54bWxQSwECFAAUAAAACACHTuJA3k5WmswBAAB8AwAADgAA&#10;AAAAAAABACAAAAA0AQAAZHJzL2Uyb0RvYy54bWxQSwUGAAAAAAYABgBZAQAAcgUAAAAA&#10;">
              <v:fill on="f" focussize="0,0"/>
              <v:stroke on="f"/>
              <v:imagedata o:title=""/>
              <o:lock v:ext="edit" aspectratio="f"/>
              <v:textbox inset="0mm,0mm,0mm,0mm" style="mso-fit-shape-to-text:t;">
                <w:txbxContent>
                  <w:p>
                    <w:pPr>
                      <w:pStyle w:val="55"/>
                      <w:rPr>
                        <w:sz w:val="32"/>
                        <w:szCs w:val="32"/>
                      </w:rPr>
                    </w:pPr>
                    <w:r>
                      <w:rPr>
                        <w:sz w:val="32"/>
                        <w:szCs w:val="32"/>
                      </w:rPr>
                      <w:t xml:space="preserve">— </w:t>
                    </w:r>
                    <w:r>
                      <w:rPr>
                        <w:sz w:val="32"/>
                        <w:szCs w:val="32"/>
                      </w:rPr>
                      <w:fldChar w:fldCharType="begin"/>
                    </w:r>
                    <w:r>
                      <w:rPr>
                        <w:sz w:val="32"/>
                        <w:szCs w:val="32"/>
                      </w:rPr>
                      <w:instrText xml:space="preserve"> PAGE  \* MERGEFORMAT </w:instrText>
                    </w:r>
                    <w:r>
                      <w:rPr>
                        <w:sz w:val="32"/>
                        <w:szCs w:val="32"/>
                      </w:rPr>
                      <w:fldChar w:fldCharType="separate"/>
                    </w:r>
                    <w:r>
                      <w:rPr>
                        <w:sz w:val="32"/>
                        <w:szCs w:val="32"/>
                      </w:rPr>
                      <w:t>71</w:t>
                    </w:r>
                    <w:r>
                      <w:rPr>
                        <w:sz w:val="32"/>
                        <w:szCs w:val="32"/>
                      </w:rPr>
                      <w:fldChar w:fldCharType="end"/>
                    </w:r>
                    <w:r>
                      <w:rPr>
                        <w:sz w:val="32"/>
                        <w:szCs w:val="32"/>
                      </w:rPr>
                      <w:t xml:space="preserve"> —</w:t>
                    </w:r>
                  </w:p>
                </w:txbxContent>
              </v:textbox>
            </v:shape>
          </w:pict>
        </mc:Fallback>
      </mc:AlternateContent>
    </w:r>
    <w:r>
      <w:rPr>
        <w:sz w:val="20"/>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WAAAA&#10;ZHJzL1BLAQIUABQAAAAIAIdO4kDOqXm5zwAAAAUBAAAPAAAAAAAAAAEAIAAAADgAAABkcnMvZG93&#10;bnJldi54bWxQSwECFAAUAAAACACHTuJAEDxWvroBAABhAwAADgAAAAAAAAABACAAAAA0AQAAZHJz&#10;L2Uyb0RvYy54bWxQSwUGAAAAAAYABgBZAQAAYAU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sz w:val="18"/>
      </w:rPr>
      <mc:AlternateContent>
        <mc:Choice Requires="wps">
          <w:drawing>
            <wp:anchor distT="0" distB="0" distL="114300" distR="114300" simplePos="0" relativeHeight="25168179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6"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txbxContent>
                    </wps:txbx>
                    <wps:bodyPr vert="horz" wrap="none" lIns="0" tIns="0" rIns="0" bIns="0" anchor="t" anchorCtr="false" upright="false">
                      <a:spAutoFit/>
                    </wps:bodyPr>
                  </wps:wsp>
                </a:graphicData>
              </a:graphic>
            </wp:anchor>
          </w:drawing>
        </mc:Choice>
        <mc:Fallback>
          <w:pict>
            <v:shape id="文本框 4" o:spid="_x0000_s1026" o:spt="202" type="#_x0000_t202" style="position:absolute;left:0pt;margin-top:0pt;height:144pt;width:144pt;mso-position-horizontal:outside;mso-position-horizontal-relative:margin;mso-wrap-style:none;z-index:25168179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FgAAAGRycy9QSwECFAAUAAAACACHTuJAzql5uc8AAAAFAQAADwAAAAAAAAAB&#10;ACAAAAA4AAAAZHJzL2Rvd25yZXYueG1sUEsBAhQAFAAAAAgAh07iQEHeD67KAQAAfAMAAA4AAAAA&#10;AAAAAQAgAAAANAEAAGRycy9lMm9Eb2MueG1sUEsFBgAAAAAGAAYAWQEAAHAFAAAAAA==&#10;">
              <v:fill on="f" focussize="0,0"/>
              <v:stroke on="f"/>
              <v:imagedata o:title=""/>
              <o:lock v:ext="edit" aspectratio="f"/>
              <v:textbox inset="0mm,0mm,0mm,0mm" style="mso-fit-shape-to-text:t;">
                <w:txbxContent>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sz w:val="18"/>
      </w:rPr>
      <mc:AlternateContent>
        <mc:Choice Requires="wps">
          <w:drawing>
            <wp:anchor distT="0" distB="0" distL="114300" distR="114300" simplePos="0" relativeHeight="25168281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7" name="文本框 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txbxContent>
                    </wps:txbx>
                    <wps:bodyPr vert="horz" wrap="none" lIns="0" tIns="0" rIns="0" bIns="0" anchor="t" anchorCtr="false" upright="false">
                      <a:spAutoFit/>
                    </wps:bodyPr>
                  </wps:wsp>
                </a:graphicData>
              </a:graphic>
            </wp:anchor>
          </w:drawing>
        </mc:Choice>
        <mc:Fallback>
          <w:pict>
            <v:shape id="文本框 5" o:spid="_x0000_s1026" o:spt="202" type="#_x0000_t202" style="position:absolute;left:0pt;margin-top:0pt;height:144pt;width:144pt;mso-position-horizontal:outside;mso-position-horizontal-relative:margin;mso-wrap-style:none;z-index:25168281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WAAAAZHJzL1BLAQIUABQAAAAIAIdO4kDOqXm5zwAAAAUBAAAPAAAAAAAAAAEA&#10;IAAAADgAAABkcnMvZG93bnJldi54bWxQSwECFAAUAAAACACHTuJAClUyzMkBAAB8AwAADgAAAAAA&#10;AAABACAAAAA0AQAAZHJzL2Uyb0RvYy54bWxQSwUGAAAAAAYABgBZAQAAbwUAAAAA&#10;">
              <v:fill on="f" focussize="0,0"/>
              <v:stroke on="f"/>
              <v:imagedata o:title=""/>
              <o:lock v:ext="edit" aspectratio="f"/>
              <v:textbox inset="0mm,0mm,0mm,0mm" style="mso-fit-shape-to-text:t;">
                <w:txbxContent>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vert="horz" wrap="none" lIns="0" tIns="0" rIns="0" bIns="0" anchor="t" anchorCtr="false" upright="true">
                      <a:spAutoFit/>
                    </wps:bodyPr>
                  </wps:wsp>
                </a:graphicData>
              </a:graphic>
            </wp:anchor>
          </w:drawing>
        </mc:Choice>
        <mc:Fallback>
          <w:pict>
            <v:shape id="文本框 6"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BYAAABkcnMvUEsBAhQAFAAAAAgAh07iQM6pebnPAAAABQEAAA8AAAAAAAAA&#10;AQAgAAAAOAAAAGRycy9kb3ducmV2LnhtbFBLAQIUABQAAAAIAIdO4kC3ZtLcywEAAHoDAAAOAAAA&#10;AAAAAAEAIAAAADQBAABkcnMvZTJvRG9jLnhtbFBLBQYAAAAABgAGAFkBAABx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BYAAABk&#10;cnMvUEsBAhQAFAAAAAgAh07iQM6pebnPAAAABQEAAA8AAAAAAAAAAQAgAAAAOAAAAGRycy9kb3du&#10;cmV2LnhtbFBLAQIUABQAAAAIAIdO4kB/C78QuQEAAGEDAAAOAAAAAAAAAAEAIAAAADQBAABkcnMv&#10;ZTJvRG9jLnhtbFBLBQYAAAAABgAGAFkBAABfBQ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framePr w:wrap="around" w:vAnchor="text" w:hAnchor="margin" w:xAlign="center" w:y="1"/>
      <w:rPr>
        <w:rStyle w:val="93"/>
      </w:rPr>
    </w:pPr>
    <w:r>
      <w:rPr>
        <w:rStyle w:val="93"/>
      </w:rPr>
      <w:fldChar w:fldCharType="begin"/>
    </w:r>
    <w:r>
      <w:rPr>
        <w:rStyle w:val="93"/>
      </w:rPr>
      <w:instrText xml:space="preserve">PAGE  </w:instrText>
    </w:r>
    <w:r>
      <w:rPr>
        <w:rStyle w:val="93"/>
      </w:rPr>
      <w:fldChar w:fldCharType="end"/>
    </w:r>
  </w:p>
  <w:p>
    <w:pPr>
      <w:pStyle w:val="5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42</w:t>
                          </w:r>
                          <w:r>
                            <w:rPr>
                              <w:sz w:val="28"/>
                              <w:szCs w:val="28"/>
                            </w:rPr>
                            <w:fldChar w:fldCharType="end"/>
                          </w:r>
                          <w:r>
                            <w:rPr>
                              <w:sz w:val="28"/>
                              <w:szCs w:val="28"/>
                            </w:rPr>
                            <w:t xml:space="preserve"> —</w:t>
                          </w:r>
                        </w:p>
                      </w:txbxContent>
                    </wps:txbx>
                    <wps:bodyPr vert="horz" wrap="none" lIns="0" tIns="0" rIns="0" bIns="0" anchor="t" anchorCtr="false" upright="true">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BYAAABkcnMvUEsBAhQAFAAAAAgAh07iQM6pebnPAAAABQEAAA8AAAAAAAAA&#10;AQAgAAAAOAAAAGRycy9kb3ducmV2LnhtbFBLAQIUABQAAAAIAIdO4kB+Yj4+ywEAAHoDAAAOAAAA&#10;AAAAAAEAIAAAADQBAABkcnMvZTJvRG9jLnhtbFBLBQYAAAAABgAGAFkBAABxBQ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zql5uc8AAAAFAQAADwAAAAAAAAABACAAAAA4AAAAZHJzL2Rvd25y&#10;ZXYueG1sUEsBAhQAFAAAAAgAh07iQO/2h9C4AQAAYQMAAA4AAAAAAAAAAQAgAAAANAEAAGRycy9l&#10;Mm9Eb2MueG1sUEsFBgAAAAAGAAYAWQEAAF4FA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rPr>
        <w:sz w:val="20"/>
        <w:szCs w:val="20"/>
      </w:rPr>
    </w:pPr>
    <w:r>
      <w:rPr>
        <w:sz w:val="20"/>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wps:txbx>
                    <wps:bodyPr wrap="none" lIns="0" tIns="0" rIns="0" bIns="0" upright="true">
                      <a:spAutoFit/>
                    </wps:bodyPr>
                  </wps:wsp>
                </a:graphicData>
              </a:graphic>
            </wp:anchor>
          </w:drawing>
        </mc:Choice>
        <mc:Fallback>
          <w:pict>
            <v:shape id="文本框 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FgAAAGRycy9QSwEC&#10;FAAUAAAACACHTuJAzql5uc8AAAAFAQAADwAAAAAAAAABACAAAAA4AAAAZHJzL2Rvd25yZXYueG1s&#10;UEsBAhQAFAAAAAgAh07iQJglKEayAQAAUQMAAA4AAAAAAAAAAQAgAAAANAEAAGRycy9lMm9Eb2Mu&#10;eG1sUEsFBgAAAAAGAAYAWQEAAFgFAAAAAA==&#10;">
              <v:fill on="f" focussize="0,0"/>
              <v:stroke on="f"/>
              <v:imagedata o:title=""/>
              <o:lock v:ext="edit" aspectratio="f"/>
              <v:textbox inset="0mm,0mm,0mm,0mm" style="mso-fit-shape-to-text:t;">
                <w:txbxContent>
                  <w:p>
                    <w:pPr>
                      <w:pStyle w:val="55"/>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sz w:val="28"/>
                        <w:szCs w:val="28"/>
                      </w:rPr>
                      <w:t xml:space="preserve"> —</w:t>
                    </w:r>
                  </w:p>
                </w:txbxContent>
              </v:textbox>
            </v:shape>
          </w:pict>
        </mc:Fallback>
      </mc:AlternateContent>
    </w:r>
    <w:r>
      <w:rPr>
        <w:sz w:val="20"/>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a:effectLst/>
                    </wps:spPr>
                    <wps:txbx>
                      <w:txbxContent>
                        <w:p>
                          <w:pPr>
                            <w:pStyle w:val="55"/>
                          </w:pPr>
                        </w:p>
                        <w:p/>
                      </w:txbxContent>
                    </wps:txbx>
                    <wps:bodyPr wrap="none" lIns="0" tIns="0" rIns="0" bIns="0" upright="false">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BYAAABk&#10;cnMvUEsBAhQAFAAAAAgAh07iQM6pebnPAAAABQEAAA8AAAAAAAAAAQAgAAAAOAAAAGRycy9kb3du&#10;cmV2LnhtbFBLAQIUABQAAAAIAIdO4kBiATy5uQEAAGEDAAAOAAAAAAAAAAEAIAAAADQBAABkcnMv&#10;ZTJvRG9jLnhtbFBLBQYAAAAABgAGAFkBAABfBQAAAAA=&#10;">
              <v:fill on="f" focussize="0,0"/>
              <v:stroke on="f"/>
              <v:imagedata o:title=""/>
              <o:lock v:ext="edit" aspectratio="f"/>
              <v:textbox inset="0mm,0mm,0mm,0mm" style="mso-fit-shape-to-text:t;">
                <w:txbxContent>
                  <w:p>
                    <w:pPr>
                      <w:pStyle w:val="55"/>
                    </w:pPr>
                  </w:p>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CFE8AF2"/>
    <w:multiLevelType w:val="singleLevel"/>
    <w:tmpl w:val="DCFE8AF2"/>
    <w:lvl w:ilvl="0" w:tentative="0">
      <w:start w:val="1"/>
      <w:numFmt w:val="chineseCounting"/>
      <w:suff w:val="nothing"/>
      <w:lvlText w:val="（%1）"/>
      <w:lvlJc w:val="left"/>
      <w:rPr>
        <w:rFonts w:hint="eastAsia"/>
      </w:rPr>
    </w:lvl>
  </w:abstractNum>
  <w:abstractNum w:abstractNumId="1">
    <w:nsid w:val="04DE6FDE"/>
    <w:multiLevelType w:val="multilevel"/>
    <w:tmpl w:val="04DE6FDE"/>
    <w:lvl w:ilvl="0" w:tentative="0">
      <w:start w:val="1"/>
      <w:numFmt w:val="decimal"/>
      <w:pStyle w:val="581"/>
      <w:lvlText w:val="%1）"/>
      <w:lvlJc w:val="left"/>
      <w:pPr>
        <w:ind w:left="825" w:hanging="360"/>
      </w:pPr>
      <w:rPr>
        <w:rFonts w:hint="default"/>
      </w:rPr>
    </w:lvl>
    <w:lvl w:ilvl="1" w:tentative="0">
      <w:start w:val="1"/>
      <w:numFmt w:val="lowerLetter"/>
      <w:lvlText w:val="%2)"/>
      <w:lvlJc w:val="left"/>
      <w:pPr>
        <w:ind w:left="1305" w:hanging="420"/>
      </w:pPr>
    </w:lvl>
    <w:lvl w:ilvl="2" w:tentative="0">
      <w:start w:val="1"/>
      <w:numFmt w:val="lowerRoman"/>
      <w:lvlText w:val="%3."/>
      <w:lvlJc w:val="right"/>
      <w:pPr>
        <w:ind w:left="1725" w:hanging="420"/>
      </w:pPr>
    </w:lvl>
    <w:lvl w:ilvl="3" w:tentative="0">
      <w:start w:val="1"/>
      <w:numFmt w:val="decimal"/>
      <w:lvlText w:val="%4."/>
      <w:lvlJc w:val="left"/>
      <w:pPr>
        <w:ind w:left="2145" w:hanging="420"/>
      </w:pPr>
    </w:lvl>
    <w:lvl w:ilvl="4" w:tentative="0">
      <w:start w:val="1"/>
      <w:numFmt w:val="lowerLetter"/>
      <w:lvlText w:val="%5)"/>
      <w:lvlJc w:val="left"/>
      <w:pPr>
        <w:ind w:left="2565" w:hanging="420"/>
      </w:pPr>
    </w:lvl>
    <w:lvl w:ilvl="5" w:tentative="0">
      <w:start w:val="1"/>
      <w:numFmt w:val="lowerRoman"/>
      <w:lvlText w:val="%6."/>
      <w:lvlJc w:val="right"/>
      <w:pPr>
        <w:ind w:left="2985" w:hanging="420"/>
      </w:pPr>
    </w:lvl>
    <w:lvl w:ilvl="6" w:tentative="0">
      <w:start w:val="1"/>
      <w:numFmt w:val="decimal"/>
      <w:lvlText w:val="%7."/>
      <w:lvlJc w:val="left"/>
      <w:pPr>
        <w:ind w:left="3405" w:hanging="420"/>
      </w:pPr>
    </w:lvl>
    <w:lvl w:ilvl="7" w:tentative="0">
      <w:start w:val="1"/>
      <w:numFmt w:val="lowerLetter"/>
      <w:lvlText w:val="%8)"/>
      <w:lvlJc w:val="left"/>
      <w:pPr>
        <w:ind w:left="3825" w:hanging="420"/>
      </w:pPr>
    </w:lvl>
    <w:lvl w:ilvl="8" w:tentative="0">
      <w:start w:val="1"/>
      <w:numFmt w:val="lowerRoman"/>
      <w:lvlText w:val="%9."/>
      <w:lvlJc w:val="right"/>
      <w:pPr>
        <w:ind w:left="4245" w:hanging="420"/>
      </w:pPr>
    </w:lvl>
  </w:abstractNum>
  <w:abstractNum w:abstractNumId="2">
    <w:nsid w:val="3AC83AC7"/>
    <w:multiLevelType w:val="multilevel"/>
    <w:tmpl w:val="3AC83AC7"/>
    <w:lvl w:ilvl="0" w:tentative="0">
      <w:start w:val="1"/>
      <w:numFmt w:val="decimal"/>
      <w:pStyle w:val="720"/>
      <w:suff w:val="nothing"/>
      <w:lvlText w:val="%1） "/>
      <w:lvlJc w:val="left"/>
      <w:pPr>
        <w:ind w:left="-284" w:firstLine="567"/>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
    <w:nsid w:val="3CB76828"/>
    <w:multiLevelType w:val="multilevel"/>
    <w:tmpl w:val="3CB76828"/>
    <w:lvl w:ilvl="0" w:tentative="0">
      <w:start w:val="1"/>
      <w:numFmt w:val="decimal"/>
      <w:lvlText w:val="%1)"/>
      <w:lvlJc w:val="left"/>
      <w:pPr>
        <w:tabs>
          <w:tab w:val="left" w:pos="840"/>
        </w:tabs>
        <w:ind w:left="840" w:hanging="420"/>
      </w:pPr>
    </w:lvl>
    <w:lvl w:ilvl="1" w:tentative="0">
      <w:start w:val="1"/>
      <w:numFmt w:val="lowerLetter"/>
      <w:pStyle w:val="575"/>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
    <w:nsid w:val="57E40CDA"/>
    <w:multiLevelType w:val="multilevel"/>
    <w:tmpl w:val="57E40CDA"/>
    <w:lvl w:ilvl="0" w:tentative="0">
      <w:start w:val="1"/>
      <w:numFmt w:val="decimal"/>
      <w:suff w:val="nothing"/>
      <w:lvlText w:val="%1  "/>
      <w:lvlJc w:val="left"/>
      <w:pPr>
        <w:ind w:left="737" w:hanging="737"/>
      </w:pPr>
      <w:rPr>
        <w:rFonts w:hint="eastAsia"/>
      </w:rPr>
    </w:lvl>
    <w:lvl w:ilvl="1" w:tentative="0">
      <w:start w:val="1"/>
      <w:numFmt w:val="decimal"/>
      <w:pStyle w:val="719"/>
      <w:suff w:val="nothing"/>
      <w:lvlText w:val="%1.%2  "/>
      <w:lvlJc w:val="left"/>
      <w:pPr>
        <w:ind w:left="851" w:hanging="851"/>
      </w:pPr>
      <w:rPr>
        <w:rFonts w:hint="eastAsia"/>
      </w:rPr>
    </w:lvl>
    <w:lvl w:ilvl="2" w:tentative="0">
      <w:start w:val="1"/>
      <w:numFmt w:val="decimal"/>
      <w:suff w:val="nothing"/>
      <w:lvlText w:val="%1.%2.%3  "/>
      <w:lvlJc w:val="left"/>
      <w:pPr>
        <w:ind w:left="3601" w:hanging="2608"/>
      </w:pPr>
      <w:rPr>
        <w:rFonts w:hint="eastAsia"/>
      </w:rPr>
    </w:lvl>
    <w:lvl w:ilvl="3" w:tentative="0">
      <w:start w:val="1"/>
      <w:numFmt w:val="decimal"/>
      <w:isLgl/>
      <w:suff w:val="nothing"/>
      <w:lvlText w:val="%1.%2.%3.%4  "/>
      <w:lvlJc w:val="left"/>
      <w:pPr>
        <w:ind w:left="2495" w:hanging="1928"/>
      </w:pPr>
      <w:rPr>
        <w:rFonts w:hint="eastAsia"/>
        <w:b w:val="0"/>
        <w:bCs w:val="0"/>
        <w:i w:val="0"/>
        <w:iCs w:val="0"/>
        <w:caps w:val="0"/>
        <w:smallCaps w:val="0"/>
        <w:strike w:val="0"/>
        <w:dstrike w:val="0"/>
        <w:vanish w:val="0"/>
        <w:color w:val="000000"/>
        <w:spacing w:val="0"/>
        <w:position w:val="0"/>
        <w:u w:val="none"/>
        <w:vertAlign w:val="baseline"/>
      </w:rPr>
    </w:lvl>
    <w:lvl w:ilvl="4" w:tentative="0">
      <w:start w:val="1"/>
      <w:numFmt w:val="decimal"/>
      <w:lvlRestart w:val="3"/>
      <w:pStyle w:val="715"/>
      <w:suff w:val="nothing"/>
      <w:lvlText w:val="表%1.%2.%3-%5    "/>
      <w:lvlJc w:val="center"/>
      <w:pPr>
        <w:ind w:left="3403" w:firstLine="0"/>
      </w:pPr>
      <w:rPr>
        <w:rFonts w:hint="eastAsia"/>
        <w:b w:val="0"/>
        <w:bCs w:val="0"/>
        <w:i w:val="0"/>
        <w:iCs w:val="0"/>
        <w:caps w:val="0"/>
        <w:smallCaps w:val="0"/>
        <w:strike w:val="0"/>
        <w:dstrike w:val="0"/>
        <w:vanish w:val="0"/>
        <w:color w:val="000000"/>
        <w:spacing w:val="0"/>
        <w:position w:val="0"/>
        <w:u w:val="none"/>
        <w:vertAlign w:val="baseline"/>
        <w:lang w:val="en-US"/>
      </w:rPr>
    </w:lvl>
    <w:lvl w:ilvl="5" w:tentative="0">
      <w:start w:val="1"/>
      <w:numFmt w:val="decimal"/>
      <w:lvlRestart w:val="3"/>
      <w:suff w:val="nothing"/>
      <w:lvlText w:val="图%1.%2.%3-%6    "/>
      <w:lvlJc w:val="center"/>
      <w:pPr>
        <w:ind w:left="2213" w:firstLine="1474"/>
      </w:pPr>
      <w:rPr>
        <w:rFonts w:hint="eastAsia"/>
        <w:b w:val="0"/>
        <w:bCs w:val="0"/>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667158A9"/>
    <w:multiLevelType w:val="multilevel"/>
    <w:tmpl w:val="667158A9"/>
    <w:lvl w:ilvl="0" w:tentative="0">
      <w:start w:val="1"/>
      <w:numFmt w:val="decimal"/>
      <w:lvlText w:val="%1"/>
      <w:lvlJc w:val="left"/>
      <w:pPr>
        <w:tabs>
          <w:tab w:val="left" w:pos="432"/>
        </w:tabs>
        <w:ind w:left="432" w:hanging="432"/>
      </w:pPr>
    </w:lvl>
    <w:lvl w:ilvl="1" w:tentative="0">
      <w:start w:val="1"/>
      <w:numFmt w:val="decimal"/>
      <w:pStyle w:val="580"/>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pStyle w:val="9"/>
      <w:lvlText w:val="%1.%2.%3.%4.%5.%6.%7"/>
      <w:lvlJc w:val="left"/>
      <w:pPr>
        <w:tabs>
          <w:tab w:val="left" w:pos="1296"/>
        </w:tabs>
        <w:ind w:left="1296" w:hanging="1296"/>
      </w:pPr>
    </w:lvl>
    <w:lvl w:ilvl="7" w:tentative="0">
      <w:start w:val="1"/>
      <w:numFmt w:val="decimal"/>
      <w:pStyle w:val="10"/>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6">
    <w:nsid w:val="7335569F"/>
    <w:multiLevelType w:val="singleLevel"/>
    <w:tmpl w:val="7335569F"/>
    <w:lvl w:ilvl="0" w:tentative="0">
      <w:start w:val="2"/>
      <w:numFmt w:val="chineseCounting"/>
      <w:suff w:val="nothing"/>
      <w:lvlText w:val="（%1）"/>
      <w:lvlJc w:val="left"/>
      <w:rPr>
        <w:rFonts w:hint="eastAsia"/>
      </w:rPr>
    </w:lvl>
  </w:abstractNum>
  <w:abstractNum w:abstractNumId="7">
    <w:nsid w:val="76E05074"/>
    <w:multiLevelType w:val="singleLevel"/>
    <w:tmpl w:val="76E05074"/>
    <w:lvl w:ilvl="0" w:tentative="0">
      <w:start w:val="3"/>
      <w:numFmt w:val="chineseCounting"/>
      <w:suff w:val="space"/>
      <w:lvlText w:val="第%1章"/>
      <w:lvlJc w:val="left"/>
      <w:rPr>
        <w:rFonts w:hint="eastAsia"/>
      </w:rPr>
    </w:lvl>
  </w:abstractNum>
  <w:abstractNum w:abstractNumId="8">
    <w:nsid w:val="7F41FB3F"/>
    <w:multiLevelType w:val="singleLevel"/>
    <w:tmpl w:val="7F41FB3F"/>
    <w:lvl w:ilvl="0" w:tentative="0">
      <w:start w:val="1"/>
      <w:numFmt w:val="decimal"/>
      <w:lvlText w:val="%1."/>
      <w:lvlJc w:val="left"/>
      <w:pPr>
        <w:tabs>
          <w:tab w:val="left" w:pos="312"/>
        </w:tabs>
      </w:pPr>
    </w:lvl>
  </w:abstractNum>
  <w:num w:numId="1">
    <w:abstractNumId w:val="5"/>
  </w:num>
  <w:num w:numId="2">
    <w:abstractNumId w:val="3"/>
  </w:num>
  <w:num w:numId="3">
    <w:abstractNumId w:val="1"/>
  </w:num>
  <w:num w:numId="4">
    <w:abstractNumId w:val="4"/>
  </w:num>
  <w:num w:numId="5">
    <w:abstractNumId w:val="2"/>
  </w:num>
  <w:num w:numId="6">
    <w:abstractNumId w:val="8"/>
  </w:num>
  <w:num w:numId="7">
    <w:abstractNumId w:val="7"/>
  </w:num>
  <w:num w:numId="8">
    <w:abstractNumId w:val="6"/>
  </w:num>
  <w:num w:numId="9">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苏翔">
    <w15:presenceInfo w15:providerId="None" w15:userId="苏翔"/>
  </w15:person>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true"/>
  <w:embedTrueTypeFonts/>
  <w:saveSubsetFonts/>
  <w:bordersDoNotSurroundHeader w:val="false"/>
  <w:bordersDoNotSurroundFooter w:val="false"/>
  <w:documentProtection w:enforcement="0"/>
  <w:defaultTabStop w:val="420"/>
  <w:hyphenationZone w:val="360"/>
  <w:drawingGridHorizontalSpacing w:val="112"/>
  <w:drawingGridVerticalSpacing w:val="167"/>
  <w:displayHorizontalDrawingGridEvery w:val="2"/>
  <w:displayVerticalDrawingGridEvery w:val="2"/>
  <w:noPunctuationKerning w:val="true"/>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IwNzk2NzNiYzFlZmJjZGY5M2UwZTRlNGJmYWY3NDcifQ=="/>
  </w:docVars>
  <w:rsids>
    <w:rsidRoot w:val="00B47AC0"/>
    <w:rsid w:val="00000714"/>
    <w:rsid w:val="0000632E"/>
    <w:rsid w:val="0001212E"/>
    <w:rsid w:val="00014DF3"/>
    <w:rsid w:val="00020000"/>
    <w:rsid w:val="0002094D"/>
    <w:rsid w:val="0002561E"/>
    <w:rsid w:val="00026A26"/>
    <w:rsid w:val="00036C93"/>
    <w:rsid w:val="0004563C"/>
    <w:rsid w:val="0005640C"/>
    <w:rsid w:val="00060451"/>
    <w:rsid w:val="0006093A"/>
    <w:rsid w:val="0006342D"/>
    <w:rsid w:val="000718BF"/>
    <w:rsid w:val="000803D3"/>
    <w:rsid w:val="000A534B"/>
    <w:rsid w:val="000B5401"/>
    <w:rsid w:val="000C2C0E"/>
    <w:rsid w:val="000C7BD1"/>
    <w:rsid w:val="000D65CC"/>
    <w:rsid w:val="000E2F62"/>
    <w:rsid w:val="000F1261"/>
    <w:rsid w:val="000F38F3"/>
    <w:rsid w:val="00103C55"/>
    <w:rsid w:val="00104E5D"/>
    <w:rsid w:val="001074B0"/>
    <w:rsid w:val="001111FF"/>
    <w:rsid w:val="00113A82"/>
    <w:rsid w:val="001223D6"/>
    <w:rsid w:val="00126EB2"/>
    <w:rsid w:val="0013273D"/>
    <w:rsid w:val="001352C8"/>
    <w:rsid w:val="00162F65"/>
    <w:rsid w:val="001639D8"/>
    <w:rsid w:val="0016410D"/>
    <w:rsid w:val="00167809"/>
    <w:rsid w:val="001757F4"/>
    <w:rsid w:val="00175D63"/>
    <w:rsid w:val="00175D6C"/>
    <w:rsid w:val="00176B9F"/>
    <w:rsid w:val="00177743"/>
    <w:rsid w:val="0019138C"/>
    <w:rsid w:val="001A082F"/>
    <w:rsid w:val="001A5511"/>
    <w:rsid w:val="001A720C"/>
    <w:rsid w:val="001A766B"/>
    <w:rsid w:val="001B223C"/>
    <w:rsid w:val="001C07C1"/>
    <w:rsid w:val="001C0AFA"/>
    <w:rsid w:val="001C1B27"/>
    <w:rsid w:val="001D39E0"/>
    <w:rsid w:val="001D3CA7"/>
    <w:rsid w:val="001D3DC9"/>
    <w:rsid w:val="001D51FB"/>
    <w:rsid w:val="001E622D"/>
    <w:rsid w:val="001E6338"/>
    <w:rsid w:val="001E7953"/>
    <w:rsid w:val="001F1684"/>
    <w:rsid w:val="00204864"/>
    <w:rsid w:val="002048FE"/>
    <w:rsid w:val="00225788"/>
    <w:rsid w:val="00226B73"/>
    <w:rsid w:val="00242C5F"/>
    <w:rsid w:val="0025003D"/>
    <w:rsid w:val="00252A4A"/>
    <w:rsid w:val="00256463"/>
    <w:rsid w:val="00261205"/>
    <w:rsid w:val="0026497F"/>
    <w:rsid w:val="00267B76"/>
    <w:rsid w:val="00282271"/>
    <w:rsid w:val="002841CB"/>
    <w:rsid w:val="002879FE"/>
    <w:rsid w:val="002A2C4F"/>
    <w:rsid w:val="002B0E12"/>
    <w:rsid w:val="002C34AA"/>
    <w:rsid w:val="002C366F"/>
    <w:rsid w:val="002C7155"/>
    <w:rsid w:val="002D1AF3"/>
    <w:rsid w:val="002D27E5"/>
    <w:rsid w:val="002E23EF"/>
    <w:rsid w:val="002E2AA3"/>
    <w:rsid w:val="002E3264"/>
    <w:rsid w:val="002E4B2A"/>
    <w:rsid w:val="002E77ED"/>
    <w:rsid w:val="002F4751"/>
    <w:rsid w:val="002F4CA4"/>
    <w:rsid w:val="002F638B"/>
    <w:rsid w:val="0031565D"/>
    <w:rsid w:val="003164F3"/>
    <w:rsid w:val="00317465"/>
    <w:rsid w:val="003178D0"/>
    <w:rsid w:val="00324CE7"/>
    <w:rsid w:val="003254DE"/>
    <w:rsid w:val="00335918"/>
    <w:rsid w:val="00340B69"/>
    <w:rsid w:val="0034113E"/>
    <w:rsid w:val="00341B26"/>
    <w:rsid w:val="003423B4"/>
    <w:rsid w:val="00343F03"/>
    <w:rsid w:val="0035682A"/>
    <w:rsid w:val="00357C43"/>
    <w:rsid w:val="00361489"/>
    <w:rsid w:val="00363B0F"/>
    <w:rsid w:val="00366183"/>
    <w:rsid w:val="003842C4"/>
    <w:rsid w:val="003863CC"/>
    <w:rsid w:val="00394CC8"/>
    <w:rsid w:val="00395D0E"/>
    <w:rsid w:val="003B3774"/>
    <w:rsid w:val="003B68A8"/>
    <w:rsid w:val="003B7302"/>
    <w:rsid w:val="003D0788"/>
    <w:rsid w:val="003D4043"/>
    <w:rsid w:val="003D6543"/>
    <w:rsid w:val="003E3C95"/>
    <w:rsid w:val="003E7353"/>
    <w:rsid w:val="003F3292"/>
    <w:rsid w:val="00400293"/>
    <w:rsid w:val="00400D10"/>
    <w:rsid w:val="0041283B"/>
    <w:rsid w:val="00414618"/>
    <w:rsid w:val="0042225F"/>
    <w:rsid w:val="00422674"/>
    <w:rsid w:val="00452436"/>
    <w:rsid w:val="004672B9"/>
    <w:rsid w:val="004711E8"/>
    <w:rsid w:val="00472D07"/>
    <w:rsid w:val="00480631"/>
    <w:rsid w:val="004829D5"/>
    <w:rsid w:val="004853A0"/>
    <w:rsid w:val="00492981"/>
    <w:rsid w:val="0049444B"/>
    <w:rsid w:val="004A3216"/>
    <w:rsid w:val="004A487F"/>
    <w:rsid w:val="004A7DEF"/>
    <w:rsid w:val="004B4486"/>
    <w:rsid w:val="004C053E"/>
    <w:rsid w:val="004C22AA"/>
    <w:rsid w:val="004C3E38"/>
    <w:rsid w:val="004C49B9"/>
    <w:rsid w:val="004C523C"/>
    <w:rsid w:val="004C5F8C"/>
    <w:rsid w:val="004D5E9D"/>
    <w:rsid w:val="004D6D45"/>
    <w:rsid w:val="004E20C5"/>
    <w:rsid w:val="004F267E"/>
    <w:rsid w:val="004F27CA"/>
    <w:rsid w:val="004F61AA"/>
    <w:rsid w:val="004F71DD"/>
    <w:rsid w:val="00511027"/>
    <w:rsid w:val="00511AB6"/>
    <w:rsid w:val="0051422A"/>
    <w:rsid w:val="005146EF"/>
    <w:rsid w:val="00515A57"/>
    <w:rsid w:val="00520E4C"/>
    <w:rsid w:val="005261E4"/>
    <w:rsid w:val="00530442"/>
    <w:rsid w:val="00536030"/>
    <w:rsid w:val="005527EB"/>
    <w:rsid w:val="00556BA4"/>
    <w:rsid w:val="005620CB"/>
    <w:rsid w:val="0056387B"/>
    <w:rsid w:val="0056727B"/>
    <w:rsid w:val="00567617"/>
    <w:rsid w:val="0057105B"/>
    <w:rsid w:val="0058325D"/>
    <w:rsid w:val="0059143A"/>
    <w:rsid w:val="00591B9C"/>
    <w:rsid w:val="005A3BD1"/>
    <w:rsid w:val="005B1A2C"/>
    <w:rsid w:val="005B34B1"/>
    <w:rsid w:val="005B3DDA"/>
    <w:rsid w:val="005B5092"/>
    <w:rsid w:val="005B5DD0"/>
    <w:rsid w:val="005C6D9A"/>
    <w:rsid w:val="005D258A"/>
    <w:rsid w:val="005D791D"/>
    <w:rsid w:val="005E1972"/>
    <w:rsid w:val="005E2FED"/>
    <w:rsid w:val="005F488A"/>
    <w:rsid w:val="00603FC9"/>
    <w:rsid w:val="00606E96"/>
    <w:rsid w:val="00614B56"/>
    <w:rsid w:val="00624CBD"/>
    <w:rsid w:val="006252C8"/>
    <w:rsid w:val="006307C0"/>
    <w:rsid w:val="00632796"/>
    <w:rsid w:val="006339C4"/>
    <w:rsid w:val="00634B29"/>
    <w:rsid w:val="00646024"/>
    <w:rsid w:val="00657B0C"/>
    <w:rsid w:val="006828B1"/>
    <w:rsid w:val="006A2061"/>
    <w:rsid w:val="006A4854"/>
    <w:rsid w:val="006B10D6"/>
    <w:rsid w:val="006C3864"/>
    <w:rsid w:val="006C3DC9"/>
    <w:rsid w:val="006E0DCC"/>
    <w:rsid w:val="006E1C44"/>
    <w:rsid w:val="006E3B55"/>
    <w:rsid w:val="006E7945"/>
    <w:rsid w:val="00705E88"/>
    <w:rsid w:val="00721323"/>
    <w:rsid w:val="00725D09"/>
    <w:rsid w:val="00726272"/>
    <w:rsid w:val="0073027E"/>
    <w:rsid w:val="00730CBC"/>
    <w:rsid w:val="00742603"/>
    <w:rsid w:val="00747B46"/>
    <w:rsid w:val="0075010F"/>
    <w:rsid w:val="00754196"/>
    <w:rsid w:val="00757538"/>
    <w:rsid w:val="0075769B"/>
    <w:rsid w:val="007576C5"/>
    <w:rsid w:val="007609D5"/>
    <w:rsid w:val="00767F23"/>
    <w:rsid w:val="0077407E"/>
    <w:rsid w:val="007753AB"/>
    <w:rsid w:val="007765FF"/>
    <w:rsid w:val="00777D10"/>
    <w:rsid w:val="00784424"/>
    <w:rsid w:val="00793622"/>
    <w:rsid w:val="00793933"/>
    <w:rsid w:val="007A0265"/>
    <w:rsid w:val="007A15F5"/>
    <w:rsid w:val="007A4FDF"/>
    <w:rsid w:val="007A5245"/>
    <w:rsid w:val="007A749F"/>
    <w:rsid w:val="007B1852"/>
    <w:rsid w:val="007B2B47"/>
    <w:rsid w:val="007B7192"/>
    <w:rsid w:val="007C5384"/>
    <w:rsid w:val="007E049C"/>
    <w:rsid w:val="007E1DEB"/>
    <w:rsid w:val="007E380B"/>
    <w:rsid w:val="007F004C"/>
    <w:rsid w:val="007F0555"/>
    <w:rsid w:val="007F771E"/>
    <w:rsid w:val="00802D2D"/>
    <w:rsid w:val="0080323A"/>
    <w:rsid w:val="00804DB8"/>
    <w:rsid w:val="00823E2D"/>
    <w:rsid w:val="00834B83"/>
    <w:rsid w:val="00841B2A"/>
    <w:rsid w:val="00845B6B"/>
    <w:rsid w:val="0085647C"/>
    <w:rsid w:val="0086024F"/>
    <w:rsid w:val="008645FF"/>
    <w:rsid w:val="00865A20"/>
    <w:rsid w:val="00865B9A"/>
    <w:rsid w:val="00870763"/>
    <w:rsid w:val="00870AF6"/>
    <w:rsid w:val="0087125D"/>
    <w:rsid w:val="00874DC8"/>
    <w:rsid w:val="00875388"/>
    <w:rsid w:val="008851FF"/>
    <w:rsid w:val="008859E1"/>
    <w:rsid w:val="00887D3F"/>
    <w:rsid w:val="008938EF"/>
    <w:rsid w:val="00895AB0"/>
    <w:rsid w:val="0089739E"/>
    <w:rsid w:val="008B028A"/>
    <w:rsid w:val="008B2D8B"/>
    <w:rsid w:val="008B47DA"/>
    <w:rsid w:val="008C5B8A"/>
    <w:rsid w:val="008D0146"/>
    <w:rsid w:val="008D4044"/>
    <w:rsid w:val="00903468"/>
    <w:rsid w:val="009110DB"/>
    <w:rsid w:val="00914948"/>
    <w:rsid w:val="0092206A"/>
    <w:rsid w:val="00922D6A"/>
    <w:rsid w:val="00922D8E"/>
    <w:rsid w:val="009311CC"/>
    <w:rsid w:val="009337D8"/>
    <w:rsid w:val="00933F87"/>
    <w:rsid w:val="0093405B"/>
    <w:rsid w:val="009366BA"/>
    <w:rsid w:val="00947296"/>
    <w:rsid w:val="009507C0"/>
    <w:rsid w:val="00960911"/>
    <w:rsid w:val="009666CA"/>
    <w:rsid w:val="0097105A"/>
    <w:rsid w:val="00973338"/>
    <w:rsid w:val="00977080"/>
    <w:rsid w:val="009B0195"/>
    <w:rsid w:val="009B6ED0"/>
    <w:rsid w:val="009D1CD0"/>
    <w:rsid w:val="009D7880"/>
    <w:rsid w:val="009E3941"/>
    <w:rsid w:val="009E53C4"/>
    <w:rsid w:val="009E7527"/>
    <w:rsid w:val="00A06160"/>
    <w:rsid w:val="00A16E8B"/>
    <w:rsid w:val="00A20609"/>
    <w:rsid w:val="00A30002"/>
    <w:rsid w:val="00A31B38"/>
    <w:rsid w:val="00A32A6E"/>
    <w:rsid w:val="00A342D3"/>
    <w:rsid w:val="00A42052"/>
    <w:rsid w:val="00A454DA"/>
    <w:rsid w:val="00A514D1"/>
    <w:rsid w:val="00A550A8"/>
    <w:rsid w:val="00A603AD"/>
    <w:rsid w:val="00A62015"/>
    <w:rsid w:val="00A655B3"/>
    <w:rsid w:val="00A676F3"/>
    <w:rsid w:val="00A70189"/>
    <w:rsid w:val="00A7152A"/>
    <w:rsid w:val="00A715FB"/>
    <w:rsid w:val="00A725B8"/>
    <w:rsid w:val="00A735F9"/>
    <w:rsid w:val="00A754A7"/>
    <w:rsid w:val="00A82C6F"/>
    <w:rsid w:val="00A938C2"/>
    <w:rsid w:val="00A94C88"/>
    <w:rsid w:val="00A96ACD"/>
    <w:rsid w:val="00AA02BE"/>
    <w:rsid w:val="00AA2D41"/>
    <w:rsid w:val="00AB4B1B"/>
    <w:rsid w:val="00AB693C"/>
    <w:rsid w:val="00AC47EC"/>
    <w:rsid w:val="00AC4E56"/>
    <w:rsid w:val="00AD3277"/>
    <w:rsid w:val="00AD758C"/>
    <w:rsid w:val="00AE2820"/>
    <w:rsid w:val="00AE2885"/>
    <w:rsid w:val="00AE448B"/>
    <w:rsid w:val="00AE4B70"/>
    <w:rsid w:val="00AE684E"/>
    <w:rsid w:val="00AE68A1"/>
    <w:rsid w:val="00AF0430"/>
    <w:rsid w:val="00AF687C"/>
    <w:rsid w:val="00B00BE0"/>
    <w:rsid w:val="00B00C50"/>
    <w:rsid w:val="00B22B50"/>
    <w:rsid w:val="00B22F28"/>
    <w:rsid w:val="00B253E0"/>
    <w:rsid w:val="00B424C5"/>
    <w:rsid w:val="00B43F65"/>
    <w:rsid w:val="00B47AC0"/>
    <w:rsid w:val="00B5164C"/>
    <w:rsid w:val="00B52B13"/>
    <w:rsid w:val="00B539F4"/>
    <w:rsid w:val="00B552CB"/>
    <w:rsid w:val="00B71521"/>
    <w:rsid w:val="00B731E4"/>
    <w:rsid w:val="00B739D2"/>
    <w:rsid w:val="00B745E1"/>
    <w:rsid w:val="00B82674"/>
    <w:rsid w:val="00B85239"/>
    <w:rsid w:val="00B96299"/>
    <w:rsid w:val="00BA3129"/>
    <w:rsid w:val="00BA448B"/>
    <w:rsid w:val="00BA63AE"/>
    <w:rsid w:val="00BD438A"/>
    <w:rsid w:val="00BD620B"/>
    <w:rsid w:val="00BD77AB"/>
    <w:rsid w:val="00BF3600"/>
    <w:rsid w:val="00BF5BD8"/>
    <w:rsid w:val="00BF75E1"/>
    <w:rsid w:val="00C06056"/>
    <w:rsid w:val="00C07771"/>
    <w:rsid w:val="00C20646"/>
    <w:rsid w:val="00C366CF"/>
    <w:rsid w:val="00C50C27"/>
    <w:rsid w:val="00C70128"/>
    <w:rsid w:val="00C74839"/>
    <w:rsid w:val="00C82B7C"/>
    <w:rsid w:val="00C865CF"/>
    <w:rsid w:val="00C86E95"/>
    <w:rsid w:val="00C90C11"/>
    <w:rsid w:val="00C91D62"/>
    <w:rsid w:val="00C96BF2"/>
    <w:rsid w:val="00CA4FC5"/>
    <w:rsid w:val="00CC2D52"/>
    <w:rsid w:val="00CC7162"/>
    <w:rsid w:val="00CE00F2"/>
    <w:rsid w:val="00CF0278"/>
    <w:rsid w:val="00CF43B6"/>
    <w:rsid w:val="00D036F2"/>
    <w:rsid w:val="00D04CDF"/>
    <w:rsid w:val="00D1572B"/>
    <w:rsid w:val="00D1659E"/>
    <w:rsid w:val="00D66987"/>
    <w:rsid w:val="00D77672"/>
    <w:rsid w:val="00D91467"/>
    <w:rsid w:val="00DB23DE"/>
    <w:rsid w:val="00DB586E"/>
    <w:rsid w:val="00DC7872"/>
    <w:rsid w:val="00DD0B73"/>
    <w:rsid w:val="00DD1EB0"/>
    <w:rsid w:val="00DD3D7B"/>
    <w:rsid w:val="00DD4073"/>
    <w:rsid w:val="00DD63AD"/>
    <w:rsid w:val="00DF0E9F"/>
    <w:rsid w:val="00DF634D"/>
    <w:rsid w:val="00DF63DA"/>
    <w:rsid w:val="00E12FB6"/>
    <w:rsid w:val="00E21881"/>
    <w:rsid w:val="00E4071D"/>
    <w:rsid w:val="00E45A55"/>
    <w:rsid w:val="00E477E8"/>
    <w:rsid w:val="00E73CFB"/>
    <w:rsid w:val="00E741AD"/>
    <w:rsid w:val="00E815DD"/>
    <w:rsid w:val="00E85BB4"/>
    <w:rsid w:val="00E946CB"/>
    <w:rsid w:val="00E9615A"/>
    <w:rsid w:val="00E96284"/>
    <w:rsid w:val="00EA4E25"/>
    <w:rsid w:val="00EC2E2D"/>
    <w:rsid w:val="00EC3724"/>
    <w:rsid w:val="00ED0646"/>
    <w:rsid w:val="00ED2491"/>
    <w:rsid w:val="00ED2F44"/>
    <w:rsid w:val="00EE350B"/>
    <w:rsid w:val="00EE6409"/>
    <w:rsid w:val="00EE78F3"/>
    <w:rsid w:val="00EF664B"/>
    <w:rsid w:val="00EF79D9"/>
    <w:rsid w:val="00F02ADB"/>
    <w:rsid w:val="00F062FC"/>
    <w:rsid w:val="00F10D4D"/>
    <w:rsid w:val="00F153F5"/>
    <w:rsid w:val="00F15B0F"/>
    <w:rsid w:val="00F26D17"/>
    <w:rsid w:val="00F345B5"/>
    <w:rsid w:val="00F374B9"/>
    <w:rsid w:val="00F40230"/>
    <w:rsid w:val="00F41768"/>
    <w:rsid w:val="00F43599"/>
    <w:rsid w:val="00F653AC"/>
    <w:rsid w:val="00F656C1"/>
    <w:rsid w:val="00F729F0"/>
    <w:rsid w:val="00F73A7E"/>
    <w:rsid w:val="00F8079A"/>
    <w:rsid w:val="00F8142F"/>
    <w:rsid w:val="00F84F29"/>
    <w:rsid w:val="00F9133A"/>
    <w:rsid w:val="00F97B7E"/>
    <w:rsid w:val="00FA0E5D"/>
    <w:rsid w:val="00FA36D2"/>
    <w:rsid w:val="00FB2151"/>
    <w:rsid w:val="00FC030B"/>
    <w:rsid w:val="00FC289A"/>
    <w:rsid w:val="00FC4617"/>
    <w:rsid w:val="00FC56AE"/>
    <w:rsid w:val="00FC5C92"/>
    <w:rsid w:val="00FD088A"/>
    <w:rsid w:val="00FD2848"/>
    <w:rsid w:val="00FD5008"/>
    <w:rsid w:val="00FE4223"/>
    <w:rsid w:val="00FE55F8"/>
    <w:rsid w:val="00FF00C8"/>
    <w:rsid w:val="00FF1C1C"/>
    <w:rsid w:val="00FF4665"/>
    <w:rsid w:val="00FF5339"/>
    <w:rsid w:val="0137100F"/>
    <w:rsid w:val="014C7D02"/>
    <w:rsid w:val="015E3FCD"/>
    <w:rsid w:val="018819D6"/>
    <w:rsid w:val="01A22C15"/>
    <w:rsid w:val="01B719C1"/>
    <w:rsid w:val="01D84888"/>
    <w:rsid w:val="01E17F47"/>
    <w:rsid w:val="01EC5634"/>
    <w:rsid w:val="02292183"/>
    <w:rsid w:val="023400E0"/>
    <w:rsid w:val="0238071B"/>
    <w:rsid w:val="03101E00"/>
    <w:rsid w:val="03203D04"/>
    <w:rsid w:val="03334360"/>
    <w:rsid w:val="037F2353"/>
    <w:rsid w:val="03DB8323"/>
    <w:rsid w:val="0466662A"/>
    <w:rsid w:val="04711496"/>
    <w:rsid w:val="049C7D85"/>
    <w:rsid w:val="04A3225A"/>
    <w:rsid w:val="04DE42B4"/>
    <w:rsid w:val="05107E95"/>
    <w:rsid w:val="051E0804"/>
    <w:rsid w:val="056A31BE"/>
    <w:rsid w:val="0571302A"/>
    <w:rsid w:val="05A131E3"/>
    <w:rsid w:val="05FE23E4"/>
    <w:rsid w:val="062C135E"/>
    <w:rsid w:val="062F40D2"/>
    <w:rsid w:val="06430620"/>
    <w:rsid w:val="068058FC"/>
    <w:rsid w:val="06A50AB1"/>
    <w:rsid w:val="06DA4390"/>
    <w:rsid w:val="06E86A46"/>
    <w:rsid w:val="071C3A95"/>
    <w:rsid w:val="07355F36"/>
    <w:rsid w:val="07847E52"/>
    <w:rsid w:val="07B62F76"/>
    <w:rsid w:val="07CD206E"/>
    <w:rsid w:val="07E31633"/>
    <w:rsid w:val="07F7533D"/>
    <w:rsid w:val="08061578"/>
    <w:rsid w:val="0865499C"/>
    <w:rsid w:val="088F705D"/>
    <w:rsid w:val="08920C2C"/>
    <w:rsid w:val="08BB322B"/>
    <w:rsid w:val="08BB636A"/>
    <w:rsid w:val="08D77648"/>
    <w:rsid w:val="08F9159B"/>
    <w:rsid w:val="091A0935"/>
    <w:rsid w:val="0993328E"/>
    <w:rsid w:val="09F2225F"/>
    <w:rsid w:val="0A0C24FF"/>
    <w:rsid w:val="0A7D3302"/>
    <w:rsid w:val="0A892BC4"/>
    <w:rsid w:val="0AA73DDE"/>
    <w:rsid w:val="0B3B3792"/>
    <w:rsid w:val="0BC419DA"/>
    <w:rsid w:val="0C191D25"/>
    <w:rsid w:val="0C3C3C66"/>
    <w:rsid w:val="0C4131DA"/>
    <w:rsid w:val="0C601944"/>
    <w:rsid w:val="0C71390F"/>
    <w:rsid w:val="0C8523A4"/>
    <w:rsid w:val="0C8E4E35"/>
    <w:rsid w:val="0D5E3149"/>
    <w:rsid w:val="0D7C7E01"/>
    <w:rsid w:val="0DAB2E51"/>
    <w:rsid w:val="0DB461AA"/>
    <w:rsid w:val="0DDD170D"/>
    <w:rsid w:val="0DFE5677"/>
    <w:rsid w:val="0E5A406F"/>
    <w:rsid w:val="0E8A2A67"/>
    <w:rsid w:val="0E9369CB"/>
    <w:rsid w:val="0ECF2A81"/>
    <w:rsid w:val="0EDB7766"/>
    <w:rsid w:val="0FD7746D"/>
    <w:rsid w:val="0FFA3C1C"/>
    <w:rsid w:val="102B77F2"/>
    <w:rsid w:val="103B3CE8"/>
    <w:rsid w:val="1053332C"/>
    <w:rsid w:val="105B2523"/>
    <w:rsid w:val="105F6350"/>
    <w:rsid w:val="10A5627E"/>
    <w:rsid w:val="10E26A11"/>
    <w:rsid w:val="10F66AD9"/>
    <w:rsid w:val="11A7392F"/>
    <w:rsid w:val="11E84674"/>
    <w:rsid w:val="12040D82"/>
    <w:rsid w:val="1204748E"/>
    <w:rsid w:val="121403C8"/>
    <w:rsid w:val="12246BA6"/>
    <w:rsid w:val="12380A2C"/>
    <w:rsid w:val="124300DA"/>
    <w:rsid w:val="127F0CDB"/>
    <w:rsid w:val="12A13C64"/>
    <w:rsid w:val="12AA5306"/>
    <w:rsid w:val="12B44556"/>
    <w:rsid w:val="12B97DBE"/>
    <w:rsid w:val="12C61444"/>
    <w:rsid w:val="12EF1A32"/>
    <w:rsid w:val="13265C10"/>
    <w:rsid w:val="1356385F"/>
    <w:rsid w:val="13BC5DB8"/>
    <w:rsid w:val="13C702B9"/>
    <w:rsid w:val="13E400AA"/>
    <w:rsid w:val="13FD0131"/>
    <w:rsid w:val="14905962"/>
    <w:rsid w:val="14975EDD"/>
    <w:rsid w:val="14AA74CE"/>
    <w:rsid w:val="14C173FE"/>
    <w:rsid w:val="14C842E9"/>
    <w:rsid w:val="1521478B"/>
    <w:rsid w:val="15651197"/>
    <w:rsid w:val="15A24B3A"/>
    <w:rsid w:val="15A83FF3"/>
    <w:rsid w:val="15BB209F"/>
    <w:rsid w:val="15E038B4"/>
    <w:rsid w:val="15E92769"/>
    <w:rsid w:val="164C2CF7"/>
    <w:rsid w:val="165B1BBF"/>
    <w:rsid w:val="168129A1"/>
    <w:rsid w:val="16A2220E"/>
    <w:rsid w:val="16C3745D"/>
    <w:rsid w:val="16CF7BB0"/>
    <w:rsid w:val="16F26989"/>
    <w:rsid w:val="172D71BD"/>
    <w:rsid w:val="17307046"/>
    <w:rsid w:val="173D6B6A"/>
    <w:rsid w:val="175B79D0"/>
    <w:rsid w:val="1776A9DA"/>
    <w:rsid w:val="17E110F5"/>
    <w:rsid w:val="180B23B7"/>
    <w:rsid w:val="182E458A"/>
    <w:rsid w:val="185B733F"/>
    <w:rsid w:val="187D0007"/>
    <w:rsid w:val="188E5849"/>
    <w:rsid w:val="18D71994"/>
    <w:rsid w:val="19053D5D"/>
    <w:rsid w:val="19634E16"/>
    <w:rsid w:val="197113F3"/>
    <w:rsid w:val="19777A51"/>
    <w:rsid w:val="197C1B46"/>
    <w:rsid w:val="199450E1"/>
    <w:rsid w:val="19BA24E8"/>
    <w:rsid w:val="19CE1C78"/>
    <w:rsid w:val="19FF69FF"/>
    <w:rsid w:val="1A3A2D21"/>
    <w:rsid w:val="1A8C7A12"/>
    <w:rsid w:val="1A8E38DF"/>
    <w:rsid w:val="1AA66E7A"/>
    <w:rsid w:val="1ABD1DF6"/>
    <w:rsid w:val="1AD825AD"/>
    <w:rsid w:val="1B2F47DF"/>
    <w:rsid w:val="1B3A7C71"/>
    <w:rsid w:val="1BBB0703"/>
    <w:rsid w:val="1BEC78EF"/>
    <w:rsid w:val="1BFE795C"/>
    <w:rsid w:val="1C2619BF"/>
    <w:rsid w:val="1C744D56"/>
    <w:rsid w:val="1CBF7331"/>
    <w:rsid w:val="1CC45B16"/>
    <w:rsid w:val="1D2D78B9"/>
    <w:rsid w:val="1D366B78"/>
    <w:rsid w:val="1D3D0478"/>
    <w:rsid w:val="1D4E6BA1"/>
    <w:rsid w:val="1D8D60CF"/>
    <w:rsid w:val="1D990F18"/>
    <w:rsid w:val="1DBA49EB"/>
    <w:rsid w:val="1DBE44DB"/>
    <w:rsid w:val="1DC11182"/>
    <w:rsid w:val="1DDF4451"/>
    <w:rsid w:val="1DFD6804"/>
    <w:rsid w:val="1E0C16EA"/>
    <w:rsid w:val="1E3A5B91"/>
    <w:rsid w:val="1E987DF9"/>
    <w:rsid w:val="1EC42C8E"/>
    <w:rsid w:val="1ED0267C"/>
    <w:rsid w:val="1F2F1210"/>
    <w:rsid w:val="1FC05159"/>
    <w:rsid w:val="201D68E7"/>
    <w:rsid w:val="20205E09"/>
    <w:rsid w:val="20514DF6"/>
    <w:rsid w:val="20783067"/>
    <w:rsid w:val="20BC0284"/>
    <w:rsid w:val="20C77B4A"/>
    <w:rsid w:val="20E83DA2"/>
    <w:rsid w:val="212A4658"/>
    <w:rsid w:val="2136082C"/>
    <w:rsid w:val="21486EDD"/>
    <w:rsid w:val="21501CCA"/>
    <w:rsid w:val="21E72028"/>
    <w:rsid w:val="21E81F4C"/>
    <w:rsid w:val="21EB34F7"/>
    <w:rsid w:val="21F461B1"/>
    <w:rsid w:val="22004A9F"/>
    <w:rsid w:val="22032E04"/>
    <w:rsid w:val="2203731F"/>
    <w:rsid w:val="223B1F40"/>
    <w:rsid w:val="226C6BFB"/>
    <w:rsid w:val="229C0B63"/>
    <w:rsid w:val="22A15106"/>
    <w:rsid w:val="22B10AB2"/>
    <w:rsid w:val="23021720"/>
    <w:rsid w:val="233139A1"/>
    <w:rsid w:val="23C2284B"/>
    <w:rsid w:val="23CD77AA"/>
    <w:rsid w:val="23DC56BB"/>
    <w:rsid w:val="24066BDB"/>
    <w:rsid w:val="246F3E35"/>
    <w:rsid w:val="24AB32DF"/>
    <w:rsid w:val="24DE17DF"/>
    <w:rsid w:val="25327E7B"/>
    <w:rsid w:val="254A0C35"/>
    <w:rsid w:val="25535E50"/>
    <w:rsid w:val="2584600A"/>
    <w:rsid w:val="25B7DC88"/>
    <w:rsid w:val="25CB59E7"/>
    <w:rsid w:val="25CE197B"/>
    <w:rsid w:val="25F701F1"/>
    <w:rsid w:val="25F7554B"/>
    <w:rsid w:val="260B082D"/>
    <w:rsid w:val="261049DD"/>
    <w:rsid w:val="26A80CBB"/>
    <w:rsid w:val="26B8706F"/>
    <w:rsid w:val="26D1527F"/>
    <w:rsid w:val="26DC7928"/>
    <w:rsid w:val="26EC20B9"/>
    <w:rsid w:val="26F45411"/>
    <w:rsid w:val="270C46DA"/>
    <w:rsid w:val="27280C17"/>
    <w:rsid w:val="272F71A1"/>
    <w:rsid w:val="27315D1D"/>
    <w:rsid w:val="27341B83"/>
    <w:rsid w:val="2735367F"/>
    <w:rsid w:val="2786250D"/>
    <w:rsid w:val="27C941A8"/>
    <w:rsid w:val="27EB411E"/>
    <w:rsid w:val="28B409B4"/>
    <w:rsid w:val="29A547A1"/>
    <w:rsid w:val="29EF5C0E"/>
    <w:rsid w:val="2A211288"/>
    <w:rsid w:val="2A596F1F"/>
    <w:rsid w:val="2AB03664"/>
    <w:rsid w:val="2AC84BEB"/>
    <w:rsid w:val="2AE073B4"/>
    <w:rsid w:val="2AE17A5A"/>
    <w:rsid w:val="2B204EE6"/>
    <w:rsid w:val="2B5946B5"/>
    <w:rsid w:val="2B64877E"/>
    <w:rsid w:val="2BB635EA"/>
    <w:rsid w:val="2BCE4483"/>
    <w:rsid w:val="2BF4508D"/>
    <w:rsid w:val="2BFB4B4C"/>
    <w:rsid w:val="2C271DE5"/>
    <w:rsid w:val="2C3213DC"/>
    <w:rsid w:val="2C5C383D"/>
    <w:rsid w:val="2C5D1363"/>
    <w:rsid w:val="2C5F1C34"/>
    <w:rsid w:val="2CC0787B"/>
    <w:rsid w:val="2D483DC1"/>
    <w:rsid w:val="2D534A97"/>
    <w:rsid w:val="2D74734A"/>
    <w:rsid w:val="2D9E1C33"/>
    <w:rsid w:val="2DC86CB0"/>
    <w:rsid w:val="2DCF003E"/>
    <w:rsid w:val="2E6F7F4F"/>
    <w:rsid w:val="2E8E614B"/>
    <w:rsid w:val="2F162BDB"/>
    <w:rsid w:val="2F586129"/>
    <w:rsid w:val="2F5C3B54"/>
    <w:rsid w:val="2F5DA269"/>
    <w:rsid w:val="2F72060F"/>
    <w:rsid w:val="2F8D29E4"/>
    <w:rsid w:val="2FB5D87F"/>
    <w:rsid w:val="2FCF7E4C"/>
    <w:rsid w:val="2FDE1B48"/>
    <w:rsid w:val="2FDE56E2"/>
    <w:rsid w:val="2FE41ABA"/>
    <w:rsid w:val="2FEC137B"/>
    <w:rsid w:val="2FF8151B"/>
    <w:rsid w:val="2FFFAED2"/>
    <w:rsid w:val="300C7328"/>
    <w:rsid w:val="30241C05"/>
    <w:rsid w:val="302A3C52"/>
    <w:rsid w:val="30367AD3"/>
    <w:rsid w:val="30377647"/>
    <w:rsid w:val="3049232A"/>
    <w:rsid w:val="30532960"/>
    <w:rsid w:val="3083328A"/>
    <w:rsid w:val="308517CE"/>
    <w:rsid w:val="30D20571"/>
    <w:rsid w:val="30F73A4A"/>
    <w:rsid w:val="318F6462"/>
    <w:rsid w:val="31EF64E3"/>
    <w:rsid w:val="322F72FD"/>
    <w:rsid w:val="3251764B"/>
    <w:rsid w:val="3278647E"/>
    <w:rsid w:val="32A54152"/>
    <w:rsid w:val="32B47A94"/>
    <w:rsid w:val="32DA49BA"/>
    <w:rsid w:val="32DF6F75"/>
    <w:rsid w:val="33957634"/>
    <w:rsid w:val="33AC5726"/>
    <w:rsid w:val="33B65F28"/>
    <w:rsid w:val="33C361B3"/>
    <w:rsid w:val="33F97BC3"/>
    <w:rsid w:val="33FFBC7B"/>
    <w:rsid w:val="3433268A"/>
    <w:rsid w:val="347B4A7C"/>
    <w:rsid w:val="34983291"/>
    <w:rsid w:val="34A71D15"/>
    <w:rsid w:val="34B7257C"/>
    <w:rsid w:val="34C53F49"/>
    <w:rsid w:val="354258EB"/>
    <w:rsid w:val="354C437A"/>
    <w:rsid w:val="355A6D87"/>
    <w:rsid w:val="35906305"/>
    <w:rsid w:val="35CB3858"/>
    <w:rsid w:val="35D57AC7"/>
    <w:rsid w:val="35FA5E74"/>
    <w:rsid w:val="35FF5C55"/>
    <w:rsid w:val="363E7508"/>
    <w:rsid w:val="36C90395"/>
    <w:rsid w:val="36D546CB"/>
    <w:rsid w:val="370C641A"/>
    <w:rsid w:val="371414E7"/>
    <w:rsid w:val="371E516A"/>
    <w:rsid w:val="374A4436"/>
    <w:rsid w:val="375A12C0"/>
    <w:rsid w:val="377A0F90"/>
    <w:rsid w:val="37B751CE"/>
    <w:rsid w:val="37FAC724"/>
    <w:rsid w:val="380D2DA6"/>
    <w:rsid w:val="38100322"/>
    <w:rsid w:val="3810372D"/>
    <w:rsid w:val="386B5CB5"/>
    <w:rsid w:val="38A959CA"/>
    <w:rsid w:val="38AF2F46"/>
    <w:rsid w:val="38D34C95"/>
    <w:rsid w:val="39036568"/>
    <w:rsid w:val="3998DA58"/>
    <w:rsid w:val="39A0209A"/>
    <w:rsid w:val="39A20CFD"/>
    <w:rsid w:val="39D30247"/>
    <w:rsid w:val="39DC4817"/>
    <w:rsid w:val="39F5707E"/>
    <w:rsid w:val="3A636C6D"/>
    <w:rsid w:val="3A877A14"/>
    <w:rsid w:val="3AC147A5"/>
    <w:rsid w:val="3ACC5B45"/>
    <w:rsid w:val="3ADE350C"/>
    <w:rsid w:val="3AEBE34C"/>
    <w:rsid w:val="3AFB2398"/>
    <w:rsid w:val="3B26611E"/>
    <w:rsid w:val="3B39238D"/>
    <w:rsid w:val="3B39673A"/>
    <w:rsid w:val="3B844B5E"/>
    <w:rsid w:val="3BB23479"/>
    <w:rsid w:val="3BDC3680"/>
    <w:rsid w:val="3BE565F9"/>
    <w:rsid w:val="3BFAA402"/>
    <w:rsid w:val="3BFF1433"/>
    <w:rsid w:val="3C4B567C"/>
    <w:rsid w:val="3C80719C"/>
    <w:rsid w:val="3CB925E5"/>
    <w:rsid w:val="3D0D2931"/>
    <w:rsid w:val="3D7B4A7E"/>
    <w:rsid w:val="3DA70690"/>
    <w:rsid w:val="3DBF3B69"/>
    <w:rsid w:val="3DC934EC"/>
    <w:rsid w:val="3DF2CAF6"/>
    <w:rsid w:val="3E0151A6"/>
    <w:rsid w:val="3E5E232B"/>
    <w:rsid w:val="3E6B64C5"/>
    <w:rsid w:val="3E983076"/>
    <w:rsid w:val="3E99447C"/>
    <w:rsid w:val="3EAA6689"/>
    <w:rsid w:val="3EAE7CDF"/>
    <w:rsid w:val="3EBE3EE3"/>
    <w:rsid w:val="3EC03F1A"/>
    <w:rsid w:val="3EC7548D"/>
    <w:rsid w:val="3ECE3622"/>
    <w:rsid w:val="3EDD3531"/>
    <w:rsid w:val="3EDFA57F"/>
    <w:rsid w:val="3EEF6792"/>
    <w:rsid w:val="3F00274D"/>
    <w:rsid w:val="3F060B3B"/>
    <w:rsid w:val="3F3A682C"/>
    <w:rsid w:val="3F9410E8"/>
    <w:rsid w:val="3F9B06C8"/>
    <w:rsid w:val="3FAA5C4C"/>
    <w:rsid w:val="3FCA3682"/>
    <w:rsid w:val="404448BC"/>
    <w:rsid w:val="40DE01D3"/>
    <w:rsid w:val="40F95A57"/>
    <w:rsid w:val="41137AF8"/>
    <w:rsid w:val="415C3EC7"/>
    <w:rsid w:val="419E166F"/>
    <w:rsid w:val="41A60BDA"/>
    <w:rsid w:val="423C2DC8"/>
    <w:rsid w:val="429835A8"/>
    <w:rsid w:val="42B850ED"/>
    <w:rsid w:val="42F61718"/>
    <w:rsid w:val="43041C63"/>
    <w:rsid w:val="43144A19"/>
    <w:rsid w:val="43527174"/>
    <w:rsid w:val="43594D67"/>
    <w:rsid w:val="439225A1"/>
    <w:rsid w:val="43F81C45"/>
    <w:rsid w:val="44086C26"/>
    <w:rsid w:val="445F5507"/>
    <w:rsid w:val="44B7130B"/>
    <w:rsid w:val="45370C0B"/>
    <w:rsid w:val="453E7B2C"/>
    <w:rsid w:val="456D07FC"/>
    <w:rsid w:val="45771070"/>
    <w:rsid w:val="45A6371F"/>
    <w:rsid w:val="45B50F94"/>
    <w:rsid w:val="45E73D2F"/>
    <w:rsid w:val="462D2228"/>
    <w:rsid w:val="4645015F"/>
    <w:rsid w:val="466C691A"/>
    <w:rsid w:val="46A510C0"/>
    <w:rsid w:val="46AB6012"/>
    <w:rsid w:val="46AE6F33"/>
    <w:rsid w:val="46CC08BC"/>
    <w:rsid w:val="46F11B84"/>
    <w:rsid w:val="470B4500"/>
    <w:rsid w:val="473C23F6"/>
    <w:rsid w:val="47586A27"/>
    <w:rsid w:val="475C6087"/>
    <w:rsid w:val="47633879"/>
    <w:rsid w:val="47714DCA"/>
    <w:rsid w:val="47723ABC"/>
    <w:rsid w:val="477F15A5"/>
    <w:rsid w:val="47A9027D"/>
    <w:rsid w:val="47E30E5E"/>
    <w:rsid w:val="48233009"/>
    <w:rsid w:val="48427933"/>
    <w:rsid w:val="48480CC1"/>
    <w:rsid w:val="48C60564"/>
    <w:rsid w:val="48E629B4"/>
    <w:rsid w:val="495908A3"/>
    <w:rsid w:val="49BB739A"/>
    <w:rsid w:val="49CC62E5"/>
    <w:rsid w:val="49DF32C8"/>
    <w:rsid w:val="49EB5DA8"/>
    <w:rsid w:val="4A153806"/>
    <w:rsid w:val="4A3969E3"/>
    <w:rsid w:val="4A5F4264"/>
    <w:rsid w:val="4A8A7B79"/>
    <w:rsid w:val="4ACA3C0F"/>
    <w:rsid w:val="4B5736F5"/>
    <w:rsid w:val="4BF6A165"/>
    <w:rsid w:val="4C52088F"/>
    <w:rsid w:val="4C675B26"/>
    <w:rsid w:val="4C6D641F"/>
    <w:rsid w:val="4C9D6C8C"/>
    <w:rsid w:val="4CCC7D26"/>
    <w:rsid w:val="4CD4146C"/>
    <w:rsid w:val="4D242C7E"/>
    <w:rsid w:val="4D422D02"/>
    <w:rsid w:val="4D6E63E7"/>
    <w:rsid w:val="4DBF518F"/>
    <w:rsid w:val="4DD323C3"/>
    <w:rsid w:val="4DDA5214"/>
    <w:rsid w:val="4E296EFC"/>
    <w:rsid w:val="4E3F66C2"/>
    <w:rsid w:val="4E9BC6A8"/>
    <w:rsid w:val="4F253B0A"/>
    <w:rsid w:val="4F49374E"/>
    <w:rsid w:val="4FAB04B3"/>
    <w:rsid w:val="4FBF56F6"/>
    <w:rsid w:val="4FDDA91A"/>
    <w:rsid w:val="4FDFE04B"/>
    <w:rsid w:val="4FE80591"/>
    <w:rsid w:val="4FF437B3"/>
    <w:rsid w:val="50A606DB"/>
    <w:rsid w:val="50A849F3"/>
    <w:rsid w:val="50BF0A14"/>
    <w:rsid w:val="51340035"/>
    <w:rsid w:val="5147093D"/>
    <w:rsid w:val="51AE7DE7"/>
    <w:rsid w:val="51FA152D"/>
    <w:rsid w:val="521A1920"/>
    <w:rsid w:val="523429E2"/>
    <w:rsid w:val="525B3D6B"/>
    <w:rsid w:val="52966AAF"/>
    <w:rsid w:val="529B634B"/>
    <w:rsid w:val="52F60B66"/>
    <w:rsid w:val="52F87468"/>
    <w:rsid w:val="53134291"/>
    <w:rsid w:val="532837EA"/>
    <w:rsid w:val="534E7AD3"/>
    <w:rsid w:val="53AD5429"/>
    <w:rsid w:val="53B05AAA"/>
    <w:rsid w:val="53E72565"/>
    <w:rsid w:val="540939FA"/>
    <w:rsid w:val="5431419E"/>
    <w:rsid w:val="545817DC"/>
    <w:rsid w:val="545A0816"/>
    <w:rsid w:val="546817E7"/>
    <w:rsid w:val="54AF6350"/>
    <w:rsid w:val="553625CD"/>
    <w:rsid w:val="55474108"/>
    <w:rsid w:val="55E6225F"/>
    <w:rsid w:val="55F2431B"/>
    <w:rsid w:val="560F1DBC"/>
    <w:rsid w:val="563E6B11"/>
    <w:rsid w:val="564C7BCE"/>
    <w:rsid w:val="567F0A9E"/>
    <w:rsid w:val="569F194D"/>
    <w:rsid w:val="56DA600B"/>
    <w:rsid w:val="57106E4E"/>
    <w:rsid w:val="57370AF0"/>
    <w:rsid w:val="575B27BF"/>
    <w:rsid w:val="5774562F"/>
    <w:rsid w:val="577D0EB9"/>
    <w:rsid w:val="583D584D"/>
    <w:rsid w:val="58461F2B"/>
    <w:rsid w:val="58604235"/>
    <w:rsid w:val="58884CF9"/>
    <w:rsid w:val="593006A1"/>
    <w:rsid w:val="59A67706"/>
    <w:rsid w:val="59FE5684"/>
    <w:rsid w:val="5A340743"/>
    <w:rsid w:val="5A4B6B1B"/>
    <w:rsid w:val="5A6E45B7"/>
    <w:rsid w:val="5AAD1584"/>
    <w:rsid w:val="5AF9AE73"/>
    <w:rsid w:val="5B0E07E4"/>
    <w:rsid w:val="5B2C4DF8"/>
    <w:rsid w:val="5B2F47C5"/>
    <w:rsid w:val="5B57304C"/>
    <w:rsid w:val="5BAB1071"/>
    <w:rsid w:val="5BBE71A1"/>
    <w:rsid w:val="5BCB1B66"/>
    <w:rsid w:val="5BE53368"/>
    <w:rsid w:val="5BED775E"/>
    <w:rsid w:val="5BF22FC6"/>
    <w:rsid w:val="5BF70040"/>
    <w:rsid w:val="5C0C22DA"/>
    <w:rsid w:val="5CFD4ABB"/>
    <w:rsid w:val="5D043296"/>
    <w:rsid w:val="5D480901"/>
    <w:rsid w:val="5D5F28DD"/>
    <w:rsid w:val="5D652E9E"/>
    <w:rsid w:val="5D9029A0"/>
    <w:rsid w:val="5DA86032"/>
    <w:rsid w:val="5DBD7190"/>
    <w:rsid w:val="5DD76917"/>
    <w:rsid w:val="5DE0757A"/>
    <w:rsid w:val="5E284F00"/>
    <w:rsid w:val="5EFF0233"/>
    <w:rsid w:val="5F197641"/>
    <w:rsid w:val="5F6B5569"/>
    <w:rsid w:val="5F7F7785"/>
    <w:rsid w:val="5FDF77D2"/>
    <w:rsid w:val="5FE3CFEC"/>
    <w:rsid w:val="5FF27A39"/>
    <w:rsid w:val="5FFDC805"/>
    <w:rsid w:val="5FFFF057"/>
    <w:rsid w:val="60916735"/>
    <w:rsid w:val="61020C5B"/>
    <w:rsid w:val="618D79D2"/>
    <w:rsid w:val="61B714EC"/>
    <w:rsid w:val="621E2D67"/>
    <w:rsid w:val="622A5268"/>
    <w:rsid w:val="62942AEC"/>
    <w:rsid w:val="62C028E5"/>
    <w:rsid w:val="62CF7BBD"/>
    <w:rsid w:val="62D022B3"/>
    <w:rsid w:val="62EA2C49"/>
    <w:rsid w:val="62EE2739"/>
    <w:rsid w:val="62EFFC31"/>
    <w:rsid w:val="630E2DDB"/>
    <w:rsid w:val="633A3BD0"/>
    <w:rsid w:val="635C0B44"/>
    <w:rsid w:val="637F5BAA"/>
    <w:rsid w:val="63D20880"/>
    <w:rsid w:val="63EC3C2E"/>
    <w:rsid w:val="642D103F"/>
    <w:rsid w:val="642E6B65"/>
    <w:rsid w:val="64890FBD"/>
    <w:rsid w:val="64C01EB3"/>
    <w:rsid w:val="64D24D2C"/>
    <w:rsid w:val="64E72686"/>
    <w:rsid w:val="64F10331"/>
    <w:rsid w:val="65043F50"/>
    <w:rsid w:val="65366619"/>
    <w:rsid w:val="656867D5"/>
    <w:rsid w:val="65DD0843"/>
    <w:rsid w:val="66035D8B"/>
    <w:rsid w:val="660F28D6"/>
    <w:rsid w:val="661E50E3"/>
    <w:rsid w:val="663C7970"/>
    <w:rsid w:val="667512CC"/>
    <w:rsid w:val="66754243"/>
    <w:rsid w:val="667A42E4"/>
    <w:rsid w:val="667B2536"/>
    <w:rsid w:val="667F1084"/>
    <w:rsid w:val="66823379"/>
    <w:rsid w:val="669BFA8B"/>
    <w:rsid w:val="66AB0E41"/>
    <w:rsid w:val="66B92094"/>
    <w:rsid w:val="674C4CC8"/>
    <w:rsid w:val="677E5C29"/>
    <w:rsid w:val="67A930D3"/>
    <w:rsid w:val="67B43FC4"/>
    <w:rsid w:val="67E2525D"/>
    <w:rsid w:val="68345A07"/>
    <w:rsid w:val="68464DC5"/>
    <w:rsid w:val="68490412"/>
    <w:rsid w:val="684D33E0"/>
    <w:rsid w:val="685D3A1F"/>
    <w:rsid w:val="6895244A"/>
    <w:rsid w:val="68D66492"/>
    <w:rsid w:val="69034A64"/>
    <w:rsid w:val="696574CD"/>
    <w:rsid w:val="69BD72AD"/>
    <w:rsid w:val="69C57C3F"/>
    <w:rsid w:val="69FB573C"/>
    <w:rsid w:val="6A006484"/>
    <w:rsid w:val="6A0415E0"/>
    <w:rsid w:val="6A314ED2"/>
    <w:rsid w:val="6A326FBA"/>
    <w:rsid w:val="6A33337F"/>
    <w:rsid w:val="6A356383"/>
    <w:rsid w:val="6B005FFB"/>
    <w:rsid w:val="6B034E12"/>
    <w:rsid w:val="6B33416E"/>
    <w:rsid w:val="6B5FC8B3"/>
    <w:rsid w:val="6BBA6190"/>
    <w:rsid w:val="6BD27D20"/>
    <w:rsid w:val="6C7F4402"/>
    <w:rsid w:val="6CBB280F"/>
    <w:rsid w:val="6CD235F4"/>
    <w:rsid w:val="6CD72490"/>
    <w:rsid w:val="6CE10C19"/>
    <w:rsid w:val="6D5533B5"/>
    <w:rsid w:val="6D6F091A"/>
    <w:rsid w:val="6D9A496A"/>
    <w:rsid w:val="6DAB3D3A"/>
    <w:rsid w:val="6DC12F3C"/>
    <w:rsid w:val="6DD469CF"/>
    <w:rsid w:val="6DF2527D"/>
    <w:rsid w:val="6E9B3274"/>
    <w:rsid w:val="6EAC38E7"/>
    <w:rsid w:val="6EB7146D"/>
    <w:rsid w:val="6EFB8DB3"/>
    <w:rsid w:val="6FAC3760"/>
    <w:rsid w:val="6FC2991D"/>
    <w:rsid w:val="704240C4"/>
    <w:rsid w:val="706C330B"/>
    <w:rsid w:val="708C17E3"/>
    <w:rsid w:val="709137F7"/>
    <w:rsid w:val="71196861"/>
    <w:rsid w:val="711E068D"/>
    <w:rsid w:val="71367DFF"/>
    <w:rsid w:val="713F4437"/>
    <w:rsid w:val="71687B5B"/>
    <w:rsid w:val="71A37250"/>
    <w:rsid w:val="71C90EDB"/>
    <w:rsid w:val="720B6055"/>
    <w:rsid w:val="721D6B97"/>
    <w:rsid w:val="72273572"/>
    <w:rsid w:val="726C367A"/>
    <w:rsid w:val="727B5D4F"/>
    <w:rsid w:val="72FBE2D4"/>
    <w:rsid w:val="732E3ADC"/>
    <w:rsid w:val="733A5FB3"/>
    <w:rsid w:val="740C133F"/>
    <w:rsid w:val="740D2C3B"/>
    <w:rsid w:val="741B5358"/>
    <w:rsid w:val="745A1D70"/>
    <w:rsid w:val="74950961"/>
    <w:rsid w:val="74A43DE6"/>
    <w:rsid w:val="75016C0B"/>
    <w:rsid w:val="75232716"/>
    <w:rsid w:val="7532346F"/>
    <w:rsid w:val="75607618"/>
    <w:rsid w:val="75607792"/>
    <w:rsid w:val="75F6CD33"/>
    <w:rsid w:val="75FA6084"/>
    <w:rsid w:val="75FA6142"/>
    <w:rsid w:val="75FF698D"/>
    <w:rsid w:val="760C31AA"/>
    <w:rsid w:val="762D1373"/>
    <w:rsid w:val="76326989"/>
    <w:rsid w:val="76481D09"/>
    <w:rsid w:val="76797181"/>
    <w:rsid w:val="767F7285"/>
    <w:rsid w:val="76AE4262"/>
    <w:rsid w:val="76B4114C"/>
    <w:rsid w:val="76EDDEC5"/>
    <w:rsid w:val="774145B5"/>
    <w:rsid w:val="775F7CA1"/>
    <w:rsid w:val="777F131D"/>
    <w:rsid w:val="778F66FD"/>
    <w:rsid w:val="77C47A90"/>
    <w:rsid w:val="77DFA7FC"/>
    <w:rsid w:val="77EFC41E"/>
    <w:rsid w:val="77F94638"/>
    <w:rsid w:val="77FD8F75"/>
    <w:rsid w:val="78000AED"/>
    <w:rsid w:val="780168DB"/>
    <w:rsid w:val="78547024"/>
    <w:rsid w:val="78A44383"/>
    <w:rsid w:val="78CF25BF"/>
    <w:rsid w:val="79A47B9E"/>
    <w:rsid w:val="79EF201E"/>
    <w:rsid w:val="7A13262E"/>
    <w:rsid w:val="7A42667F"/>
    <w:rsid w:val="7ABD2516"/>
    <w:rsid w:val="7AC369F2"/>
    <w:rsid w:val="7AE759B1"/>
    <w:rsid w:val="7AEF4E49"/>
    <w:rsid w:val="7AF677AB"/>
    <w:rsid w:val="7AF91823"/>
    <w:rsid w:val="7B006FB1"/>
    <w:rsid w:val="7B1A34D5"/>
    <w:rsid w:val="7B203254"/>
    <w:rsid w:val="7B2B4A66"/>
    <w:rsid w:val="7B4736F7"/>
    <w:rsid w:val="7B551928"/>
    <w:rsid w:val="7B6C46EB"/>
    <w:rsid w:val="7B7C39E7"/>
    <w:rsid w:val="7BA238DE"/>
    <w:rsid w:val="7BBD1F5E"/>
    <w:rsid w:val="7BCE7A18"/>
    <w:rsid w:val="7BF00E78"/>
    <w:rsid w:val="7BFA892B"/>
    <w:rsid w:val="7C3F1B77"/>
    <w:rsid w:val="7C4C19DF"/>
    <w:rsid w:val="7C5655EE"/>
    <w:rsid w:val="7C783B28"/>
    <w:rsid w:val="7CA443C9"/>
    <w:rsid w:val="7CA8270B"/>
    <w:rsid w:val="7CFC4BEE"/>
    <w:rsid w:val="7CFFF4BE"/>
    <w:rsid w:val="7D572F04"/>
    <w:rsid w:val="7D726BAF"/>
    <w:rsid w:val="7D7F2115"/>
    <w:rsid w:val="7DABFD5E"/>
    <w:rsid w:val="7DB52981"/>
    <w:rsid w:val="7DE36CBB"/>
    <w:rsid w:val="7DEF857C"/>
    <w:rsid w:val="7DF56327"/>
    <w:rsid w:val="7DFF10D4"/>
    <w:rsid w:val="7DFFA960"/>
    <w:rsid w:val="7E2E7A36"/>
    <w:rsid w:val="7E4C0A16"/>
    <w:rsid w:val="7E7A2C7B"/>
    <w:rsid w:val="7E982A02"/>
    <w:rsid w:val="7EAE0E32"/>
    <w:rsid w:val="7EB0213F"/>
    <w:rsid w:val="7EF05B1B"/>
    <w:rsid w:val="7F1B620C"/>
    <w:rsid w:val="7F3735A7"/>
    <w:rsid w:val="7F5F07EF"/>
    <w:rsid w:val="7F6DCAEE"/>
    <w:rsid w:val="7F7ACAB7"/>
    <w:rsid w:val="7F7F0F18"/>
    <w:rsid w:val="7FB81CAD"/>
    <w:rsid w:val="7FBDC2A2"/>
    <w:rsid w:val="7FCEBFFE"/>
    <w:rsid w:val="7FD04419"/>
    <w:rsid w:val="7FDD2155"/>
    <w:rsid w:val="7FE4029C"/>
    <w:rsid w:val="7FE5484E"/>
    <w:rsid w:val="7FEBC233"/>
    <w:rsid w:val="7FF67F14"/>
    <w:rsid w:val="7FFF4852"/>
    <w:rsid w:val="8B5C7FAD"/>
    <w:rsid w:val="8CE7CC2F"/>
    <w:rsid w:val="8E6F6CC8"/>
    <w:rsid w:val="8EDFF501"/>
    <w:rsid w:val="95DC1B9F"/>
    <w:rsid w:val="966F8CEB"/>
    <w:rsid w:val="96BDCC9A"/>
    <w:rsid w:val="9AFA741A"/>
    <w:rsid w:val="9AFDE2F7"/>
    <w:rsid w:val="9DF700E7"/>
    <w:rsid w:val="9DFFD4E0"/>
    <w:rsid w:val="9EFEA8B4"/>
    <w:rsid w:val="9FBF71C0"/>
    <w:rsid w:val="9FDFA2A6"/>
    <w:rsid w:val="9FFBE65A"/>
    <w:rsid w:val="A2BA0F9C"/>
    <w:rsid w:val="A7EF4140"/>
    <w:rsid w:val="AB994094"/>
    <w:rsid w:val="ABDE90D1"/>
    <w:rsid w:val="AFD41E6F"/>
    <w:rsid w:val="AFD59BC1"/>
    <w:rsid w:val="B37F4272"/>
    <w:rsid w:val="B5FF16AE"/>
    <w:rsid w:val="B7751B93"/>
    <w:rsid w:val="B7FDD762"/>
    <w:rsid w:val="B7FF31BE"/>
    <w:rsid w:val="BF774388"/>
    <w:rsid w:val="BFADBDF7"/>
    <w:rsid w:val="BFDA3D61"/>
    <w:rsid w:val="BFDB5602"/>
    <w:rsid w:val="BFF98D2F"/>
    <w:rsid w:val="C6EBC07B"/>
    <w:rsid w:val="CFAB7788"/>
    <w:rsid w:val="CFFD81C3"/>
    <w:rsid w:val="D1F6BC4D"/>
    <w:rsid w:val="D2BF5A3C"/>
    <w:rsid w:val="D69F2FD8"/>
    <w:rsid w:val="D6FE9F0A"/>
    <w:rsid w:val="DAFF4B4C"/>
    <w:rsid w:val="DCFFD741"/>
    <w:rsid w:val="DD7E81BC"/>
    <w:rsid w:val="DDB7AAFA"/>
    <w:rsid w:val="DDFDCBD5"/>
    <w:rsid w:val="DDFF59CF"/>
    <w:rsid w:val="DEB56430"/>
    <w:rsid w:val="DEEB90A3"/>
    <w:rsid w:val="DFFF0AC2"/>
    <w:rsid w:val="E7BFB4DB"/>
    <w:rsid w:val="E7F8C5E1"/>
    <w:rsid w:val="EBF6D0A1"/>
    <w:rsid w:val="EDBEE5CA"/>
    <w:rsid w:val="EDDF6DAB"/>
    <w:rsid w:val="EDF75D22"/>
    <w:rsid w:val="EDF7E850"/>
    <w:rsid w:val="EEFFC9DA"/>
    <w:rsid w:val="EF2FFFF6"/>
    <w:rsid w:val="EF5EF26D"/>
    <w:rsid w:val="EF7633F0"/>
    <w:rsid w:val="EFB4F91D"/>
    <w:rsid w:val="EFED4551"/>
    <w:rsid w:val="EFFD3170"/>
    <w:rsid w:val="EFFFFC26"/>
    <w:rsid w:val="F3791075"/>
    <w:rsid w:val="F57D7059"/>
    <w:rsid w:val="F6BEE5FE"/>
    <w:rsid w:val="F763BBF8"/>
    <w:rsid w:val="F7C78A77"/>
    <w:rsid w:val="F7DE016B"/>
    <w:rsid w:val="F7F59431"/>
    <w:rsid w:val="F7FAB052"/>
    <w:rsid w:val="F7FF04B6"/>
    <w:rsid w:val="F7FF5D13"/>
    <w:rsid w:val="F9FFD815"/>
    <w:rsid w:val="FAAE9B58"/>
    <w:rsid w:val="FAFB78C3"/>
    <w:rsid w:val="FB75F334"/>
    <w:rsid w:val="FBF7071B"/>
    <w:rsid w:val="FBFF9FF5"/>
    <w:rsid w:val="FBFFFAB4"/>
    <w:rsid w:val="FCDF748F"/>
    <w:rsid w:val="FD325303"/>
    <w:rsid w:val="FD9F224C"/>
    <w:rsid w:val="FDEC15D7"/>
    <w:rsid w:val="FDEF00A1"/>
    <w:rsid w:val="FDFB03DA"/>
    <w:rsid w:val="FE55F505"/>
    <w:rsid w:val="FEC7FA76"/>
    <w:rsid w:val="FEDD7FA2"/>
    <w:rsid w:val="FEFD9CD5"/>
    <w:rsid w:val="FF57AE92"/>
    <w:rsid w:val="FF7F37D0"/>
    <w:rsid w:val="FFAB0422"/>
    <w:rsid w:val="FFAF3BA5"/>
    <w:rsid w:val="FFB32FF3"/>
    <w:rsid w:val="FFBC01EE"/>
    <w:rsid w:val="FFBF39D8"/>
    <w:rsid w:val="FFCEC20E"/>
    <w:rsid w:val="FFDB7151"/>
    <w:rsid w:val="FFE501F3"/>
    <w:rsid w:val="FFE584D6"/>
    <w:rsid w:val="FFF9C07B"/>
    <w:rsid w:val="FFFD4CE7"/>
    <w:rsid w:val="FFFD7B32"/>
    <w:rsid w:val="FFFDEDCC"/>
    <w:rsid w:val="FFFFD67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0" w:semiHidden="0" w:name="annotation text"/>
    <w:lsdException w:qFormat="1" w:uiPriority="0" w:semiHidden="0" w:name="header"/>
    <w:lsdException w:qFormat="1"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iPriority="0" w:semiHidden="0" w:name="footnote reference"/>
    <w:lsdException w:qFormat="1"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semiHidden="0" w:name="Default Paragraph Font"/>
    <w:lsdException w:qFormat="1" w:unhideWhenUsed="0" w:uiPriority="0" w:semiHidden="0" w:name="Body Text"/>
    <w:lsdException w:qFormat="1"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iPriority="0" w:semiHidden="0" w:name="Body Text Indent 3"/>
    <w:lsdException w:qFormat="1" w:unhideWhenUsed="0" w:uiPriority="0" w:semiHidden="0" w:name="Block Text"/>
    <w:lsdException w:qFormat="1"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semiHidden="0"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华文中宋" w:cs="Times New Roman"/>
      <w:kern w:val="2"/>
      <w:sz w:val="24"/>
      <w:lang w:val="en-US" w:eastAsia="zh-CN" w:bidi="ar-SA"/>
    </w:rPr>
  </w:style>
  <w:style w:type="paragraph" w:styleId="3">
    <w:name w:val="heading 1"/>
    <w:basedOn w:val="1"/>
    <w:next w:val="1"/>
    <w:link w:val="109"/>
    <w:qFormat/>
    <w:uiPriority w:val="0"/>
    <w:pPr>
      <w:keepNext/>
      <w:keepLines/>
      <w:spacing w:before="120" w:after="240" w:line="500" w:lineRule="exact"/>
      <w:jc w:val="center"/>
      <w:outlineLvl w:val="0"/>
    </w:pPr>
    <w:rPr>
      <w:rFonts w:eastAsia="黑体"/>
      <w:b/>
      <w:bCs/>
      <w:color w:val="000000"/>
      <w:kern w:val="44"/>
      <w:sz w:val="32"/>
      <w:szCs w:val="32"/>
      <w:lang w:val="zh-CN"/>
    </w:rPr>
  </w:style>
  <w:style w:type="paragraph" w:styleId="4">
    <w:name w:val="heading 2"/>
    <w:basedOn w:val="1"/>
    <w:next w:val="1"/>
    <w:link w:val="110"/>
    <w:qFormat/>
    <w:uiPriority w:val="0"/>
    <w:pPr>
      <w:keepNext/>
      <w:keepLines/>
      <w:spacing w:before="240" w:after="240" w:line="360" w:lineRule="auto"/>
      <w:jc w:val="center"/>
      <w:outlineLvl w:val="1"/>
    </w:pPr>
    <w:rPr>
      <w:rFonts w:eastAsia="楷体_GB2312"/>
      <w:b/>
      <w:bCs/>
      <w:spacing w:val="6"/>
      <w:kern w:val="0"/>
      <w:sz w:val="30"/>
      <w:szCs w:val="30"/>
      <w:lang w:val="zh-CN"/>
    </w:rPr>
  </w:style>
  <w:style w:type="paragraph" w:styleId="5">
    <w:name w:val="heading 3"/>
    <w:basedOn w:val="1"/>
    <w:next w:val="1"/>
    <w:link w:val="111"/>
    <w:qFormat/>
    <w:uiPriority w:val="0"/>
    <w:pPr>
      <w:keepNext/>
      <w:keepLines/>
      <w:spacing w:before="120" w:after="120" w:line="360" w:lineRule="auto"/>
      <w:ind w:firstLine="589" w:firstLineChars="200"/>
      <w:outlineLvl w:val="2"/>
    </w:pPr>
    <w:rPr>
      <w:rFonts w:eastAsia="仿宋_GB2312"/>
      <w:b/>
      <w:spacing w:val="6"/>
      <w:kern w:val="0"/>
      <w:sz w:val="30"/>
      <w:szCs w:val="30"/>
    </w:rPr>
  </w:style>
  <w:style w:type="paragraph" w:styleId="6">
    <w:name w:val="heading 4"/>
    <w:basedOn w:val="1"/>
    <w:next w:val="1"/>
    <w:link w:val="112"/>
    <w:qFormat/>
    <w:uiPriority w:val="0"/>
    <w:pPr>
      <w:keepNext/>
      <w:keepLines/>
      <w:spacing w:beforeLines="50"/>
      <w:ind w:firstLine="471"/>
      <w:jc w:val="center"/>
      <w:outlineLvl w:val="3"/>
    </w:pPr>
    <w:rPr>
      <w:rFonts w:ascii="黑体" w:eastAsia="黑体"/>
      <w:b/>
      <w:bCs/>
      <w:kern w:val="0"/>
      <w:szCs w:val="28"/>
    </w:rPr>
  </w:style>
  <w:style w:type="paragraph" w:styleId="7">
    <w:name w:val="heading 5"/>
    <w:basedOn w:val="1"/>
    <w:next w:val="1"/>
    <w:link w:val="113"/>
    <w:qFormat/>
    <w:uiPriority w:val="0"/>
    <w:pPr>
      <w:keepNext/>
      <w:keepLines/>
      <w:spacing w:before="280" w:after="290" w:line="376" w:lineRule="auto"/>
      <w:outlineLvl w:val="4"/>
    </w:pPr>
    <w:rPr>
      <w:b/>
      <w:bCs/>
      <w:kern w:val="0"/>
      <w:sz w:val="28"/>
      <w:szCs w:val="28"/>
    </w:rPr>
  </w:style>
  <w:style w:type="paragraph" w:styleId="8">
    <w:name w:val="heading 6"/>
    <w:basedOn w:val="1"/>
    <w:next w:val="1"/>
    <w:link w:val="114"/>
    <w:qFormat/>
    <w:uiPriority w:val="0"/>
    <w:pPr>
      <w:keepNext/>
      <w:keepLines/>
      <w:spacing w:line="300" w:lineRule="exact"/>
      <w:jc w:val="center"/>
      <w:outlineLvl w:val="5"/>
    </w:pPr>
    <w:rPr>
      <w:rFonts w:ascii="黑体" w:eastAsia="黑体"/>
      <w:b/>
      <w:bCs/>
      <w:kern w:val="0"/>
      <w:szCs w:val="24"/>
      <w:lang w:val="zh-CN"/>
    </w:rPr>
  </w:style>
  <w:style w:type="paragraph" w:styleId="9">
    <w:name w:val="heading 7"/>
    <w:basedOn w:val="1"/>
    <w:next w:val="1"/>
    <w:link w:val="115"/>
    <w:qFormat/>
    <w:uiPriority w:val="0"/>
    <w:pPr>
      <w:keepNext/>
      <w:keepLines/>
      <w:numPr>
        <w:ilvl w:val="6"/>
        <w:numId w:val="1"/>
      </w:numPr>
      <w:spacing w:before="240" w:after="64" w:line="320" w:lineRule="auto"/>
      <w:ind w:firstLine="200" w:firstLineChars="200"/>
      <w:outlineLvl w:val="6"/>
    </w:pPr>
    <w:rPr>
      <w:rFonts w:eastAsia="楷体_GB2312"/>
      <w:b/>
      <w:bCs/>
      <w:kern w:val="0"/>
      <w:szCs w:val="24"/>
      <w:lang w:val="zh-CN"/>
    </w:rPr>
  </w:style>
  <w:style w:type="paragraph" w:styleId="10">
    <w:name w:val="heading 8"/>
    <w:basedOn w:val="1"/>
    <w:next w:val="1"/>
    <w:link w:val="116"/>
    <w:qFormat/>
    <w:uiPriority w:val="0"/>
    <w:pPr>
      <w:keepNext/>
      <w:keepLines/>
      <w:numPr>
        <w:ilvl w:val="7"/>
        <w:numId w:val="1"/>
      </w:numPr>
      <w:spacing w:before="240" w:after="64" w:line="320" w:lineRule="auto"/>
      <w:ind w:firstLine="200" w:firstLineChars="200"/>
      <w:outlineLvl w:val="7"/>
    </w:pPr>
    <w:rPr>
      <w:rFonts w:ascii="Arial" w:hAnsi="Arial" w:eastAsia="黑体"/>
      <w:kern w:val="0"/>
      <w:szCs w:val="24"/>
      <w:lang w:val="zh-CN"/>
    </w:rPr>
  </w:style>
  <w:style w:type="paragraph" w:styleId="11">
    <w:name w:val="heading 9"/>
    <w:basedOn w:val="1"/>
    <w:next w:val="1"/>
    <w:link w:val="117"/>
    <w:qFormat/>
    <w:uiPriority w:val="0"/>
    <w:pPr>
      <w:keepNext/>
      <w:keepLines/>
      <w:adjustRightInd w:val="0"/>
      <w:spacing w:before="240" w:after="64" w:line="320" w:lineRule="auto"/>
      <w:ind w:firstLine="480" w:firstLineChars="200"/>
      <w:textAlignment w:val="baseline"/>
      <w:outlineLvl w:val="8"/>
    </w:pPr>
    <w:rPr>
      <w:rFonts w:ascii="Arial" w:hAnsi="Arial" w:eastAsia="黑体"/>
      <w:kern w:val="0"/>
      <w:sz w:val="20"/>
    </w:rPr>
  </w:style>
  <w:style w:type="character" w:default="1" w:styleId="90">
    <w:name w:val="Default Paragraph Font"/>
    <w:unhideWhenUsed/>
    <w:qFormat/>
    <w:uiPriority w:val="1"/>
  </w:style>
  <w:style w:type="table" w:default="1" w:styleId="88">
    <w:name w:val="Normal Table"/>
    <w:unhideWhenUsed/>
    <w:qFormat/>
    <w:uiPriority w:val="99"/>
    <w:tblPr>
      <w:tblStyle w:val="88"/>
      <w:tblCellMar>
        <w:top w:w="0" w:type="dxa"/>
        <w:left w:w="108" w:type="dxa"/>
        <w:bottom w:w="0" w:type="dxa"/>
        <w:right w:w="108" w:type="dxa"/>
      </w:tblCellMar>
    </w:tblPr>
  </w:style>
  <w:style w:type="paragraph" w:styleId="2">
    <w:name w:val="macro"/>
    <w:link w:val="108"/>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sz w:val="24"/>
      <w:szCs w:val="24"/>
      <w:lang w:val="en-US" w:eastAsia="zh-CN" w:bidi="ar-SA"/>
    </w:rPr>
  </w:style>
  <w:style w:type="paragraph" w:styleId="12">
    <w:name w:val="List 3"/>
    <w:basedOn w:val="1"/>
    <w:qFormat/>
    <w:uiPriority w:val="0"/>
    <w:pPr>
      <w:spacing w:line="540" w:lineRule="exact"/>
      <w:ind w:left="100" w:leftChars="400" w:hanging="200" w:hangingChars="200"/>
    </w:pPr>
    <w:rPr>
      <w:rFonts w:ascii="楷体_GB2312" w:eastAsia="楷体_GB2312"/>
      <w:kern w:val="0"/>
      <w:sz w:val="28"/>
      <w:szCs w:val="24"/>
    </w:rPr>
  </w:style>
  <w:style w:type="paragraph" w:styleId="13">
    <w:name w:val="toc 7"/>
    <w:basedOn w:val="1"/>
    <w:next w:val="1"/>
    <w:unhideWhenUsed/>
    <w:qFormat/>
    <w:uiPriority w:val="0"/>
    <w:pPr>
      <w:ind w:left="1440"/>
      <w:jc w:val="left"/>
    </w:pPr>
    <w:rPr>
      <w:rFonts w:ascii="Calibri" w:hAnsi="Calibri"/>
      <w:sz w:val="18"/>
      <w:szCs w:val="18"/>
    </w:rPr>
  </w:style>
  <w:style w:type="paragraph" w:styleId="14">
    <w:name w:val="List Number 2"/>
    <w:basedOn w:val="1"/>
    <w:qFormat/>
    <w:uiPriority w:val="0"/>
    <w:pPr>
      <w:tabs>
        <w:tab w:val="left" w:pos="780"/>
      </w:tabs>
      <w:spacing w:line="540" w:lineRule="exact"/>
      <w:ind w:left="780" w:leftChars="200" w:hanging="360" w:hangingChars="200"/>
    </w:pPr>
    <w:rPr>
      <w:rFonts w:ascii="楷体_GB2312" w:eastAsia="楷体_GB2312"/>
      <w:kern w:val="0"/>
      <w:sz w:val="28"/>
      <w:szCs w:val="24"/>
    </w:rPr>
  </w:style>
  <w:style w:type="paragraph" w:styleId="15">
    <w:name w:val="table of authorities"/>
    <w:basedOn w:val="1"/>
    <w:next w:val="1"/>
    <w:qFormat/>
    <w:uiPriority w:val="0"/>
    <w:pPr>
      <w:spacing w:line="540" w:lineRule="exact"/>
      <w:ind w:left="420" w:leftChars="200"/>
    </w:pPr>
    <w:rPr>
      <w:rFonts w:ascii="楷体_GB2312" w:eastAsia="楷体_GB2312"/>
      <w:kern w:val="0"/>
      <w:sz w:val="28"/>
      <w:szCs w:val="24"/>
    </w:rPr>
  </w:style>
  <w:style w:type="paragraph" w:styleId="16">
    <w:name w:val="Note Heading"/>
    <w:basedOn w:val="1"/>
    <w:next w:val="1"/>
    <w:link w:val="118"/>
    <w:qFormat/>
    <w:uiPriority w:val="0"/>
    <w:pPr>
      <w:jc w:val="center"/>
    </w:pPr>
    <w:rPr>
      <w:rFonts w:eastAsia="宋体"/>
      <w:kern w:val="0"/>
      <w:sz w:val="20"/>
      <w:szCs w:val="24"/>
    </w:rPr>
  </w:style>
  <w:style w:type="paragraph" w:styleId="17">
    <w:name w:val="List Bullet 4"/>
    <w:basedOn w:val="1"/>
    <w:qFormat/>
    <w:uiPriority w:val="0"/>
    <w:pPr>
      <w:tabs>
        <w:tab w:val="left" w:pos="1620"/>
      </w:tabs>
      <w:spacing w:line="540" w:lineRule="exact"/>
      <w:ind w:left="1620" w:leftChars="600" w:hanging="360" w:hangingChars="200"/>
    </w:pPr>
    <w:rPr>
      <w:rFonts w:ascii="楷体_GB2312" w:eastAsia="楷体_GB2312"/>
      <w:kern w:val="0"/>
      <w:sz w:val="28"/>
      <w:szCs w:val="24"/>
    </w:rPr>
  </w:style>
  <w:style w:type="paragraph" w:styleId="18">
    <w:name w:val="index 8"/>
    <w:basedOn w:val="1"/>
    <w:next w:val="1"/>
    <w:qFormat/>
    <w:uiPriority w:val="0"/>
    <w:pPr>
      <w:spacing w:line="540" w:lineRule="exact"/>
      <w:ind w:left="1400" w:leftChars="1400"/>
    </w:pPr>
    <w:rPr>
      <w:rFonts w:ascii="楷体_GB2312" w:eastAsia="楷体_GB2312"/>
      <w:kern w:val="0"/>
      <w:sz w:val="28"/>
      <w:szCs w:val="24"/>
    </w:rPr>
  </w:style>
  <w:style w:type="paragraph" w:styleId="19">
    <w:name w:val="E-mail Signature"/>
    <w:basedOn w:val="1"/>
    <w:link w:val="119"/>
    <w:qFormat/>
    <w:uiPriority w:val="0"/>
    <w:pPr>
      <w:spacing w:line="540" w:lineRule="exact"/>
    </w:pPr>
    <w:rPr>
      <w:rFonts w:ascii="楷体_GB2312" w:eastAsia="楷体_GB2312"/>
      <w:kern w:val="0"/>
      <w:sz w:val="28"/>
      <w:szCs w:val="24"/>
    </w:rPr>
  </w:style>
  <w:style w:type="paragraph" w:styleId="20">
    <w:name w:val="List Number"/>
    <w:basedOn w:val="1"/>
    <w:qFormat/>
    <w:uiPriority w:val="0"/>
    <w:pPr>
      <w:tabs>
        <w:tab w:val="left" w:pos="360"/>
      </w:tabs>
      <w:spacing w:line="540" w:lineRule="exact"/>
      <w:ind w:left="360" w:hanging="360" w:hangingChars="200"/>
    </w:pPr>
    <w:rPr>
      <w:rFonts w:ascii="楷体_GB2312" w:eastAsia="楷体_GB2312"/>
      <w:kern w:val="0"/>
      <w:sz w:val="28"/>
      <w:szCs w:val="24"/>
    </w:rPr>
  </w:style>
  <w:style w:type="paragraph" w:styleId="21">
    <w:name w:val="Normal Indent"/>
    <w:basedOn w:val="1"/>
    <w:unhideWhenUsed/>
    <w:qFormat/>
    <w:uiPriority w:val="0"/>
    <w:pPr>
      <w:ind w:firstLine="420" w:firstLineChars="200"/>
    </w:pPr>
    <w:rPr>
      <w:rFonts w:ascii="Calibri" w:hAnsi="Calibri" w:eastAsia="宋体"/>
      <w:sz w:val="21"/>
      <w:szCs w:val="22"/>
    </w:rPr>
  </w:style>
  <w:style w:type="paragraph" w:styleId="22">
    <w:name w:val="caption"/>
    <w:basedOn w:val="1"/>
    <w:next w:val="1"/>
    <w:qFormat/>
    <w:uiPriority w:val="0"/>
    <w:rPr>
      <w:rFonts w:ascii="Cambria" w:hAnsi="Cambria" w:eastAsia="黑体"/>
      <w:sz w:val="20"/>
    </w:rPr>
  </w:style>
  <w:style w:type="paragraph" w:styleId="23">
    <w:name w:val="index 5"/>
    <w:basedOn w:val="1"/>
    <w:next w:val="1"/>
    <w:qFormat/>
    <w:uiPriority w:val="0"/>
    <w:pPr>
      <w:spacing w:line="540" w:lineRule="exact"/>
      <w:ind w:left="800" w:leftChars="800"/>
    </w:pPr>
    <w:rPr>
      <w:rFonts w:ascii="楷体_GB2312" w:eastAsia="楷体_GB2312"/>
      <w:kern w:val="0"/>
      <w:sz w:val="28"/>
      <w:szCs w:val="24"/>
    </w:rPr>
  </w:style>
  <w:style w:type="paragraph" w:styleId="24">
    <w:name w:val="List Bullet"/>
    <w:basedOn w:val="1"/>
    <w:qFormat/>
    <w:uiPriority w:val="0"/>
    <w:pPr>
      <w:tabs>
        <w:tab w:val="left" w:pos="360"/>
      </w:tabs>
      <w:spacing w:line="540" w:lineRule="exact"/>
      <w:ind w:left="360" w:hanging="360" w:hangingChars="200"/>
    </w:pPr>
    <w:rPr>
      <w:rFonts w:ascii="楷体_GB2312" w:eastAsia="楷体_GB2312"/>
      <w:kern w:val="0"/>
      <w:sz w:val="28"/>
      <w:szCs w:val="24"/>
    </w:rPr>
  </w:style>
  <w:style w:type="paragraph" w:styleId="25">
    <w:name w:val="envelope address"/>
    <w:basedOn w:val="1"/>
    <w:qFormat/>
    <w:uiPriority w:val="0"/>
    <w:pPr>
      <w:framePr w:w="7920" w:h="1980" w:hRule="exact" w:hSpace="180" w:wrap="auto" w:vAnchor="margin" w:hAnchor="page" w:xAlign="center" w:yAlign="bottom"/>
      <w:snapToGrid w:val="0"/>
      <w:spacing w:line="540" w:lineRule="exact"/>
      <w:ind w:left="100" w:leftChars="1400"/>
    </w:pPr>
    <w:rPr>
      <w:rFonts w:ascii="Arial" w:hAnsi="Arial" w:eastAsia="楷体_GB2312" w:cs="Arial"/>
      <w:kern w:val="0"/>
      <w:szCs w:val="24"/>
    </w:rPr>
  </w:style>
  <w:style w:type="paragraph" w:styleId="26">
    <w:name w:val="Document Map"/>
    <w:basedOn w:val="1"/>
    <w:link w:val="120"/>
    <w:qFormat/>
    <w:uiPriority w:val="0"/>
    <w:pPr>
      <w:shd w:val="clear" w:color="auto" w:fill="000080"/>
    </w:pPr>
    <w:rPr>
      <w:kern w:val="0"/>
    </w:rPr>
  </w:style>
  <w:style w:type="paragraph" w:styleId="27">
    <w:name w:val="toa heading"/>
    <w:basedOn w:val="1"/>
    <w:next w:val="1"/>
    <w:qFormat/>
    <w:uiPriority w:val="0"/>
    <w:pPr>
      <w:spacing w:before="120" w:line="540" w:lineRule="exact"/>
    </w:pPr>
    <w:rPr>
      <w:rFonts w:ascii="Arial" w:hAnsi="Arial" w:eastAsia="宋体" w:cs="Arial"/>
      <w:kern w:val="0"/>
      <w:szCs w:val="24"/>
    </w:rPr>
  </w:style>
  <w:style w:type="paragraph" w:styleId="28">
    <w:name w:val="annotation text"/>
    <w:basedOn w:val="1"/>
    <w:link w:val="121"/>
    <w:unhideWhenUsed/>
    <w:qFormat/>
    <w:uiPriority w:val="0"/>
    <w:pPr>
      <w:jc w:val="left"/>
    </w:pPr>
    <w:rPr>
      <w:kern w:val="0"/>
    </w:rPr>
  </w:style>
  <w:style w:type="paragraph" w:styleId="29">
    <w:name w:val="index 6"/>
    <w:basedOn w:val="1"/>
    <w:next w:val="1"/>
    <w:qFormat/>
    <w:uiPriority w:val="0"/>
    <w:pPr>
      <w:spacing w:line="540" w:lineRule="exact"/>
      <w:ind w:left="1000" w:leftChars="1000"/>
    </w:pPr>
    <w:rPr>
      <w:rFonts w:ascii="楷体_GB2312" w:eastAsia="楷体_GB2312"/>
      <w:kern w:val="0"/>
      <w:sz w:val="28"/>
      <w:szCs w:val="24"/>
    </w:rPr>
  </w:style>
  <w:style w:type="paragraph" w:styleId="30">
    <w:name w:val="Salutation"/>
    <w:basedOn w:val="1"/>
    <w:next w:val="1"/>
    <w:link w:val="122"/>
    <w:qFormat/>
    <w:uiPriority w:val="0"/>
    <w:pPr>
      <w:spacing w:line="540" w:lineRule="exact"/>
    </w:pPr>
    <w:rPr>
      <w:rFonts w:ascii="楷体_GB2312" w:eastAsia="楷体_GB2312"/>
      <w:kern w:val="0"/>
      <w:sz w:val="28"/>
      <w:szCs w:val="24"/>
    </w:rPr>
  </w:style>
  <w:style w:type="paragraph" w:styleId="31">
    <w:name w:val="Body Text 3"/>
    <w:basedOn w:val="1"/>
    <w:link w:val="123"/>
    <w:qFormat/>
    <w:uiPriority w:val="0"/>
    <w:pPr>
      <w:spacing w:after="120"/>
    </w:pPr>
    <w:rPr>
      <w:rFonts w:eastAsia="宋体"/>
      <w:kern w:val="0"/>
      <w:sz w:val="16"/>
      <w:szCs w:val="16"/>
    </w:rPr>
  </w:style>
  <w:style w:type="paragraph" w:styleId="32">
    <w:name w:val="Closing"/>
    <w:basedOn w:val="1"/>
    <w:link w:val="124"/>
    <w:qFormat/>
    <w:uiPriority w:val="0"/>
    <w:pPr>
      <w:spacing w:line="540" w:lineRule="exact"/>
      <w:ind w:left="100" w:leftChars="2100"/>
    </w:pPr>
    <w:rPr>
      <w:rFonts w:ascii="楷体_GB2312" w:eastAsia="楷体_GB2312"/>
      <w:kern w:val="0"/>
      <w:sz w:val="28"/>
      <w:szCs w:val="24"/>
    </w:rPr>
  </w:style>
  <w:style w:type="paragraph" w:styleId="33">
    <w:name w:val="List Bullet 3"/>
    <w:basedOn w:val="1"/>
    <w:qFormat/>
    <w:uiPriority w:val="0"/>
    <w:pPr>
      <w:tabs>
        <w:tab w:val="left" w:pos="1200"/>
      </w:tabs>
      <w:spacing w:line="540" w:lineRule="exact"/>
      <w:ind w:left="1200" w:leftChars="400" w:hanging="360" w:hangingChars="200"/>
    </w:pPr>
    <w:rPr>
      <w:rFonts w:ascii="楷体_GB2312" w:eastAsia="楷体_GB2312"/>
      <w:kern w:val="0"/>
      <w:sz w:val="28"/>
      <w:szCs w:val="24"/>
    </w:rPr>
  </w:style>
  <w:style w:type="paragraph" w:styleId="34">
    <w:name w:val="Body Text"/>
    <w:basedOn w:val="1"/>
    <w:link w:val="125"/>
    <w:qFormat/>
    <w:uiPriority w:val="0"/>
    <w:pPr>
      <w:spacing w:after="120"/>
    </w:pPr>
    <w:rPr>
      <w:rFonts w:eastAsia="宋体"/>
      <w:kern w:val="0"/>
      <w:sz w:val="20"/>
      <w:szCs w:val="24"/>
    </w:rPr>
  </w:style>
  <w:style w:type="paragraph" w:styleId="35">
    <w:name w:val="Body Text Indent"/>
    <w:basedOn w:val="1"/>
    <w:link w:val="126"/>
    <w:unhideWhenUsed/>
    <w:qFormat/>
    <w:uiPriority w:val="0"/>
    <w:pPr>
      <w:spacing w:after="120"/>
      <w:ind w:left="420" w:leftChars="200"/>
    </w:pPr>
    <w:rPr>
      <w:kern w:val="0"/>
      <w:lang w:val="zh-CN"/>
    </w:rPr>
  </w:style>
  <w:style w:type="paragraph" w:styleId="36">
    <w:name w:val="List Number 3"/>
    <w:basedOn w:val="1"/>
    <w:qFormat/>
    <w:uiPriority w:val="0"/>
    <w:pPr>
      <w:tabs>
        <w:tab w:val="left" w:pos="1200"/>
      </w:tabs>
      <w:spacing w:line="540" w:lineRule="exact"/>
      <w:ind w:left="1200" w:leftChars="400" w:hanging="360" w:hangingChars="200"/>
    </w:pPr>
    <w:rPr>
      <w:rFonts w:ascii="楷体_GB2312" w:eastAsia="楷体_GB2312"/>
      <w:kern w:val="0"/>
      <w:sz w:val="28"/>
      <w:szCs w:val="24"/>
    </w:rPr>
  </w:style>
  <w:style w:type="paragraph" w:styleId="37">
    <w:name w:val="List 2"/>
    <w:basedOn w:val="1"/>
    <w:qFormat/>
    <w:uiPriority w:val="0"/>
    <w:pPr>
      <w:spacing w:line="540" w:lineRule="exact"/>
      <w:ind w:left="100" w:leftChars="200" w:hanging="200" w:hangingChars="200"/>
    </w:pPr>
    <w:rPr>
      <w:rFonts w:ascii="楷体_GB2312" w:eastAsia="楷体_GB2312"/>
      <w:kern w:val="0"/>
      <w:sz w:val="28"/>
      <w:szCs w:val="24"/>
    </w:rPr>
  </w:style>
  <w:style w:type="paragraph" w:styleId="38">
    <w:name w:val="List Continue"/>
    <w:basedOn w:val="1"/>
    <w:qFormat/>
    <w:uiPriority w:val="0"/>
    <w:pPr>
      <w:spacing w:after="120" w:line="540" w:lineRule="exact"/>
      <w:ind w:left="420" w:leftChars="200"/>
    </w:pPr>
    <w:rPr>
      <w:rFonts w:ascii="楷体_GB2312" w:eastAsia="楷体_GB2312"/>
      <w:kern w:val="0"/>
      <w:sz w:val="28"/>
      <w:szCs w:val="24"/>
    </w:rPr>
  </w:style>
  <w:style w:type="paragraph" w:styleId="39">
    <w:name w:val="Block Text"/>
    <w:basedOn w:val="1"/>
    <w:qFormat/>
    <w:uiPriority w:val="0"/>
    <w:pPr>
      <w:spacing w:line="520" w:lineRule="exact"/>
      <w:ind w:left="280" w:leftChars="100" w:right="280" w:rightChars="100" w:firstLine="560" w:firstLineChars="200"/>
    </w:pPr>
    <w:rPr>
      <w:rFonts w:ascii="楷体_GB2312" w:hAnsi="宋体" w:eastAsia="楷体_GB2312"/>
      <w:color w:val="FF0000"/>
      <w:sz w:val="28"/>
      <w:szCs w:val="28"/>
    </w:rPr>
  </w:style>
  <w:style w:type="paragraph" w:styleId="40">
    <w:name w:val="List Bullet 2"/>
    <w:basedOn w:val="1"/>
    <w:qFormat/>
    <w:uiPriority w:val="0"/>
    <w:pPr>
      <w:tabs>
        <w:tab w:val="left" w:pos="780"/>
      </w:tabs>
      <w:spacing w:line="540" w:lineRule="exact"/>
      <w:ind w:left="780" w:leftChars="200" w:hanging="360" w:hangingChars="200"/>
    </w:pPr>
    <w:rPr>
      <w:rFonts w:ascii="楷体_GB2312" w:eastAsia="楷体_GB2312"/>
      <w:kern w:val="0"/>
      <w:sz w:val="28"/>
      <w:szCs w:val="24"/>
    </w:rPr>
  </w:style>
  <w:style w:type="paragraph" w:styleId="41">
    <w:name w:val="HTML Address"/>
    <w:basedOn w:val="1"/>
    <w:link w:val="127"/>
    <w:qFormat/>
    <w:uiPriority w:val="0"/>
    <w:pPr>
      <w:spacing w:line="540" w:lineRule="exact"/>
    </w:pPr>
    <w:rPr>
      <w:rFonts w:ascii="楷体_GB2312" w:eastAsia="楷体_GB2312"/>
      <w:i/>
      <w:iCs/>
      <w:kern w:val="0"/>
      <w:sz w:val="28"/>
      <w:szCs w:val="24"/>
    </w:rPr>
  </w:style>
  <w:style w:type="paragraph" w:styleId="42">
    <w:name w:val="index 4"/>
    <w:basedOn w:val="1"/>
    <w:next w:val="1"/>
    <w:qFormat/>
    <w:uiPriority w:val="0"/>
    <w:pPr>
      <w:spacing w:line="540" w:lineRule="exact"/>
      <w:ind w:left="600" w:leftChars="600"/>
    </w:pPr>
    <w:rPr>
      <w:rFonts w:ascii="楷体_GB2312" w:eastAsia="楷体_GB2312"/>
      <w:kern w:val="0"/>
      <w:sz w:val="28"/>
      <w:szCs w:val="24"/>
    </w:rPr>
  </w:style>
  <w:style w:type="paragraph" w:styleId="43">
    <w:name w:val="toc 5"/>
    <w:basedOn w:val="1"/>
    <w:next w:val="1"/>
    <w:unhideWhenUsed/>
    <w:qFormat/>
    <w:uiPriority w:val="0"/>
    <w:pPr>
      <w:ind w:left="960"/>
      <w:jc w:val="left"/>
    </w:pPr>
    <w:rPr>
      <w:rFonts w:ascii="Calibri" w:hAnsi="Calibri"/>
      <w:sz w:val="18"/>
      <w:szCs w:val="18"/>
    </w:rPr>
  </w:style>
  <w:style w:type="paragraph" w:styleId="44">
    <w:name w:val="toc 3"/>
    <w:basedOn w:val="1"/>
    <w:next w:val="1"/>
    <w:unhideWhenUsed/>
    <w:qFormat/>
    <w:uiPriority w:val="0"/>
    <w:pPr>
      <w:ind w:left="480"/>
      <w:jc w:val="left"/>
    </w:pPr>
    <w:rPr>
      <w:rFonts w:ascii="Calibri" w:hAnsi="Calibri"/>
      <w:i/>
      <w:iCs/>
      <w:sz w:val="20"/>
    </w:rPr>
  </w:style>
  <w:style w:type="paragraph" w:styleId="45">
    <w:name w:val="Plain Text"/>
    <w:basedOn w:val="1"/>
    <w:link w:val="128"/>
    <w:qFormat/>
    <w:uiPriority w:val="0"/>
    <w:rPr>
      <w:rFonts w:ascii="宋体" w:hAnsi="ISOCT" w:eastAsia="宋体"/>
      <w:kern w:val="0"/>
      <w:sz w:val="20"/>
    </w:rPr>
  </w:style>
  <w:style w:type="paragraph" w:styleId="46">
    <w:name w:val="List Bullet 5"/>
    <w:basedOn w:val="1"/>
    <w:qFormat/>
    <w:uiPriority w:val="0"/>
    <w:pPr>
      <w:tabs>
        <w:tab w:val="left" w:pos="2040"/>
      </w:tabs>
      <w:spacing w:line="540" w:lineRule="exact"/>
      <w:ind w:left="2040" w:leftChars="800" w:hanging="360" w:hangingChars="200"/>
    </w:pPr>
    <w:rPr>
      <w:rFonts w:ascii="楷体_GB2312" w:eastAsia="楷体_GB2312"/>
      <w:kern w:val="0"/>
      <w:sz w:val="28"/>
      <w:szCs w:val="24"/>
    </w:rPr>
  </w:style>
  <w:style w:type="paragraph" w:styleId="47">
    <w:name w:val="List Number 4"/>
    <w:basedOn w:val="1"/>
    <w:qFormat/>
    <w:uiPriority w:val="0"/>
    <w:pPr>
      <w:tabs>
        <w:tab w:val="left" w:pos="1620"/>
      </w:tabs>
      <w:spacing w:line="540" w:lineRule="exact"/>
      <w:ind w:left="1620" w:leftChars="600" w:hanging="360" w:hangingChars="200"/>
    </w:pPr>
    <w:rPr>
      <w:rFonts w:ascii="楷体_GB2312" w:eastAsia="楷体_GB2312"/>
      <w:kern w:val="0"/>
      <w:sz w:val="28"/>
      <w:szCs w:val="24"/>
    </w:rPr>
  </w:style>
  <w:style w:type="paragraph" w:styleId="48">
    <w:name w:val="toc 8"/>
    <w:basedOn w:val="1"/>
    <w:next w:val="1"/>
    <w:unhideWhenUsed/>
    <w:qFormat/>
    <w:uiPriority w:val="0"/>
    <w:pPr>
      <w:ind w:left="1680"/>
      <w:jc w:val="left"/>
    </w:pPr>
    <w:rPr>
      <w:rFonts w:ascii="Calibri" w:hAnsi="Calibri"/>
      <w:sz w:val="18"/>
      <w:szCs w:val="18"/>
    </w:rPr>
  </w:style>
  <w:style w:type="paragraph" w:styleId="49">
    <w:name w:val="index 3"/>
    <w:basedOn w:val="1"/>
    <w:next w:val="1"/>
    <w:qFormat/>
    <w:uiPriority w:val="0"/>
    <w:pPr>
      <w:spacing w:line="540" w:lineRule="exact"/>
      <w:ind w:left="400" w:leftChars="400"/>
    </w:pPr>
    <w:rPr>
      <w:rFonts w:ascii="楷体_GB2312" w:eastAsia="楷体_GB2312"/>
      <w:kern w:val="0"/>
      <w:sz w:val="28"/>
      <w:szCs w:val="24"/>
    </w:rPr>
  </w:style>
  <w:style w:type="paragraph" w:styleId="50">
    <w:name w:val="Date"/>
    <w:basedOn w:val="1"/>
    <w:next w:val="1"/>
    <w:link w:val="129"/>
    <w:unhideWhenUsed/>
    <w:qFormat/>
    <w:uiPriority w:val="0"/>
    <w:pPr>
      <w:ind w:left="100" w:leftChars="2500"/>
    </w:pPr>
    <w:rPr>
      <w:rFonts w:ascii="Calibri" w:hAnsi="Calibri" w:eastAsia="宋体"/>
      <w:kern w:val="0"/>
      <w:sz w:val="20"/>
    </w:rPr>
  </w:style>
  <w:style w:type="paragraph" w:styleId="51">
    <w:name w:val="Body Text Indent 2"/>
    <w:basedOn w:val="1"/>
    <w:link w:val="130"/>
    <w:qFormat/>
    <w:uiPriority w:val="0"/>
    <w:pPr>
      <w:spacing w:after="120" w:line="480" w:lineRule="auto"/>
      <w:ind w:left="420" w:leftChars="200"/>
    </w:pPr>
    <w:rPr>
      <w:kern w:val="0"/>
    </w:rPr>
  </w:style>
  <w:style w:type="paragraph" w:styleId="52">
    <w:name w:val="endnote text"/>
    <w:basedOn w:val="1"/>
    <w:link w:val="131"/>
    <w:qFormat/>
    <w:uiPriority w:val="0"/>
    <w:pPr>
      <w:snapToGrid w:val="0"/>
      <w:spacing w:line="540" w:lineRule="exact"/>
      <w:jc w:val="left"/>
    </w:pPr>
    <w:rPr>
      <w:rFonts w:ascii="楷体_GB2312" w:eastAsia="楷体_GB2312"/>
      <w:kern w:val="0"/>
      <w:sz w:val="28"/>
      <w:szCs w:val="24"/>
    </w:rPr>
  </w:style>
  <w:style w:type="paragraph" w:styleId="53">
    <w:name w:val="List Continue 5"/>
    <w:basedOn w:val="1"/>
    <w:qFormat/>
    <w:uiPriority w:val="0"/>
    <w:pPr>
      <w:spacing w:after="120" w:line="540" w:lineRule="exact"/>
      <w:ind w:left="2100" w:leftChars="1000"/>
    </w:pPr>
    <w:rPr>
      <w:rFonts w:ascii="楷体_GB2312" w:eastAsia="楷体_GB2312"/>
      <w:kern w:val="0"/>
      <w:sz w:val="28"/>
      <w:szCs w:val="24"/>
    </w:rPr>
  </w:style>
  <w:style w:type="paragraph" w:styleId="54">
    <w:name w:val="Balloon Text"/>
    <w:basedOn w:val="1"/>
    <w:link w:val="132"/>
    <w:unhideWhenUsed/>
    <w:qFormat/>
    <w:uiPriority w:val="0"/>
    <w:rPr>
      <w:kern w:val="0"/>
      <w:sz w:val="18"/>
      <w:szCs w:val="18"/>
    </w:rPr>
  </w:style>
  <w:style w:type="paragraph" w:styleId="55">
    <w:name w:val="footer"/>
    <w:basedOn w:val="1"/>
    <w:link w:val="133"/>
    <w:unhideWhenUsed/>
    <w:qFormat/>
    <w:uiPriority w:val="0"/>
    <w:pPr>
      <w:tabs>
        <w:tab w:val="center" w:pos="4153"/>
        <w:tab w:val="right" w:pos="8306"/>
      </w:tabs>
      <w:snapToGrid w:val="0"/>
      <w:jc w:val="left"/>
    </w:pPr>
    <w:rPr>
      <w:kern w:val="0"/>
      <w:sz w:val="18"/>
      <w:szCs w:val="18"/>
    </w:rPr>
  </w:style>
  <w:style w:type="paragraph" w:styleId="56">
    <w:name w:val="envelope return"/>
    <w:basedOn w:val="1"/>
    <w:qFormat/>
    <w:uiPriority w:val="0"/>
    <w:pPr>
      <w:snapToGrid w:val="0"/>
      <w:spacing w:line="540" w:lineRule="exact"/>
    </w:pPr>
    <w:rPr>
      <w:rFonts w:ascii="Arial" w:hAnsi="Arial" w:eastAsia="楷体_GB2312" w:cs="Arial"/>
      <w:kern w:val="0"/>
      <w:sz w:val="28"/>
      <w:szCs w:val="24"/>
    </w:rPr>
  </w:style>
  <w:style w:type="paragraph" w:styleId="57">
    <w:name w:val="header"/>
    <w:basedOn w:val="1"/>
    <w:link w:val="134"/>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58">
    <w:name w:val="Signature"/>
    <w:basedOn w:val="1"/>
    <w:link w:val="135"/>
    <w:qFormat/>
    <w:uiPriority w:val="0"/>
    <w:pPr>
      <w:spacing w:line="540" w:lineRule="exact"/>
      <w:ind w:left="100" w:leftChars="2100"/>
    </w:pPr>
    <w:rPr>
      <w:rFonts w:ascii="楷体_GB2312" w:eastAsia="楷体_GB2312"/>
      <w:kern w:val="0"/>
      <w:sz w:val="28"/>
      <w:szCs w:val="24"/>
    </w:rPr>
  </w:style>
  <w:style w:type="paragraph" w:styleId="59">
    <w:name w:val="toc 1"/>
    <w:basedOn w:val="1"/>
    <w:next w:val="1"/>
    <w:qFormat/>
    <w:uiPriority w:val="39"/>
    <w:pPr>
      <w:tabs>
        <w:tab w:val="right" w:leader="dot" w:pos="9061"/>
      </w:tabs>
      <w:spacing w:before="120" w:after="120" w:line="500" w:lineRule="exact"/>
      <w:jc w:val="left"/>
    </w:pPr>
    <w:rPr>
      <w:rFonts w:ascii="黑体" w:hAnsi="Calibri" w:eastAsia="黑体"/>
      <w:b/>
      <w:bCs/>
      <w:caps/>
      <w:szCs w:val="24"/>
    </w:rPr>
  </w:style>
  <w:style w:type="paragraph" w:styleId="60">
    <w:name w:val="List Continue 4"/>
    <w:basedOn w:val="1"/>
    <w:qFormat/>
    <w:uiPriority w:val="0"/>
    <w:pPr>
      <w:spacing w:after="120" w:line="540" w:lineRule="exact"/>
      <w:ind w:left="1680" w:leftChars="800"/>
    </w:pPr>
    <w:rPr>
      <w:rFonts w:ascii="楷体_GB2312" w:eastAsia="楷体_GB2312"/>
      <w:kern w:val="0"/>
      <w:sz w:val="28"/>
      <w:szCs w:val="24"/>
    </w:rPr>
  </w:style>
  <w:style w:type="paragraph" w:styleId="61">
    <w:name w:val="toc 4"/>
    <w:basedOn w:val="1"/>
    <w:next w:val="1"/>
    <w:unhideWhenUsed/>
    <w:qFormat/>
    <w:uiPriority w:val="0"/>
    <w:pPr>
      <w:ind w:left="720"/>
      <w:jc w:val="left"/>
    </w:pPr>
    <w:rPr>
      <w:rFonts w:ascii="Calibri" w:hAnsi="Calibri"/>
      <w:sz w:val="18"/>
      <w:szCs w:val="18"/>
    </w:rPr>
  </w:style>
  <w:style w:type="paragraph" w:styleId="62">
    <w:name w:val="index heading"/>
    <w:basedOn w:val="1"/>
    <w:next w:val="63"/>
    <w:qFormat/>
    <w:uiPriority w:val="0"/>
    <w:pPr>
      <w:spacing w:line="540" w:lineRule="exact"/>
    </w:pPr>
    <w:rPr>
      <w:rFonts w:ascii="Arial" w:hAnsi="Arial" w:eastAsia="楷体_GB2312" w:cs="Arial"/>
      <w:b/>
      <w:bCs/>
      <w:kern w:val="0"/>
      <w:sz w:val="28"/>
      <w:szCs w:val="24"/>
    </w:rPr>
  </w:style>
  <w:style w:type="paragraph" w:styleId="63">
    <w:name w:val="index 1"/>
    <w:basedOn w:val="1"/>
    <w:next w:val="1"/>
    <w:qFormat/>
    <w:uiPriority w:val="0"/>
    <w:pPr>
      <w:spacing w:line="460" w:lineRule="exact"/>
      <w:ind w:firstLine="200" w:firstLineChars="200"/>
    </w:pPr>
    <w:rPr>
      <w:rFonts w:ascii="CG Times" w:hAnsi="CG Times" w:eastAsia="宋体"/>
    </w:rPr>
  </w:style>
  <w:style w:type="paragraph" w:styleId="64">
    <w:name w:val="Subtitle"/>
    <w:basedOn w:val="1"/>
    <w:link w:val="136"/>
    <w:qFormat/>
    <w:uiPriority w:val="0"/>
    <w:pPr>
      <w:spacing w:before="240" w:after="60" w:line="312" w:lineRule="auto"/>
      <w:jc w:val="center"/>
      <w:outlineLvl w:val="1"/>
    </w:pPr>
    <w:rPr>
      <w:rFonts w:ascii="Arial" w:hAnsi="Arial" w:eastAsia="楷体_GB2312"/>
      <w:b/>
      <w:bCs/>
      <w:kern w:val="28"/>
      <w:sz w:val="32"/>
      <w:szCs w:val="32"/>
    </w:rPr>
  </w:style>
  <w:style w:type="paragraph" w:styleId="65">
    <w:name w:val="List Number 5"/>
    <w:basedOn w:val="1"/>
    <w:qFormat/>
    <w:uiPriority w:val="0"/>
    <w:pPr>
      <w:tabs>
        <w:tab w:val="left" w:pos="2040"/>
      </w:tabs>
      <w:spacing w:line="540" w:lineRule="exact"/>
      <w:ind w:left="2040" w:leftChars="800" w:hanging="360" w:hangingChars="200"/>
    </w:pPr>
    <w:rPr>
      <w:rFonts w:ascii="楷体_GB2312" w:eastAsia="楷体_GB2312"/>
      <w:kern w:val="0"/>
      <w:sz w:val="28"/>
      <w:szCs w:val="24"/>
    </w:rPr>
  </w:style>
  <w:style w:type="paragraph" w:styleId="66">
    <w:name w:val="List"/>
    <w:basedOn w:val="1"/>
    <w:qFormat/>
    <w:uiPriority w:val="0"/>
    <w:pPr>
      <w:spacing w:line="540" w:lineRule="exact"/>
      <w:ind w:left="200" w:hanging="200" w:hangingChars="200"/>
    </w:pPr>
    <w:rPr>
      <w:rFonts w:ascii="楷体_GB2312" w:eastAsia="楷体_GB2312"/>
      <w:kern w:val="0"/>
      <w:sz w:val="28"/>
      <w:szCs w:val="24"/>
    </w:rPr>
  </w:style>
  <w:style w:type="paragraph" w:styleId="67">
    <w:name w:val="footnote text"/>
    <w:basedOn w:val="1"/>
    <w:link w:val="137"/>
    <w:unhideWhenUsed/>
    <w:qFormat/>
    <w:uiPriority w:val="0"/>
    <w:pPr>
      <w:snapToGrid w:val="0"/>
      <w:jc w:val="left"/>
    </w:pPr>
    <w:rPr>
      <w:rFonts w:ascii="Calibri" w:hAnsi="Calibri" w:eastAsia="宋体"/>
      <w:kern w:val="0"/>
      <w:sz w:val="18"/>
      <w:szCs w:val="18"/>
    </w:rPr>
  </w:style>
  <w:style w:type="paragraph" w:styleId="68">
    <w:name w:val="toc 6"/>
    <w:basedOn w:val="1"/>
    <w:next w:val="1"/>
    <w:unhideWhenUsed/>
    <w:qFormat/>
    <w:uiPriority w:val="0"/>
    <w:pPr>
      <w:ind w:left="1200"/>
      <w:jc w:val="left"/>
    </w:pPr>
    <w:rPr>
      <w:rFonts w:ascii="Calibri" w:hAnsi="Calibri"/>
      <w:sz w:val="18"/>
      <w:szCs w:val="18"/>
    </w:rPr>
  </w:style>
  <w:style w:type="paragraph" w:styleId="69">
    <w:name w:val="List 5"/>
    <w:basedOn w:val="1"/>
    <w:qFormat/>
    <w:uiPriority w:val="0"/>
    <w:pPr>
      <w:spacing w:line="540" w:lineRule="exact"/>
      <w:ind w:left="100" w:leftChars="800" w:hanging="200" w:hangingChars="200"/>
    </w:pPr>
    <w:rPr>
      <w:rFonts w:ascii="楷体_GB2312" w:eastAsia="楷体_GB2312"/>
      <w:kern w:val="0"/>
      <w:sz w:val="28"/>
      <w:szCs w:val="24"/>
    </w:rPr>
  </w:style>
  <w:style w:type="paragraph" w:styleId="70">
    <w:name w:val="Body Text Indent 3"/>
    <w:basedOn w:val="1"/>
    <w:link w:val="138"/>
    <w:unhideWhenUsed/>
    <w:qFormat/>
    <w:uiPriority w:val="0"/>
    <w:pPr>
      <w:spacing w:after="120"/>
      <w:ind w:left="420" w:leftChars="200"/>
    </w:pPr>
    <w:rPr>
      <w:kern w:val="0"/>
      <w:sz w:val="16"/>
      <w:szCs w:val="16"/>
      <w:lang w:val="zh-CN"/>
    </w:rPr>
  </w:style>
  <w:style w:type="paragraph" w:styleId="71">
    <w:name w:val="index 7"/>
    <w:basedOn w:val="1"/>
    <w:next w:val="1"/>
    <w:qFormat/>
    <w:uiPriority w:val="0"/>
    <w:pPr>
      <w:spacing w:line="540" w:lineRule="exact"/>
      <w:ind w:left="1200" w:leftChars="1200"/>
    </w:pPr>
    <w:rPr>
      <w:rFonts w:ascii="楷体_GB2312" w:eastAsia="楷体_GB2312"/>
      <w:kern w:val="0"/>
      <w:sz w:val="28"/>
      <w:szCs w:val="24"/>
    </w:rPr>
  </w:style>
  <w:style w:type="paragraph" w:styleId="72">
    <w:name w:val="index 9"/>
    <w:basedOn w:val="1"/>
    <w:next w:val="1"/>
    <w:qFormat/>
    <w:uiPriority w:val="0"/>
    <w:pPr>
      <w:spacing w:line="540" w:lineRule="exact"/>
      <w:ind w:left="1600" w:leftChars="1600"/>
    </w:pPr>
    <w:rPr>
      <w:rFonts w:ascii="楷体_GB2312" w:eastAsia="楷体_GB2312"/>
      <w:kern w:val="0"/>
      <w:sz w:val="28"/>
      <w:szCs w:val="24"/>
    </w:rPr>
  </w:style>
  <w:style w:type="paragraph" w:styleId="73">
    <w:name w:val="table of figures"/>
    <w:basedOn w:val="1"/>
    <w:next w:val="1"/>
    <w:qFormat/>
    <w:uiPriority w:val="0"/>
    <w:pPr>
      <w:ind w:left="200" w:leftChars="200" w:hanging="200" w:hangingChars="200"/>
    </w:pPr>
    <w:rPr>
      <w:rFonts w:eastAsia="宋体"/>
      <w:sz w:val="21"/>
      <w:szCs w:val="24"/>
    </w:rPr>
  </w:style>
  <w:style w:type="paragraph" w:styleId="74">
    <w:name w:val="toc 2"/>
    <w:basedOn w:val="1"/>
    <w:next w:val="1"/>
    <w:unhideWhenUsed/>
    <w:qFormat/>
    <w:uiPriority w:val="39"/>
    <w:pPr>
      <w:ind w:left="240"/>
      <w:jc w:val="left"/>
    </w:pPr>
    <w:rPr>
      <w:rFonts w:ascii="Calibri" w:hAnsi="Calibri"/>
      <w:smallCaps/>
      <w:sz w:val="20"/>
    </w:rPr>
  </w:style>
  <w:style w:type="paragraph" w:styleId="75">
    <w:name w:val="toc 9"/>
    <w:basedOn w:val="1"/>
    <w:next w:val="1"/>
    <w:unhideWhenUsed/>
    <w:qFormat/>
    <w:uiPriority w:val="0"/>
    <w:pPr>
      <w:ind w:left="1920"/>
      <w:jc w:val="left"/>
    </w:pPr>
    <w:rPr>
      <w:rFonts w:ascii="Calibri" w:hAnsi="Calibri"/>
      <w:sz w:val="18"/>
      <w:szCs w:val="18"/>
    </w:rPr>
  </w:style>
  <w:style w:type="paragraph" w:styleId="76">
    <w:name w:val="Body Text 2"/>
    <w:basedOn w:val="1"/>
    <w:link w:val="139"/>
    <w:qFormat/>
    <w:uiPriority w:val="0"/>
    <w:pPr>
      <w:spacing w:after="120" w:line="480" w:lineRule="auto"/>
    </w:pPr>
    <w:rPr>
      <w:rFonts w:eastAsia="宋体"/>
      <w:kern w:val="0"/>
      <w:sz w:val="20"/>
      <w:szCs w:val="24"/>
    </w:rPr>
  </w:style>
  <w:style w:type="paragraph" w:styleId="77">
    <w:name w:val="List 4"/>
    <w:basedOn w:val="1"/>
    <w:qFormat/>
    <w:uiPriority w:val="0"/>
    <w:pPr>
      <w:spacing w:line="540" w:lineRule="exact"/>
      <w:ind w:left="100" w:leftChars="600" w:hanging="200" w:hangingChars="200"/>
    </w:pPr>
    <w:rPr>
      <w:rFonts w:ascii="楷体_GB2312" w:eastAsia="楷体_GB2312"/>
      <w:kern w:val="0"/>
      <w:sz w:val="28"/>
      <w:szCs w:val="24"/>
    </w:rPr>
  </w:style>
  <w:style w:type="paragraph" w:styleId="78">
    <w:name w:val="List Continue 2"/>
    <w:basedOn w:val="1"/>
    <w:qFormat/>
    <w:uiPriority w:val="0"/>
    <w:pPr>
      <w:spacing w:after="120" w:line="540" w:lineRule="exact"/>
      <w:ind w:left="840" w:leftChars="400"/>
    </w:pPr>
    <w:rPr>
      <w:rFonts w:ascii="楷体_GB2312" w:eastAsia="楷体_GB2312"/>
      <w:kern w:val="0"/>
      <w:sz w:val="28"/>
      <w:szCs w:val="24"/>
    </w:rPr>
  </w:style>
  <w:style w:type="paragraph" w:styleId="79">
    <w:name w:val="Message Header"/>
    <w:basedOn w:val="1"/>
    <w:link w:val="140"/>
    <w:qFormat/>
    <w:uiPriority w:val="0"/>
    <w:pPr>
      <w:pBdr>
        <w:top w:val="single" w:color="auto" w:sz="6" w:space="1"/>
        <w:left w:val="single" w:color="auto" w:sz="6" w:space="1"/>
        <w:bottom w:val="single" w:color="auto" w:sz="6" w:space="1"/>
        <w:right w:val="single" w:color="auto" w:sz="6" w:space="1"/>
      </w:pBdr>
      <w:shd w:val="pct20" w:color="auto" w:fill="auto"/>
      <w:spacing w:line="540" w:lineRule="exact"/>
      <w:ind w:left="1080" w:leftChars="500" w:hanging="1080" w:hangingChars="500"/>
    </w:pPr>
    <w:rPr>
      <w:rFonts w:ascii="Arial" w:hAnsi="Arial" w:eastAsia="楷体_GB2312"/>
      <w:kern w:val="0"/>
      <w:szCs w:val="24"/>
    </w:rPr>
  </w:style>
  <w:style w:type="paragraph" w:styleId="80">
    <w:name w:val="HTML Preformatted"/>
    <w:basedOn w:val="1"/>
    <w:link w:val="141"/>
    <w:qFormat/>
    <w:uiPriority w:val="0"/>
    <w:pPr>
      <w:spacing w:line="540" w:lineRule="exact"/>
    </w:pPr>
    <w:rPr>
      <w:rFonts w:ascii="Courier New" w:hAnsi="Courier New" w:eastAsia="楷体_GB2312"/>
      <w:kern w:val="0"/>
      <w:sz w:val="20"/>
    </w:rPr>
  </w:style>
  <w:style w:type="paragraph" w:styleId="81">
    <w:name w:val="Normal (Web)"/>
    <w:basedOn w:val="1"/>
    <w:qFormat/>
    <w:uiPriority w:val="0"/>
    <w:pPr>
      <w:widowControl/>
      <w:spacing w:before="100" w:beforeAutospacing="1" w:after="100" w:afterAutospacing="1" w:line="360" w:lineRule="auto"/>
      <w:jc w:val="left"/>
    </w:pPr>
    <w:rPr>
      <w:rFonts w:ascii="宋体" w:hAnsi="宋体" w:eastAsia="宋体" w:cs="宋体"/>
      <w:color w:val="000000"/>
      <w:kern w:val="0"/>
      <w:sz w:val="18"/>
      <w:szCs w:val="18"/>
    </w:rPr>
  </w:style>
  <w:style w:type="paragraph" w:styleId="82">
    <w:name w:val="List Continue 3"/>
    <w:basedOn w:val="1"/>
    <w:qFormat/>
    <w:uiPriority w:val="0"/>
    <w:pPr>
      <w:spacing w:after="120" w:line="540" w:lineRule="exact"/>
      <w:ind w:left="1260" w:leftChars="600"/>
    </w:pPr>
    <w:rPr>
      <w:rFonts w:ascii="楷体_GB2312" w:eastAsia="楷体_GB2312"/>
      <w:kern w:val="0"/>
      <w:sz w:val="28"/>
      <w:szCs w:val="24"/>
    </w:rPr>
  </w:style>
  <w:style w:type="paragraph" w:styleId="83">
    <w:name w:val="index 2"/>
    <w:basedOn w:val="1"/>
    <w:next w:val="1"/>
    <w:qFormat/>
    <w:uiPriority w:val="0"/>
    <w:pPr>
      <w:spacing w:line="540" w:lineRule="exact"/>
      <w:ind w:left="200" w:leftChars="200"/>
    </w:pPr>
    <w:rPr>
      <w:rFonts w:ascii="楷体_GB2312" w:eastAsia="楷体_GB2312"/>
      <w:kern w:val="0"/>
      <w:sz w:val="28"/>
      <w:szCs w:val="24"/>
    </w:rPr>
  </w:style>
  <w:style w:type="paragraph" w:styleId="84">
    <w:name w:val="Title"/>
    <w:basedOn w:val="1"/>
    <w:link w:val="142"/>
    <w:qFormat/>
    <w:uiPriority w:val="0"/>
    <w:pPr>
      <w:spacing w:before="240" w:after="60" w:line="360" w:lineRule="auto"/>
      <w:jc w:val="center"/>
      <w:outlineLvl w:val="0"/>
    </w:pPr>
    <w:rPr>
      <w:rFonts w:ascii="Arial" w:hAnsi="Arial" w:eastAsia="宋体"/>
      <w:b/>
      <w:bCs/>
      <w:kern w:val="0"/>
      <w:sz w:val="32"/>
      <w:szCs w:val="32"/>
    </w:rPr>
  </w:style>
  <w:style w:type="paragraph" w:styleId="85">
    <w:name w:val="annotation subject"/>
    <w:basedOn w:val="28"/>
    <w:next w:val="28"/>
    <w:link w:val="143"/>
    <w:unhideWhenUsed/>
    <w:qFormat/>
    <w:uiPriority w:val="0"/>
    <w:rPr>
      <w:b/>
      <w:bCs/>
    </w:rPr>
  </w:style>
  <w:style w:type="paragraph" w:styleId="86">
    <w:name w:val="Body Text First Indent"/>
    <w:basedOn w:val="34"/>
    <w:link w:val="144"/>
    <w:qFormat/>
    <w:uiPriority w:val="0"/>
    <w:pPr>
      <w:spacing w:after="0"/>
      <w:ind w:firstLine="599"/>
    </w:pPr>
    <w:rPr>
      <w:rFonts w:eastAsia="仿宋_GB2312"/>
      <w:sz w:val="28"/>
      <w:szCs w:val="20"/>
    </w:rPr>
  </w:style>
  <w:style w:type="paragraph" w:styleId="87">
    <w:name w:val="Body Text First Indent 2"/>
    <w:basedOn w:val="1"/>
    <w:link w:val="145"/>
    <w:qFormat/>
    <w:uiPriority w:val="0"/>
    <w:pPr>
      <w:spacing w:after="120" w:line="360" w:lineRule="auto"/>
      <w:ind w:left="420" w:leftChars="200" w:firstLine="420" w:firstLineChars="200"/>
    </w:pPr>
    <w:rPr>
      <w:rFonts w:eastAsia="宋体"/>
      <w:kern w:val="0"/>
      <w:szCs w:val="24"/>
      <w:lang w:val="zh-CN"/>
    </w:rPr>
  </w:style>
  <w:style w:type="table" w:styleId="89">
    <w:name w:val="Table Grid"/>
    <w:basedOn w:val="88"/>
    <w:qFormat/>
    <w:uiPriority w:val="59"/>
    <w:pPr>
      <w:widowControl w:val="0"/>
      <w:jc w:val="both"/>
    </w:pPr>
    <w:tblPr>
      <w:tblStyle w:val="8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1">
    <w:name w:val="Strong"/>
    <w:qFormat/>
    <w:uiPriority w:val="0"/>
    <w:rPr>
      <w:b/>
      <w:bCs/>
    </w:rPr>
  </w:style>
  <w:style w:type="character" w:styleId="92">
    <w:name w:val="endnote reference"/>
    <w:qFormat/>
    <w:uiPriority w:val="0"/>
    <w:rPr>
      <w:rFonts w:eastAsia="宋体"/>
      <w:kern w:val="2"/>
      <w:sz w:val="21"/>
      <w:szCs w:val="24"/>
      <w:vertAlign w:val="superscript"/>
      <w:lang w:val="en-US" w:eastAsia="zh-CN" w:bidi="ar-SA"/>
    </w:rPr>
  </w:style>
  <w:style w:type="character" w:styleId="93">
    <w:name w:val="page number"/>
    <w:basedOn w:val="90"/>
    <w:qFormat/>
    <w:uiPriority w:val="0"/>
  </w:style>
  <w:style w:type="character" w:styleId="94">
    <w:name w:val="FollowedHyperlink"/>
    <w:unhideWhenUsed/>
    <w:qFormat/>
    <w:uiPriority w:val="0"/>
    <w:rPr>
      <w:color w:val="800080"/>
      <w:u w:val="single"/>
    </w:rPr>
  </w:style>
  <w:style w:type="character" w:styleId="95">
    <w:name w:val="Emphasis"/>
    <w:qFormat/>
    <w:uiPriority w:val="0"/>
    <w:rPr>
      <w:color w:val="CC0000"/>
    </w:rPr>
  </w:style>
  <w:style w:type="character" w:styleId="96">
    <w:name w:val="line number"/>
    <w:qFormat/>
    <w:uiPriority w:val="0"/>
    <w:rPr>
      <w:rFonts w:eastAsia="宋体"/>
      <w:kern w:val="2"/>
      <w:sz w:val="21"/>
      <w:szCs w:val="24"/>
      <w:lang w:val="en-US" w:eastAsia="zh-CN" w:bidi="ar-SA"/>
    </w:rPr>
  </w:style>
  <w:style w:type="character" w:styleId="97">
    <w:name w:val="HTML Definition"/>
    <w:qFormat/>
    <w:uiPriority w:val="0"/>
    <w:rPr>
      <w:rFonts w:eastAsia="宋体"/>
      <w:i/>
      <w:iCs/>
      <w:kern w:val="2"/>
      <w:sz w:val="21"/>
      <w:szCs w:val="24"/>
      <w:lang w:val="en-US" w:eastAsia="zh-CN" w:bidi="ar-SA"/>
    </w:rPr>
  </w:style>
  <w:style w:type="character" w:styleId="98">
    <w:name w:val="HTML Typewriter"/>
    <w:qFormat/>
    <w:uiPriority w:val="0"/>
    <w:rPr>
      <w:rFonts w:ascii="Courier New" w:hAnsi="Courier New" w:eastAsia="宋体" w:cs="Courier New"/>
      <w:kern w:val="2"/>
      <w:sz w:val="20"/>
      <w:szCs w:val="20"/>
      <w:lang w:val="en-US" w:eastAsia="zh-CN" w:bidi="ar-SA"/>
    </w:rPr>
  </w:style>
  <w:style w:type="character" w:styleId="99">
    <w:name w:val="HTML Acronym"/>
    <w:qFormat/>
    <w:uiPriority w:val="0"/>
    <w:rPr>
      <w:rFonts w:eastAsia="宋体"/>
      <w:kern w:val="2"/>
      <w:sz w:val="21"/>
      <w:szCs w:val="24"/>
      <w:lang w:val="en-US" w:eastAsia="zh-CN" w:bidi="ar-SA"/>
    </w:rPr>
  </w:style>
  <w:style w:type="character" w:styleId="100">
    <w:name w:val="HTML Variable"/>
    <w:qFormat/>
    <w:uiPriority w:val="0"/>
    <w:rPr>
      <w:rFonts w:eastAsia="宋体"/>
      <w:i/>
      <w:iCs/>
      <w:kern w:val="2"/>
      <w:sz w:val="21"/>
      <w:szCs w:val="24"/>
      <w:lang w:val="en-US" w:eastAsia="zh-CN" w:bidi="ar-SA"/>
    </w:rPr>
  </w:style>
  <w:style w:type="character" w:styleId="101">
    <w:name w:val="Hyperlink"/>
    <w:unhideWhenUsed/>
    <w:qFormat/>
    <w:uiPriority w:val="99"/>
    <w:rPr>
      <w:color w:val="0000FF"/>
      <w:u w:val="single"/>
    </w:rPr>
  </w:style>
  <w:style w:type="character" w:styleId="102">
    <w:name w:val="HTML Code"/>
    <w:qFormat/>
    <w:uiPriority w:val="0"/>
    <w:rPr>
      <w:rFonts w:ascii="Courier New" w:hAnsi="Courier New" w:eastAsia="宋体" w:cs="Courier New"/>
      <w:kern w:val="2"/>
      <w:sz w:val="20"/>
      <w:szCs w:val="20"/>
      <w:lang w:val="en-US" w:eastAsia="zh-CN" w:bidi="ar-SA"/>
    </w:rPr>
  </w:style>
  <w:style w:type="character" w:styleId="103">
    <w:name w:val="annotation reference"/>
    <w:unhideWhenUsed/>
    <w:qFormat/>
    <w:uiPriority w:val="0"/>
    <w:rPr>
      <w:sz w:val="21"/>
      <w:szCs w:val="21"/>
    </w:rPr>
  </w:style>
  <w:style w:type="character" w:styleId="104">
    <w:name w:val="HTML Cite"/>
    <w:qFormat/>
    <w:uiPriority w:val="0"/>
    <w:rPr>
      <w:rFonts w:eastAsia="宋体"/>
      <w:i/>
      <w:iCs/>
      <w:kern w:val="2"/>
      <w:sz w:val="21"/>
      <w:szCs w:val="24"/>
      <w:lang w:val="en-US" w:eastAsia="zh-CN" w:bidi="ar-SA"/>
    </w:rPr>
  </w:style>
  <w:style w:type="character" w:styleId="105">
    <w:name w:val="footnote reference"/>
    <w:unhideWhenUsed/>
    <w:qFormat/>
    <w:uiPriority w:val="0"/>
    <w:rPr>
      <w:vertAlign w:val="superscript"/>
    </w:rPr>
  </w:style>
  <w:style w:type="character" w:styleId="106">
    <w:name w:val="HTML Keyboard"/>
    <w:qFormat/>
    <w:uiPriority w:val="0"/>
    <w:rPr>
      <w:rFonts w:ascii="Courier New" w:hAnsi="Courier New" w:eastAsia="宋体" w:cs="Courier New"/>
      <w:kern w:val="2"/>
      <w:sz w:val="20"/>
      <w:szCs w:val="20"/>
      <w:lang w:val="en-US" w:eastAsia="zh-CN" w:bidi="ar-SA"/>
    </w:rPr>
  </w:style>
  <w:style w:type="character" w:styleId="107">
    <w:name w:val="HTML Sample"/>
    <w:qFormat/>
    <w:uiPriority w:val="0"/>
    <w:rPr>
      <w:rFonts w:ascii="Courier New" w:hAnsi="Courier New" w:eastAsia="宋体" w:cs="Courier New"/>
      <w:kern w:val="2"/>
      <w:sz w:val="21"/>
      <w:szCs w:val="24"/>
      <w:lang w:val="en-US" w:eastAsia="zh-CN" w:bidi="ar-SA"/>
    </w:rPr>
  </w:style>
  <w:style w:type="character" w:customStyle="1" w:styleId="108">
    <w:name w:val="宏文本 Char"/>
    <w:link w:val="2"/>
    <w:qFormat/>
    <w:uiPriority w:val="0"/>
    <w:rPr>
      <w:rFonts w:ascii="Courier New" w:hAnsi="Courier New"/>
      <w:sz w:val="24"/>
      <w:szCs w:val="24"/>
      <w:lang w:bidi="ar-SA"/>
    </w:rPr>
  </w:style>
  <w:style w:type="character" w:customStyle="1" w:styleId="109">
    <w:name w:val="标题 1 Char1"/>
    <w:link w:val="3"/>
    <w:qFormat/>
    <w:uiPriority w:val="0"/>
    <w:rPr>
      <w:rFonts w:ascii="Times New Roman" w:hAnsi="Times New Roman" w:eastAsia="黑体" w:cs="Times New Roman"/>
      <w:b/>
      <w:bCs/>
      <w:color w:val="000000"/>
      <w:kern w:val="44"/>
      <w:sz w:val="32"/>
      <w:szCs w:val="32"/>
      <w:lang w:val="zh-CN"/>
    </w:rPr>
  </w:style>
  <w:style w:type="character" w:customStyle="1" w:styleId="110">
    <w:name w:val="标题 2 Char1"/>
    <w:link w:val="4"/>
    <w:qFormat/>
    <w:uiPriority w:val="0"/>
    <w:rPr>
      <w:rFonts w:ascii="Times New Roman" w:hAnsi="Times New Roman" w:eastAsia="楷体_GB2312" w:cs="Times New Roman"/>
      <w:b/>
      <w:bCs/>
      <w:spacing w:val="6"/>
      <w:sz w:val="30"/>
      <w:szCs w:val="30"/>
      <w:lang w:val="zh-CN" w:eastAsia="zh-CN"/>
    </w:rPr>
  </w:style>
  <w:style w:type="character" w:customStyle="1" w:styleId="111">
    <w:name w:val="标题 3 Char"/>
    <w:link w:val="5"/>
    <w:qFormat/>
    <w:uiPriority w:val="0"/>
    <w:rPr>
      <w:rFonts w:ascii="Times New Roman" w:hAnsi="Times New Roman" w:eastAsia="仿宋_GB2312" w:cs="Times New Roman"/>
      <w:b/>
      <w:spacing w:val="6"/>
      <w:kern w:val="0"/>
      <w:sz w:val="30"/>
      <w:szCs w:val="30"/>
    </w:rPr>
  </w:style>
  <w:style w:type="character" w:customStyle="1" w:styleId="112">
    <w:name w:val="标题 4 Char2"/>
    <w:link w:val="6"/>
    <w:qFormat/>
    <w:uiPriority w:val="0"/>
    <w:rPr>
      <w:rFonts w:ascii="黑体" w:hAnsi="Times New Roman" w:eastAsia="黑体" w:cs="Times New Roman"/>
      <w:b/>
      <w:bCs/>
      <w:sz w:val="24"/>
      <w:szCs w:val="28"/>
    </w:rPr>
  </w:style>
  <w:style w:type="character" w:customStyle="1" w:styleId="113">
    <w:name w:val="标题 5 Char"/>
    <w:link w:val="7"/>
    <w:qFormat/>
    <w:uiPriority w:val="0"/>
    <w:rPr>
      <w:rFonts w:ascii="Times New Roman" w:hAnsi="Times New Roman" w:eastAsia="华文中宋" w:cs="Times New Roman"/>
      <w:b/>
      <w:bCs/>
      <w:sz w:val="28"/>
      <w:szCs w:val="28"/>
    </w:rPr>
  </w:style>
  <w:style w:type="character" w:customStyle="1" w:styleId="114">
    <w:name w:val="标题 6 Char1"/>
    <w:link w:val="8"/>
    <w:qFormat/>
    <w:uiPriority w:val="0"/>
    <w:rPr>
      <w:rFonts w:ascii="黑体" w:hAnsi="Times New Roman" w:eastAsia="黑体" w:cs="Times New Roman"/>
      <w:b/>
      <w:bCs/>
      <w:sz w:val="24"/>
      <w:szCs w:val="24"/>
      <w:lang w:val="zh-CN" w:eastAsia="zh-CN"/>
    </w:rPr>
  </w:style>
  <w:style w:type="character" w:customStyle="1" w:styleId="115">
    <w:name w:val="标题 7 Char"/>
    <w:link w:val="9"/>
    <w:qFormat/>
    <w:uiPriority w:val="0"/>
    <w:rPr>
      <w:rFonts w:ascii="Times New Roman" w:hAnsi="Times New Roman" w:eastAsia="楷体_GB2312" w:cs="Times New Roman"/>
      <w:b/>
      <w:bCs/>
      <w:sz w:val="24"/>
      <w:szCs w:val="24"/>
      <w:lang w:val="zh-CN" w:eastAsia="zh-CN"/>
    </w:rPr>
  </w:style>
  <w:style w:type="character" w:customStyle="1" w:styleId="116">
    <w:name w:val="标题 8 Char"/>
    <w:link w:val="10"/>
    <w:qFormat/>
    <w:uiPriority w:val="0"/>
    <w:rPr>
      <w:rFonts w:ascii="Arial" w:hAnsi="Arial" w:eastAsia="黑体" w:cs="Times New Roman"/>
      <w:sz w:val="24"/>
      <w:szCs w:val="24"/>
      <w:lang w:val="zh-CN" w:eastAsia="zh-CN"/>
    </w:rPr>
  </w:style>
  <w:style w:type="character" w:customStyle="1" w:styleId="117">
    <w:name w:val="标题 9 Char1"/>
    <w:link w:val="11"/>
    <w:qFormat/>
    <w:uiPriority w:val="0"/>
    <w:rPr>
      <w:rFonts w:ascii="Arial" w:hAnsi="Arial" w:eastAsia="黑体" w:cs="Times New Roman"/>
      <w:szCs w:val="20"/>
    </w:rPr>
  </w:style>
  <w:style w:type="character" w:customStyle="1" w:styleId="118">
    <w:name w:val="注释标题 Char"/>
    <w:link w:val="16"/>
    <w:qFormat/>
    <w:uiPriority w:val="0"/>
    <w:rPr>
      <w:rFonts w:ascii="Times New Roman" w:hAnsi="Times New Roman" w:eastAsia="宋体" w:cs="Times New Roman"/>
      <w:szCs w:val="24"/>
    </w:rPr>
  </w:style>
  <w:style w:type="character" w:customStyle="1" w:styleId="119">
    <w:name w:val="电子邮件签名 Char"/>
    <w:link w:val="19"/>
    <w:qFormat/>
    <w:uiPriority w:val="0"/>
    <w:rPr>
      <w:rFonts w:ascii="楷体_GB2312" w:hAnsi="Times New Roman" w:eastAsia="楷体_GB2312" w:cs="Times New Roman"/>
      <w:kern w:val="0"/>
      <w:sz w:val="28"/>
      <w:szCs w:val="24"/>
    </w:rPr>
  </w:style>
  <w:style w:type="character" w:customStyle="1" w:styleId="120">
    <w:name w:val="文档结构图 Char"/>
    <w:link w:val="26"/>
    <w:qFormat/>
    <w:uiPriority w:val="0"/>
    <w:rPr>
      <w:rFonts w:ascii="Times New Roman" w:hAnsi="Times New Roman" w:eastAsia="华文中宋" w:cs="Times New Roman"/>
      <w:sz w:val="24"/>
      <w:szCs w:val="20"/>
      <w:shd w:val="clear" w:color="auto" w:fill="000080"/>
    </w:rPr>
  </w:style>
  <w:style w:type="character" w:customStyle="1" w:styleId="121">
    <w:name w:val="批注文字 Char"/>
    <w:link w:val="28"/>
    <w:qFormat/>
    <w:uiPriority w:val="0"/>
    <w:rPr>
      <w:rFonts w:ascii="Times New Roman" w:hAnsi="Times New Roman" w:eastAsia="华文中宋" w:cs="Times New Roman"/>
      <w:sz w:val="24"/>
      <w:szCs w:val="20"/>
    </w:rPr>
  </w:style>
  <w:style w:type="character" w:customStyle="1" w:styleId="122">
    <w:name w:val="称呼 Char"/>
    <w:link w:val="30"/>
    <w:qFormat/>
    <w:uiPriority w:val="0"/>
    <w:rPr>
      <w:rFonts w:ascii="楷体_GB2312" w:hAnsi="Times New Roman" w:eastAsia="楷体_GB2312" w:cs="Times New Roman"/>
      <w:kern w:val="0"/>
      <w:sz w:val="28"/>
      <w:szCs w:val="24"/>
    </w:rPr>
  </w:style>
  <w:style w:type="character" w:customStyle="1" w:styleId="123">
    <w:name w:val="正文文本 3 Char"/>
    <w:link w:val="31"/>
    <w:qFormat/>
    <w:uiPriority w:val="0"/>
    <w:rPr>
      <w:rFonts w:ascii="Times New Roman" w:hAnsi="Times New Roman" w:eastAsia="宋体" w:cs="Times New Roman"/>
      <w:sz w:val="16"/>
      <w:szCs w:val="16"/>
    </w:rPr>
  </w:style>
  <w:style w:type="character" w:customStyle="1" w:styleId="124">
    <w:name w:val="结束语 Char"/>
    <w:link w:val="32"/>
    <w:qFormat/>
    <w:uiPriority w:val="0"/>
    <w:rPr>
      <w:rFonts w:ascii="楷体_GB2312" w:hAnsi="Times New Roman" w:eastAsia="楷体_GB2312" w:cs="Times New Roman"/>
      <w:kern w:val="0"/>
      <w:sz w:val="28"/>
      <w:szCs w:val="24"/>
    </w:rPr>
  </w:style>
  <w:style w:type="character" w:customStyle="1" w:styleId="125">
    <w:name w:val="正文文本 Char"/>
    <w:link w:val="34"/>
    <w:qFormat/>
    <w:uiPriority w:val="0"/>
    <w:rPr>
      <w:rFonts w:ascii="Times New Roman" w:hAnsi="Times New Roman" w:eastAsia="宋体" w:cs="Times New Roman"/>
      <w:szCs w:val="24"/>
    </w:rPr>
  </w:style>
  <w:style w:type="character" w:customStyle="1" w:styleId="126">
    <w:name w:val="正文文本缩进 Char"/>
    <w:link w:val="35"/>
    <w:qFormat/>
    <w:uiPriority w:val="0"/>
    <w:rPr>
      <w:rFonts w:ascii="Times New Roman" w:hAnsi="Times New Roman" w:eastAsia="华文中宋" w:cs="Times New Roman"/>
      <w:kern w:val="0"/>
      <w:sz w:val="24"/>
      <w:szCs w:val="20"/>
      <w:lang w:val="zh-CN" w:eastAsia="zh-CN"/>
    </w:rPr>
  </w:style>
  <w:style w:type="character" w:customStyle="1" w:styleId="127">
    <w:name w:val="HTML 地址 Char"/>
    <w:link w:val="41"/>
    <w:qFormat/>
    <w:uiPriority w:val="0"/>
    <w:rPr>
      <w:rFonts w:ascii="楷体_GB2312" w:hAnsi="Times New Roman" w:eastAsia="楷体_GB2312" w:cs="Times New Roman"/>
      <w:i/>
      <w:iCs/>
      <w:kern w:val="0"/>
      <w:sz w:val="28"/>
      <w:szCs w:val="24"/>
    </w:rPr>
  </w:style>
  <w:style w:type="character" w:customStyle="1" w:styleId="128">
    <w:name w:val="纯文本 Char"/>
    <w:link w:val="45"/>
    <w:qFormat/>
    <w:uiPriority w:val="0"/>
    <w:rPr>
      <w:rFonts w:ascii="宋体" w:hAnsi="ISOCT" w:eastAsia="宋体" w:cs="Times New Roman"/>
      <w:szCs w:val="20"/>
    </w:rPr>
  </w:style>
  <w:style w:type="character" w:customStyle="1" w:styleId="129">
    <w:name w:val="日期 Char"/>
    <w:link w:val="50"/>
    <w:qFormat/>
    <w:uiPriority w:val="0"/>
    <w:rPr>
      <w:rFonts w:ascii="Calibri" w:hAnsi="Calibri" w:eastAsia="宋体" w:cs="Times New Roman"/>
    </w:rPr>
  </w:style>
  <w:style w:type="character" w:customStyle="1" w:styleId="130">
    <w:name w:val="正文文本缩进 2 Char1"/>
    <w:link w:val="51"/>
    <w:semiHidden/>
    <w:qFormat/>
    <w:uiPriority w:val="0"/>
    <w:rPr>
      <w:rFonts w:ascii="Times New Roman" w:hAnsi="Times New Roman" w:eastAsia="华文中宋" w:cs="Times New Roman"/>
      <w:sz w:val="24"/>
      <w:szCs w:val="20"/>
    </w:rPr>
  </w:style>
  <w:style w:type="character" w:customStyle="1" w:styleId="131">
    <w:name w:val="尾注文本 Char"/>
    <w:link w:val="52"/>
    <w:qFormat/>
    <w:uiPriority w:val="0"/>
    <w:rPr>
      <w:rFonts w:ascii="楷体_GB2312" w:hAnsi="Times New Roman" w:eastAsia="楷体_GB2312" w:cs="Times New Roman"/>
      <w:kern w:val="0"/>
      <w:sz w:val="28"/>
      <w:szCs w:val="24"/>
    </w:rPr>
  </w:style>
  <w:style w:type="character" w:customStyle="1" w:styleId="132">
    <w:name w:val="批注框文本 Char"/>
    <w:link w:val="54"/>
    <w:qFormat/>
    <w:uiPriority w:val="0"/>
    <w:rPr>
      <w:rFonts w:ascii="Times New Roman" w:hAnsi="Times New Roman" w:eastAsia="华文中宋" w:cs="Times New Roman"/>
      <w:sz w:val="18"/>
      <w:szCs w:val="18"/>
    </w:rPr>
  </w:style>
  <w:style w:type="character" w:customStyle="1" w:styleId="133">
    <w:name w:val="页脚 Char"/>
    <w:link w:val="55"/>
    <w:qFormat/>
    <w:uiPriority w:val="0"/>
    <w:rPr>
      <w:rFonts w:ascii="Times New Roman" w:hAnsi="Times New Roman" w:eastAsia="华文中宋" w:cs="Times New Roman"/>
      <w:sz w:val="18"/>
      <w:szCs w:val="18"/>
    </w:rPr>
  </w:style>
  <w:style w:type="character" w:customStyle="1" w:styleId="134">
    <w:name w:val="页眉 Char"/>
    <w:link w:val="57"/>
    <w:qFormat/>
    <w:uiPriority w:val="0"/>
    <w:rPr>
      <w:rFonts w:ascii="Times New Roman" w:hAnsi="Times New Roman" w:eastAsia="华文中宋" w:cs="Times New Roman"/>
      <w:sz w:val="18"/>
      <w:szCs w:val="18"/>
    </w:rPr>
  </w:style>
  <w:style w:type="character" w:customStyle="1" w:styleId="135">
    <w:name w:val="签名 Char"/>
    <w:link w:val="58"/>
    <w:qFormat/>
    <w:uiPriority w:val="0"/>
    <w:rPr>
      <w:rFonts w:ascii="楷体_GB2312" w:hAnsi="Times New Roman" w:eastAsia="楷体_GB2312" w:cs="Times New Roman"/>
      <w:kern w:val="0"/>
      <w:sz w:val="28"/>
      <w:szCs w:val="24"/>
    </w:rPr>
  </w:style>
  <w:style w:type="character" w:customStyle="1" w:styleId="136">
    <w:name w:val="副标题 Char"/>
    <w:link w:val="64"/>
    <w:qFormat/>
    <w:uiPriority w:val="0"/>
    <w:rPr>
      <w:rFonts w:ascii="Arial" w:hAnsi="Arial" w:eastAsia="楷体_GB2312" w:cs="Arial"/>
      <w:b/>
      <w:bCs/>
      <w:kern w:val="28"/>
      <w:sz w:val="32"/>
      <w:szCs w:val="32"/>
    </w:rPr>
  </w:style>
  <w:style w:type="character" w:customStyle="1" w:styleId="137">
    <w:name w:val="脚注文本 Char"/>
    <w:link w:val="67"/>
    <w:qFormat/>
    <w:uiPriority w:val="0"/>
    <w:rPr>
      <w:rFonts w:ascii="Calibri" w:hAnsi="Calibri" w:eastAsia="宋体" w:cs="Times New Roman"/>
      <w:sz w:val="18"/>
      <w:szCs w:val="18"/>
    </w:rPr>
  </w:style>
  <w:style w:type="character" w:customStyle="1" w:styleId="138">
    <w:name w:val="正文文本缩进 3 Char"/>
    <w:link w:val="70"/>
    <w:qFormat/>
    <w:uiPriority w:val="0"/>
    <w:rPr>
      <w:rFonts w:ascii="Times New Roman" w:hAnsi="Times New Roman" w:eastAsia="华文中宋" w:cs="Times New Roman"/>
      <w:sz w:val="16"/>
      <w:szCs w:val="16"/>
      <w:lang w:val="zh-CN" w:eastAsia="zh-CN"/>
    </w:rPr>
  </w:style>
  <w:style w:type="character" w:customStyle="1" w:styleId="139">
    <w:name w:val="正文文本 2 Char"/>
    <w:link w:val="76"/>
    <w:qFormat/>
    <w:uiPriority w:val="0"/>
    <w:rPr>
      <w:rFonts w:ascii="Times New Roman" w:hAnsi="Times New Roman" w:eastAsia="宋体" w:cs="Times New Roman"/>
      <w:szCs w:val="24"/>
    </w:rPr>
  </w:style>
  <w:style w:type="character" w:customStyle="1" w:styleId="140">
    <w:name w:val="信息标题 Char"/>
    <w:link w:val="79"/>
    <w:qFormat/>
    <w:uiPriority w:val="0"/>
    <w:rPr>
      <w:rFonts w:ascii="Arial" w:hAnsi="Arial" w:eastAsia="楷体_GB2312" w:cs="Arial"/>
      <w:kern w:val="0"/>
      <w:sz w:val="24"/>
      <w:szCs w:val="24"/>
      <w:shd w:val="pct20" w:color="auto" w:fill="auto"/>
    </w:rPr>
  </w:style>
  <w:style w:type="character" w:customStyle="1" w:styleId="141">
    <w:name w:val="HTML 预设格式 Char"/>
    <w:link w:val="80"/>
    <w:qFormat/>
    <w:uiPriority w:val="0"/>
    <w:rPr>
      <w:rFonts w:ascii="Courier New" w:hAnsi="Courier New" w:eastAsia="楷体_GB2312" w:cs="Courier New"/>
      <w:kern w:val="0"/>
      <w:sz w:val="20"/>
      <w:szCs w:val="20"/>
    </w:rPr>
  </w:style>
  <w:style w:type="character" w:customStyle="1" w:styleId="142">
    <w:name w:val="标题 Char"/>
    <w:link w:val="84"/>
    <w:qFormat/>
    <w:uiPriority w:val="0"/>
    <w:rPr>
      <w:rFonts w:ascii="Arial" w:hAnsi="Arial" w:eastAsia="宋体" w:cs="Arial"/>
      <w:b/>
      <w:bCs/>
      <w:sz w:val="32"/>
      <w:szCs w:val="32"/>
    </w:rPr>
  </w:style>
  <w:style w:type="character" w:customStyle="1" w:styleId="143">
    <w:name w:val="批注主题 Char"/>
    <w:link w:val="85"/>
    <w:qFormat/>
    <w:uiPriority w:val="0"/>
    <w:rPr>
      <w:rFonts w:ascii="Times New Roman" w:hAnsi="Times New Roman" w:eastAsia="华文中宋" w:cs="Times New Roman"/>
      <w:b/>
      <w:bCs/>
      <w:sz w:val="24"/>
      <w:szCs w:val="20"/>
    </w:rPr>
  </w:style>
  <w:style w:type="character" w:customStyle="1" w:styleId="144">
    <w:name w:val="正文首行缩进 Char"/>
    <w:link w:val="86"/>
    <w:qFormat/>
    <w:uiPriority w:val="0"/>
    <w:rPr>
      <w:rFonts w:ascii="Times New Roman" w:hAnsi="Times New Roman" w:eastAsia="仿宋_GB2312" w:cs="Times New Roman"/>
      <w:sz w:val="28"/>
      <w:szCs w:val="20"/>
    </w:rPr>
  </w:style>
  <w:style w:type="character" w:customStyle="1" w:styleId="145">
    <w:name w:val="正文首行缩进 2 Char"/>
    <w:link w:val="87"/>
    <w:qFormat/>
    <w:uiPriority w:val="0"/>
    <w:rPr>
      <w:rFonts w:ascii="Times New Roman" w:hAnsi="Times New Roman" w:eastAsia="宋体" w:cs="Times New Roman"/>
      <w:kern w:val="0"/>
      <w:sz w:val="24"/>
      <w:szCs w:val="24"/>
      <w:lang w:val="zh-CN" w:eastAsia="zh-CN"/>
    </w:rPr>
  </w:style>
  <w:style w:type="paragraph" w:customStyle="1" w:styleId="146">
    <w:name w:val="Char Char1"/>
    <w:basedOn w:val="1"/>
    <w:qFormat/>
    <w:uiPriority w:val="0"/>
    <w:pPr>
      <w:snapToGrid w:val="0"/>
      <w:spacing w:line="360" w:lineRule="auto"/>
    </w:pPr>
    <w:rPr>
      <w:rFonts w:eastAsia="宋体"/>
      <w:b/>
      <w:szCs w:val="24"/>
    </w:rPr>
  </w:style>
  <w:style w:type="paragraph" w:customStyle="1" w:styleId="147">
    <w:name w:val="样式2"/>
    <w:basedOn w:val="1"/>
    <w:qFormat/>
    <w:uiPriority w:val="0"/>
    <w:pPr>
      <w:tabs>
        <w:tab w:val="left" w:pos="0"/>
      </w:tabs>
      <w:spacing w:beforeLines="50" w:afterLines="50"/>
    </w:pPr>
    <w:rPr>
      <w:rFonts w:eastAsia="黑体"/>
      <w:b/>
      <w:color w:val="000000"/>
      <w:sz w:val="32"/>
    </w:rPr>
  </w:style>
  <w:style w:type="paragraph" w:customStyle="1" w:styleId="148">
    <w:name w:val="样式3"/>
    <w:basedOn w:val="1"/>
    <w:qFormat/>
    <w:uiPriority w:val="0"/>
    <w:pPr>
      <w:tabs>
        <w:tab w:val="left" w:pos="1980"/>
      </w:tabs>
      <w:spacing w:beforeLines="50" w:afterLines="50"/>
    </w:pPr>
    <w:rPr>
      <w:b/>
      <w:bCs/>
      <w:color w:val="000000"/>
      <w:sz w:val="30"/>
    </w:rPr>
  </w:style>
  <w:style w:type="paragraph" w:customStyle="1" w:styleId="149">
    <w:name w:val="样式4"/>
    <w:basedOn w:val="1"/>
    <w:qFormat/>
    <w:uiPriority w:val="0"/>
    <w:pPr>
      <w:tabs>
        <w:tab w:val="left" w:pos="1980"/>
      </w:tabs>
      <w:spacing w:beforeLines="50" w:afterLines="50"/>
    </w:pPr>
    <w:rPr>
      <w:rFonts w:ascii="Calibri" w:hAnsi="Calibri" w:eastAsia="楷体_GB2312"/>
      <w:color w:val="000000"/>
      <w:sz w:val="28"/>
    </w:rPr>
  </w:style>
  <w:style w:type="character" w:customStyle="1" w:styleId="150">
    <w:name w:val="样式4 Char3"/>
    <w:qFormat/>
    <w:uiPriority w:val="0"/>
    <w:rPr>
      <w:rFonts w:eastAsia="楷体_GB2312"/>
      <w:color w:val="000000"/>
      <w:kern w:val="2"/>
      <w:sz w:val="28"/>
      <w:lang w:val="en-US" w:eastAsia="zh-CN" w:bidi="ar-SA"/>
    </w:rPr>
  </w:style>
  <w:style w:type="paragraph" w:customStyle="1" w:styleId="151">
    <w:name w:val="样式5"/>
    <w:basedOn w:val="35"/>
    <w:qFormat/>
    <w:uiPriority w:val="0"/>
    <w:pPr>
      <w:tabs>
        <w:tab w:val="left" w:pos="1980"/>
      </w:tabs>
      <w:spacing w:after="0"/>
      <w:ind w:left="0" w:leftChars="0" w:firstLine="480" w:firstLineChars="200"/>
    </w:pPr>
    <w:rPr>
      <w:color w:val="000000"/>
    </w:rPr>
  </w:style>
  <w:style w:type="character" w:customStyle="1" w:styleId="152">
    <w:name w:val="正文文字缩进 Char Char Char2"/>
    <w:qFormat/>
    <w:uiPriority w:val="0"/>
    <w:rPr>
      <w:rFonts w:ascii="Times New Roman" w:hAnsi="Times New Roman" w:eastAsia="华文中宋" w:cs="Times New Roman"/>
      <w:sz w:val="24"/>
      <w:szCs w:val="20"/>
    </w:rPr>
  </w:style>
  <w:style w:type="paragraph" w:customStyle="1" w:styleId="153">
    <w:name w:val="样式6"/>
    <w:basedOn w:val="1"/>
    <w:qFormat/>
    <w:uiPriority w:val="0"/>
    <w:pPr>
      <w:jc w:val="center"/>
    </w:pPr>
    <w:rPr>
      <w:rFonts w:eastAsia="黑体"/>
    </w:rPr>
  </w:style>
  <w:style w:type="paragraph" w:customStyle="1" w:styleId="154">
    <w:name w:val="简本正文"/>
    <w:basedOn w:val="155"/>
    <w:qFormat/>
    <w:uiPriority w:val="0"/>
    <w:pPr>
      <w:spacing w:line="540" w:lineRule="exact"/>
    </w:pPr>
    <w:rPr>
      <w:rFonts w:eastAsia="仿宋_GB2312"/>
      <w:spacing w:val="4"/>
    </w:rPr>
  </w:style>
  <w:style w:type="paragraph" w:customStyle="1" w:styleId="155">
    <w:name w:val="报告正文"/>
    <w:basedOn w:val="21"/>
    <w:qFormat/>
    <w:uiPriority w:val="0"/>
    <w:pPr>
      <w:spacing w:line="300" w:lineRule="auto"/>
      <w:ind w:firstLine="200"/>
    </w:pPr>
    <w:rPr>
      <w:rFonts w:ascii="Times New Roman" w:hAnsi="Times New Roman"/>
      <w:sz w:val="28"/>
      <w:szCs w:val="20"/>
    </w:rPr>
  </w:style>
  <w:style w:type="paragraph" w:customStyle="1" w:styleId="156">
    <w:name w:val="样式9"/>
    <w:basedOn w:val="1"/>
    <w:qFormat/>
    <w:uiPriority w:val="0"/>
    <w:pPr>
      <w:spacing w:line="360" w:lineRule="auto"/>
      <w:ind w:firstLine="538" w:firstLineChars="200"/>
    </w:pPr>
    <w:rPr>
      <w:rFonts w:eastAsia="仿宋_GB2312"/>
      <w:spacing w:val="6"/>
      <w:kern w:val="0"/>
      <w:sz w:val="28"/>
      <w:szCs w:val="24"/>
    </w:rPr>
  </w:style>
  <w:style w:type="paragraph" w:customStyle="1" w:styleId="157">
    <w:name w:val="样式1"/>
    <w:basedOn w:val="1"/>
    <w:qFormat/>
    <w:uiPriority w:val="0"/>
    <w:pPr>
      <w:tabs>
        <w:tab w:val="left" w:pos="0"/>
      </w:tabs>
      <w:spacing w:beforeLines="50" w:afterLines="50"/>
    </w:pPr>
    <w:rPr>
      <w:rFonts w:eastAsia="黑体"/>
      <w:b/>
      <w:sz w:val="32"/>
    </w:rPr>
  </w:style>
  <w:style w:type="paragraph" w:customStyle="1" w:styleId="158">
    <w:name w:val="样式 样式 首行缩进:  0.85 厘米1 Char + Times New Roman 首行缩进:  2 字符"/>
    <w:basedOn w:val="1"/>
    <w:qFormat/>
    <w:uiPriority w:val="0"/>
    <w:pPr>
      <w:spacing w:line="480" w:lineRule="exact"/>
      <w:ind w:firstLine="200" w:firstLineChars="200"/>
    </w:pPr>
    <w:rPr>
      <w:rFonts w:cs="宋体"/>
    </w:rPr>
  </w:style>
  <w:style w:type="paragraph" w:customStyle="1" w:styleId="159">
    <w:name w:val="Char Char Char Char Char Char Char Char Char Char Char Char Char"/>
    <w:basedOn w:val="1"/>
    <w:qFormat/>
    <w:uiPriority w:val="0"/>
    <w:pPr>
      <w:spacing w:line="360" w:lineRule="auto"/>
      <w:ind w:firstLine="200" w:firstLineChars="200"/>
    </w:pPr>
    <w:rPr>
      <w:rFonts w:ascii="宋体" w:hAnsi="宋体" w:eastAsia="宋体" w:cs="宋体"/>
      <w:szCs w:val="24"/>
    </w:rPr>
  </w:style>
  <w:style w:type="paragraph" w:customStyle="1" w:styleId="160">
    <w:name w:val="Char Char Char Char Char Char1 Char Char Char Char Char Char Char Char Char Char"/>
    <w:basedOn w:val="1"/>
    <w:qFormat/>
    <w:uiPriority w:val="0"/>
    <w:pPr>
      <w:spacing w:line="480" w:lineRule="exact"/>
      <w:ind w:firstLine="480" w:firstLineChars="200"/>
    </w:pPr>
    <w:rPr>
      <w:szCs w:val="21"/>
    </w:rPr>
  </w:style>
  <w:style w:type="paragraph" w:customStyle="1" w:styleId="161">
    <w:name w:val="1.1.1"/>
    <w:basedOn w:val="1"/>
    <w:qFormat/>
    <w:uiPriority w:val="0"/>
    <w:pPr>
      <w:spacing w:beforeLines="50" w:afterLines="50" w:line="480" w:lineRule="exact"/>
      <w:ind w:firstLine="560" w:firstLineChars="200"/>
    </w:pPr>
    <w:rPr>
      <w:rFonts w:eastAsia="楷体_GB2312"/>
      <w:bCs/>
      <w:sz w:val="28"/>
      <w:szCs w:val="24"/>
    </w:rPr>
  </w:style>
  <w:style w:type="paragraph" w:customStyle="1" w:styleId="162">
    <w:name w:val="1.1.1.1"/>
    <w:basedOn w:val="1"/>
    <w:qFormat/>
    <w:uiPriority w:val="0"/>
    <w:pPr>
      <w:spacing w:beforeLines="50" w:afterLines="50" w:line="480" w:lineRule="exact"/>
      <w:ind w:firstLine="480" w:firstLineChars="200"/>
    </w:pPr>
    <w:rPr>
      <w:rFonts w:ascii="华文中宋" w:hAnsi="华文中宋" w:eastAsia="宋体"/>
      <w:bCs/>
      <w:szCs w:val="24"/>
    </w:rPr>
  </w:style>
  <w:style w:type="paragraph" w:customStyle="1" w:styleId="163">
    <w:name w:val="Char Char Char Char Char Char Char Char Char Char Char Char Char Char Char Char Char Char Char"/>
    <w:basedOn w:val="1"/>
    <w:qFormat/>
    <w:uiPriority w:val="0"/>
    <w:rPr>
      <w:rFonts w:eastAsia="宋体"/>
      <w:sz w:val="21"/>
      <w:szCs w:val="24"/>
    </w:rPr>
  </w:style>
  <w:style w:type="paragraph" w:customStyle="1" w:styleId="164">
    <w:name w:val="表头"/>
    <w:basedOn w:val="6"/>
    <w:qFormat/>
    <w:uiPriority w:val="0"/>
    <w:pPr>
      <w:spacing w:line="300" w:lineRule="exact"/>
    </w:pPr>
    <w:rPr>
      <w:lang w:val="zh-CN"/>
    </w:rPr>
  </w:style>
  <w:style w:type="character" w:customStyle="1" w:styleId="165">
    <w:name w:val="第七层条 Char Char1"/>
    <w:qFormat/>
    <w:uiPriority w:val="0"/>
    <w:rPr>
      <w:rFonts w:ascii="Arial" w:hAnsi="Arial" w:eastAsia="黑体"/>
      <w:kern w:val="2"/>
      <w:sz w:val="24"/>
      <w:szCs w:val="24"/>
    </w:rPr>
  </w:style>
  <w:style w:type="paragraph" w:customStyle="1" w:styleId="166">
    <w:name w:val="表文"/>
    <w:basedOn w:val="1"/>
    <w:qFormat/>
    <w:uiPriority w:val="0"/>
    <w:pPr>
      <w:spacing w:line="400" w:lineRule="exact"/>
    </w:pPr>
    <w:rPr>
      <w:rFonts w:eastAsia="宋体"/>
      <w:sz w:val="21"/>
      <w:szCs w:val="24"/>
    </w:rPr>
  </w:style>
  <w:style w:type="paragraph" w:customStyle="1" w:styleId="167">
    <w:name w:val="目录1"/>
    <w:basedOn w:val="1"/>
    <w:next w:val="1"/>
    <w:qFormat/>
    <w:uiPriority w:val="0"/>
    <w:pPr>
      <w:tabs>
        <w:tab w:val="left" w:pos="480"/>
      </w:tabs>
      <w:adjustRightInd w:val="0"/>
      <w:snapToGrid w:val="0"/>
      <w:spacing w:line="480" w:lineRule="auto"/>
      <w:ind w:left="480" w:hanging="480"/>
      <w:jc w:val="left"/>
    </w:pPr>
    <w:rPr>
      <w:rFonts w:ascii="宋体" w:eastAsia="宋体"/>
      <w:b/>
      <w:bCs/>
      <w:sz w:val="32"/>
      <w:szCs w:val="24"/>
    </w:rPr>
  </w:style>
  <w:style w:type="paragraph" w:customStyle="1" w:styleId="168">
    <w:name w:val="目录2"/>
    <w:basedOn w:val="1"/>
    <w:qFormat/>
    <w:uiPriority w:val="0"/>
    <w:pPr>
      <w:tabs>
        <w:tab w:val="left" w:pos="480"/>
      </w:tabs>
      <w:adjustRightInd w:val="0"/>
      <w:snapToGrid w:val="0"/>
      <w:spacing w:beforeLines="50" w:line="420" w:lineRule="auto"/>
      <w:ind w:left="480" w:hanging="480"/>
    </w:pPr>
    <w:rPr>
      <w:rFonts w:ascii="宋体" w:eastAsia="宋体"/>
      <w:b/>
      <w:sz w:val="28"/>
      <w:szCs w:val="24"/>
    </w:rPr>
  </w:style>
  <w:style w:type="paragraph" w:customStyle="1" w:styleId="169">
    <w:name w:val="目录3"/>
    <w:basedOn w:val="1"/>
    <w:qFormat/>
    <w:uiPriority w:val="0"/>
    <w:pPr>
      <w:tabs>
        <w:tab w:val="left" w:pos="720"/>
      </w:tabs>
      <w:adjustRightInd w:val="0"/>
      <w:snapToGrid w:val="0"/>
      <w:spacing w:beforeLines="50" w:line="360" w:lineRule="auto"/>
      <w:ind w:left="720" w:hanging="720"/>
    </w:pPr>
    <w:rPr>
      <w:rFonts w:ascii="宋体" w:eastAsia="宋体"/>
      <w:szCs w:val="24"/>
    </w:rPr>
  </w:style>
  <w:style w:type="paragraph" w:customStyle="1" w:styleId="170">
    <w:name w:val="目录4"/>
    <w:basedOn w:val="1"/>
    <w:qFormat/>
    <w:uiPriority w:val="0"/>
    <w:pPr>
      <w:tabs>
        <w:tab w:val="left" w:pos="1080"/>
      </w:tabs>
      <w:adjustRightInd w:val="0"/>
      <w:snapToGrid w:val="0"/>
      <w:spacing w:line="360" w:lineRule="auto"/>
      <w:ind w:left="720" w:hanging="720"/>
    </w:pPr>
    <w:rPr>
      <w:rFonts w:ascii="宋体" w:eastAsia="宋体"/>
      <w:szCs w:val="24"/>
    </w:rPr>
  </w:style>
  <w:style w:type="paragraph" w:customStyle="1" w:styleId="171">
    <w:name w:val="样式 样式4 + 五号 首行缩进:  2 字符"/>
    <w:basedOn w:val="149"/>
    <w:qFormat/>
    <w:uiPriority w:val="0"/>
    <w:pPr>
      <w:tabs>
        <w:tab w:val="clear" w:pos="1980"/>
      </w:tabs>
      <w:spacing w:beforeLines="0" w:afterLines="0"/>
      <w:ind w:firstLine="420" w:firstLineChars="200"/>
    </w:pPr>
    <w:rPr>
      <w:rFonts w:eastAsia="华文中宋" w:cs="宋体"/>
      <w:color w:val="auto"/>
      <w:sz w:val="21"/>
    </w:rPr>
  </w:style>
  <w:style w:type="paragraph" w:customStyle="1" w:styleId="172">
    <w:name w:val="表号"/>
    <w:basedOn w:val="1"/>
    <w:qFormat/>
    <w:uiPriority w:val="0"/>
    <w:pPr>
      <w:spacing w:line="300" w:lineRule="exact"/>
      <w:ind w:firstLine="360" w:firstLineChars="200"/>
      <w:jc w:val="right"/>
    </w:pPr>
    <w:rPr>
      <w:rFonts w:eastAsia="宋体"/>
      <w:bCs/>
      <w:kern w:val="0"/>
      <w:sz w:val="18"/>
      <w:szCs w:val="18"/>
    </w:rPr>
  </w:style>
  <w:style w:type="paragraph" w:customStyle="1" w:styleId="173">
    <w:name w:val="样式14"/>
    <w:basedOn w:val="147"/>
    <w:qFormat/>
    <w:uiPriority w:val="0"/>
    <w:pPr>
      <w:tabs>
        <w:tab w:val="clear" w:pos="0"/>
      </w:tabs>
      <w:spacing w:beforeLines="0" w:afterLines="0"/>
      <w:jc w:val="center"/>
    </w:pPr>
    <w:rPr>
      <w:b w:val="0"/>
      <w:color w:val="auto"/>
      <w:sz w:val="24"/>
      <w:szCs w:val="24"/>
    </w:rPr>
  </w:style>
  <w:style w:type="paragraph" w:customStyle="1" w:styleId="174">
    <w:name w:val="样式16"/>
    <w:basedOn w:val="148"/>
    <w:qFormat/>
    <w:uiPriority w:val="0"/>
    <w:pPr>
      <w:tabs>
        <w:tab w:val="clear" w:pos="1980"/>
      </w:tabs>
      <w:spacing w:beforeLines="0" w:afterLines="0"/>
      <w:ind w:firstLine="415" w:firstLineChars="200"/>
    </w:pPr>
    <w:rPr>
      <w:b w:val="0"/>
      <w:bCs w:val="0"/>
      <w:color w:val="auto"/>
      <w:sz w:val="21"/>
      <w:szCs w:val="21"/>
    </w:rPr>
  </w:style>
  <w:style w:type="paragraph" w:customStyle="1" w:styleId="175">
    <w:name w:val="Char Char Char Char Char Char"/>
    <w:basedOn w:val="1"/>
    <w:qFormat/>
    <w:uiPriority w:val="0"/>
    <w:pPr>
      <w:snapToGrid w:val="0"/>
      <w:spacing w:line="440" w:lineRule="exact"/>
      <w:ind w:firstLine="200" w:firstLineChars="200"/>
    </w:pPr>
    <w:rPr>
      <w:rFonts w:eastAsia="宋体"/>
      <w:szCs w:val="24"/>
    </w:rPr>
  </w:style>
  <w:style w:type="paragraph" w:customStyle="1" w:styleId="176">
    <w:name w:val="样式lw"/>
    <w:basedOn w:val="1"/>
    <w:qFormat/>
    <w:uiPriority w:val="0"/>
    <w:pPr>
      <w:spacing w:line="480" w:lineRule="exact"/>
      <w:ind w:firstLine="480" w:firstLineChars="200"/>
    </w:pPr>
    <w:rPr>
      <w:rFonts w:ascii="Calibri" w:hAnsi="Calibri" w:cs="宋体"/>
      <w:szCs w:val="24"/>
    </w:rPr>
  </w:style>
  <w:style w:type="character" w:customStyle="1" w:styleId="177">
    <w:name w:val="样式lw Char"/>
    <w:qFormat/>
    <w:uiPriority w:val="0"/>
    <w:rPr>
      <w:rFonts w:eastAsia="华文中宋" w:cs="宋体"/>
      <w:kern w:val="2"/>
      <w:sz w:val="24"/>
      <w:szCs w:val="24"/>
      <w:lang w:val="en-US" w:eastAsia="zh-CN" w:bidi="ar-SA"/>
    </w:rPr>
  </w:style>
  <w:style w:type="paragraph" w:customStyle="1" w:styleId="178">
    <w:name w:val="样式 首行缩进:  2 字符"/>
    <w:basedOn w:val="1"/>
    <w:qFormat/>
    <w:uiPriority w:val="0"/>
    <w:pPr>
      <w:spacing w:line="480" w:lineRule="exact"/>
      <w:ind w:firstLine="200" w:firstLineChars="200"/>
    </w:pPr>
    <w:rPr>
      <w:rFonts w:ascii="Calibri" w:hAnsi="Calibri" w:cs="宋体"/>
      <w:szCs w:val="24"/>
    </w:rPr>
  </w:style>
  <w:style w:type="character" w:customStyle="1" w:styleId="179">
    <w:name w:val="样式 首行缩进:  2 字符 Char2"/>
    <w:qFormat/>
    <w:uiPriority w:val="0"/>
    <w:rPr>
      <w:rFonts w:eastAsia="华文中宋" w:cs="宋体"/>
      <w:kern w:val="2"/>
      <w:sz w:val="24"/>
      <w:szCs w:val="24"/>
      <w:lang w:val="en-US" w:eastAsia="zh-CN" w:bidi="ar-SA"/>
    </w:rPr>
  </w:style>
  <w:style w:type="paragraph" w:customStyle="1" w:styleId="180">
    <w:name w:val="样式10"/>
    <w:basedOn w:val="1"/>
    <w:qFormat/>
    <w:uiPriority w:val="0"/>
    <w:pPr>
      <w:spacing w:beforeLines="50" w:afterLines="50"/>
      <w:outlineLvl w:val="0"/>
    </w:pPr>
    <w:rPr>
      <w:rFonts w:eastAsia="黑体"/>
      <w:sz w:val="28"/>
      <w:szCs w:val="24"/>
    </w:rPr>
  </w:style>
  <w:style w:type="paragraph" w:customStyle="1" w:styleId="181">
    <w:name w:val="表题"/>
    <w:basedOn w:val="1"/>
    <w:qFormat/>
    <w:uiPriority w:val="0"/>
    <w:pPr>
      <w:spacing w:beforeLines="50" w:afterLines="50" w:line="500" w:lineRule="exact"/>
      <w:ind w:firstLine="200" w:firstLineChars="200"/>
      <w:jc w:val="center"/>
    </w:pPr>
    <w:rPr>
      <w:rFonts w:eastAsia="黑体"/>
      <w:b/>
      <w:sz w:val="28"/>
    </w:rPr>
  </w:style>
  <w:style w:type="paragraph" w:customStyle="1" w:styleId="182">
    <w:name w:val="表格"/>
    <w:basedOn w:val="1"/>
    <w:next w:val="1"/>
    <w:qFormat/>
    <w:uiPriority w:val="0"/>
    <w:rPr>
      <w:rFonts w:eastAsia="楷体"/>
      <w:kern w:val="0"/>
      <w:sz w:val="18"/>
      <w:szCs w:val="22"/>
    </w:rPr>
  </w:style>
  <w:style w:type="character" w:customStyle="1" w:styleId="183">
    <w:name w:val="标题一 Char"/>
    <w:qFormat/>
    <w:uiPriority w:val="0"/>
    <w:rPr>
      <w:rFonts w:ascii="Times New Roman" w:hAnsi="Times New Roman" w:eastAsia="华文中宋"/>
      <w:b/>
      <w:bCs/>
      <w:kern w:val="44"/>
      <w:sz w:val="44"/>
      <w:szCs w:val="44"/>
    </w:rPr>
  </w:style>
  <w:style w:type="character" w:customStyle="1" w:styleId="184">
    <w:name w:val="正文文字缩进 3 Char Char Char Char Char Char Char Char Char Char Char Char Char Char Char Char Char Char Char Char Char Char Char Char Char Char Char Char Char Char Char Char Char Char Char Char Char Char2"/>
    <w:qFormat/>
    <w:uiPriority w:val="0"/>
    <w:rPr>
      <w:rFonts w:ascii="Times New Roman" w:hAnsi="Times New Roman" w:eastAsia="华文中宋"/>
      <w:kern w:val="2"/>
      <w:sz w:val="16"/>
      <w:szCs w:val="16"/>
    </w:rPr>
  </w:style>
  <w:style w:type="character" w:customStyle="1" w:styleId="185">
    <w:name w:val="Char Char11"/>
    <w:qFormat/>
    <w:uiPriority w:val="0"/>
    <w:rPr>
      <w:rFonts w:ascii="Cambria" w:hAnsi="Cambria" w:eastAsia="宋体" w:cs="Times New Roman"/>
      <w:b/>
      <w:bCs/>
      <w:kern w:val="2"/>
      <w:sz w:val="24"/>
      <w:szCs w:val="24"/>
    </w:rPr>
  </w:style>
  <w:style w:type="character" w:customStyle="1" w:styleId="186">
    <w:name w:val="Char Char10"/>
    <w:qFormat/>
    <w:uiPriority w:val="0"/>
    <w:rPr>
      <w:rFonts w:ascii="Times New Roman" w:hAnsi="Times New Roman" w:eastAsia="楷体_GB2312"/>
      <w:b/>
      <w:bCs/>
      <w:kern w:val="2"/>
      <w:sz w:val="24"/>
      <w:szCs w:val="24"/>
    </w:rPr>
  </w:style>
  <w:style w:type="character" w:customStyle="1" w:styleId="187">
    <w:name w:val="标题2 Char"/>
    <w:qFormat/>
    <w:uiPriority w:val="0"/>
    <w:rPr>
      <w:rFonts w:ascii="Arial" w:hAnsi="Arial" w:eastAsia="黑体"/>
      <w:b/>
      <w:bCs/>
      <w:kern w:val="2"/>
      <w:sz w:val="32"/>
      <w:szCs w:val="32"/>
    </w:rPr>
  </w:style>
  <w:style w:type="paragraph" w:customStyle="1" w:styleId="188">
    <w:name w:val="样式 首行缩进:  0.85 厘米"/>
    <w:basedOn w:val="1"/>
    <w:qFormat/>
    <w:uiPriority w:val="0"/>
    <w:pPr>
      <w:spacing w:line="480" w:lineRule="exact"/>
      <w:ind w:firstLine="482"/>
    </w:pPr>
    <w:rPr>
      <w:rFonts w:eastAsia="宋体" w:cs="宋体"/>
    </w:rPr>
  </w:style>
  <w:style w:type="paragraph" w:customStyle="1" w:styleId="189">
    <w:name w:val="Char"/>
    <w:basedOn w:val="3"/>
    <w:qFormat/>
    <w:uiPriority w:val="0"/>
    <w:pPr>
      <w:snapToGrid w:val="0"/>
      <w:spacing w:before="240" w:line="348" w:lineRule="auto"/>
    </w:pPr>
    <w:rPr>
      <w:rFonts w:ascii="Tahoma" w:hAnsi="Tahoma" w:eastAsia="宋体"/>
      <w:bCs w:val="0"/>
      <w:kern w:val="2"/>
      <w:sz w:val="24"/>
      <w:szCs w:val="20"/>
    </w:rPr>
  </w:style>
  <w:style w:type="character" w:customStyle="1" w:styleId="190">
    <w:name w:val="样式 宋体 小四 黑色 Char Char2"/>
    <w:qFormat/>
    <w:uiPriority w:val="0"/>
    <w:rPr>
      <w:rFonts w:ascii="Times New Roman" w:hAnsi="Times New Roman" w:eastAsia="华文中宋"/>
      <w:kern w:val="2"/>
      <w:sz w:val="18"/>
      <w:szCs w:val="18"/>
    </w:rPr>
  </w:style>
  <w:style w:type="character" w:customStyle="1" w:styleId="191">
    <w:name w:val="Char Char7"/>
    <w:qFormat/>
    <w:uiPriority w:val="0"/>
    <w:rPr>
      <w:rFonts w:ascii="Times New Roman" w:hAnsi="Times New Roman" w:eastAsia="华文中宋"/>
      <w:kern w:val="2"/>
      <w:sz w:val="18"/>
      <w:szCs w:val="18"/>
    </w:rPr>
  </w:style>
  <w:style w:type="character" w:customStyle="1" w:styleId="192">
    <w:name w:val="Char Char6"/>
    <w:qFormat/>
    <w:uiPriority w:val="0"/>
    <w:rPr>
      <w:rFonts w:ascii="Times New Roman" w:hAnsi="Times New Roman" w:eastAsia="华文中宋"/>
      <w:kern w:val="2"/>
      <w:sz w:val="18"/>
      <w:szCs w:val="18"/>
    </w:rPr>
  </w:style>
  <w:style w:type="character" w:customStyle="1" w:styleId="193">
    <w:name w:val="标题 3 Char Char4"/>
    <w:qFormat/>
    <w:uiPriority w:val="0"/>
    <w:rPr>
      <w:rFonts w:ascii="Times New Roman" w:hAnsi="Times New Roman" w:eastAsia="华文中宋"/>
      <w:b/>
      <w:bCs/>
      <w:kern w:val="2"/>
      <w:sz w:val="32"/>
      <w:szCs w:val="32"/>
    </w:rPr>
  </w:style>
  <w:style w:type="character" w:customStyle="1" w:styleId="194">
    <w:name w:val="款标题1.1.1.1 Char2"/>
    <w:qFormat/>
    <w:uiPriority w:val="0"/>
    <w:rPr>
      <w:rFonts w:ascii="Cambria" w:hAnsi="Cambria" w:eastAsia="宋体" w:cs="Times New Roman"/>
      <w:b/>
      <w:bCs/>
      <w:kern w:val="2"/>
      <w:sz w:val="28"/>
      <w:szCs w:val="28"/>
    </w:rPr>
  </w:style>
  <w:style w:type="character" w:customStyle="1" w:styleId="195">
    <w:name w:val="Char Char12"/>
    <w:qFormat/>
    <w:uiPriority w:val="0"/>
    <w:rPr>
      <w:rFonts w:ascii="Times New Roman" w:hAnsi="Times New Roman" w:eastAsia="华文中宋"/>
      <w:b/>
      <w:bCs/>
      <w:kern w:val="2"/>
      <w:sz w:val="28"/>
      <w:szCs w:val="28"/>
    </w:rPr>
  </w:style>
  <w:style w:type="character" w:customStyle="1" w:styleId="196">
    <w:name w:val="Char Char8"/>
    <w:qFormat/>
    <w:uiPriority w:val="0"/>
    <w:rPr>
      <w:rFonts w:ascii="Times New Roman" w:hAnsi="Times New Roman" w:eastAsia="华文中宋"/>
      <w:kern w:val="2"/>
      <w:sz w:val="24"/>
      <w:shd w:val="clear" w:color="auto" w:fill="000080"/>
    </w:rPr>
  </w:style>
  <w:style w:type="paragraph" w:customStyle="1" w:styleId="197">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198">
    <w:name w:val="font6"/>
    <w:basedOn w:val="1"/>
    <w:qFormat/>
    <w:uiPriority w:val="0"/>
    <w:pPr>
      <w:widowControl/>
      <w:spacing w:before="100" w:beforeAutospacing="1" w:after="100" w:afterAutospacing="1"/>
      <w:jc w:val="left"/>
    </w:pPr>
    <w:rPr>
      <w:rFonts w:ascii="宋体" w:hAnsi="宋体" w:eastAsia="宋体" w:cs="宋体"/>
      <w:kern w:val="0"/>
      <w:sz w:val="22"/>
      <w:szCs w:val="22"/>
    </w:rPr>
  </w:style>
  <w:style w:type="paragraph" w:customStyle="1" w:styleId="199">
    <w:name w:val="font7"/>
    <w:basedOn w:val="1"/>
    <w:qFormat/>
    <w:uiPriority w:val="0"/>
    <w:pPr>
      <w:widowControl/>
      <w:spacing w:before="100" w:beforeAutospacing="1" w:after="100" w:afterAutospacing="1"/>
      <w:jc w:val="left"/>
    </w:pPr>
    <w:rPr>
      <w:rFonts w:ascii="宋体" w:hAnsi="宋体" w:eastAsia="宋体" w:cs="宋体"/>
      <w:kern w:val="0"/>
      <w:sz w:val="22"/>
      <w:szCs w:val="22"/>
    </w:rPr>
  </w:style>
  <w:style w:type="paragraph" w:customStyle="1" w:styleId="200">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201">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kern w:val="0"/>
      <w:sz w:val="22"/>
      <w:szCs w:val="22"/>
    </w:rPr>
  </w:style>
  <w:style w:type="paragraph" w:customStyle="1" w:styleId="202">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kern w:val="0"/>
      <w:sz w:val="22"/>
      <w:szCs w:val="22"/>
    </w:rPr>
  </w:style>
  <w:style w:type="paragraph" w:customStyle="1" w:styleId="203">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204">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205">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206">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2"/>
      <w:szCs w:val="22"/>
    </w:rPr>
  </w:style>
  <w:style w:type="paragraph" w:customStyle="1" w:styleId="207">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2"/>
      <w:szCs w:val="22"/>
    </w:rPr>
  </w:style>
  <w:style w:type="paragraph" w:customStyle="1" w:styleId="208">
    <w:name w:val="xl90"/>
    <w:basedOn w:val="1"/>
    <w:qFormat/>
    <w:uiPriority w:val="0"/>
    <w:pPr>
      <w:widowControl/>
      <w:spacing w:before="100" w:beforeAutospacing="1" w:after="100" w:afterAutospacing="1"/>
      <w:jc w:val="left"/>
    </w:pPr>
    <w:rPr>
      <w:rFonts w:ascii="宋体" w:hAnsi="宋体" w:eastAsia="宋体" w:cs="宋体"/>
      <w:b/>
      <w:bCs/>
      <w:kern w:val="0"/>
      <w:szCs w:val="24"/>
    </w:rPr>
  </w:style>
  <w:style w:type="paragraph" w:customStyle="1" w:styleId="209">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b/>
      <w:bCs/>
      <w:kern w:val="0"/>
      <w:sz w:val="22"/>
      <w:szCs w:val="22"/>
    </w:rPr>
  </w:style>
  <w:style w:type="paragraph" w:customStyle="1" w:styleId="210">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b/>
      <w:bCs/>
      <w:kern w:val="0"/>
      <w:sz w:val="22"/>
      <w:szCs w:val="22"/>
    </w:rPr>
  </w:style>
  <w:style w:type="paragraph" w:customStyle="1" w:styleId="211">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Cs w:val="24"/>
    </w:rPr>
  </w:style>
  <w:style w:type="paragraph" w:customStyle="1" w:styleId="212">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 w:val="22"/>
      <w:szCs w:val="22"/>
    </w:rPr>
  </w:style>
  <w:style w:type="paragraph" w:customStyle="1" w:styleId="213">
    <w:name w:val="xl95"/>
    <w:basedOn w:val="1"/>
    <w:qFormat/>
    <w:uiPriority w:val="0"/>
    <w:pPr>
      <w:widowControl/>
      <w:spacing w:before="100" w:beforeAutospacing="1" w:after="100" w:afterAutospacing="1"/>
      <w:jc w:val="left"/>
    </w:pPr>
    <w:rPr>
      <w:rFonts w:ascii="宋体" w:hAnsi="宋体" w:eastAsia="宋体" w:cs="宋体"/>
      <w:b/>
      <w:bCs/>
      <w:kern w:val="0"/>
      <w:szCs w:val="24"/>
    </w:rPr>
  </w:style>
  <w:style w:type="paragraph" w:customStyle="1" w:styleId="214">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b/>
      <w:bCs/>
      <w:kern w:val="0"/>
      <w:sz w:val="22"/>
      <w:szCs w:val="22"/>
    </w:rPr>
  </w:style>
  <w:style w:type="paragraph" w:customStyle="1" w:styleId="215">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Cs w:val="24"/>
    </w:rPr>
  </w:style>
  <w:style w:type="paragraph" w:customStyle="1" w:styleId="216">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eastAsia="宋体" w:cs="宋体"/>
      <w:kern w:val="0"/>
      <w:sz w:val="22"/>
      <w:szCs w:val="22"/>
    </w:rPr>
  </w:style>
  <w:style w:type="paragraph" w:customStyle="1" w:styleId="217">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2"/>
      <w:szCs w:val="22"/>
    </w:rPr>
  </w:style>
  <w:style w:type="paragraph" w:customStyle="1" w:styleId="218">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Cs w:val="24"/>
    </w:rPr>
  </w:style>
  <w:style w:type="paragraph" w:customStyle="1" w:styleId="219">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220">
    <w:name w:val="表格样式"/>
    <w:basedOn w:val="1"/>
    <w:qFormat/>
    <w:uiPriority w:val="0"/>
    <w:pPr>
      <w:spacing w:line="180" w:lineRule="exact"/>
      <w:jc w:val="center"/>
    </w:pPr>
    <w:rPr>
      <w:rFonts w:eastAsia="楷体_GB2312"/>
      <w:w w:val="80"/>
      <w:kern w:val="0"/>
      <w:sz w:val="15"/>
      <w:szCs w:val="15"/>
    </w:rPr>
  </w:style>
  <w:style w:type="character" w:customStyle="1" w:styleId="221">
    <w:name w:val="表格 Char"/>
    <w:qFormat/>
    <w:uiPriority w:val="0"/>
    <w:rPr>
      <w:rFonts w:ascii="Times New Roman" w:hAnsi="Times New Roman" w:eastAsia="楷体"/>
      <w:sz w:val="18"/>
      <w:szCs w:val="22"/>
    </w:rPr>
  </w:style>
  <w:style w:type="paragraph" w:customStyle="1" w:styleId="222">
    <w:name w:val="列出段落1"/>
    <w:basedOn w:val="1"/>
    <w:qFormat/>
    <w:uiPriority w:val="0"/>
    <w:pPr>
      <w:ind w:firstLine="420" w:firstLineChars="200"/>
    </w:pPr>
    <w:rPr>
      <w:rFonts w:ascii="Calibri" w:hAnsi="Calibri" w:eastAsia="宋体"/>
      <w:sz w:val="21"/>
      <w:szCs w:val="22"/>
    </w:rPr>
  </w:style>
  <w:style w:type="character" w:customStyle="1" w:styleId="223">
    <w:name w:val="Char Char5"/>
    <w:qFormat/>
    <w:uiPriority w:val="0"/>
    <w:rPr>
      <w:rFonts w:ascii="Times New Roman" w:hAnsi="Times New Roman" w:eastAsia="华文中宋"/>
      <w:kern w:val="2"/>
      <w:sz w:val="24"/>
    </w:rPr>
  </w:style>
  <w:style w:type="character" w:customStyle="1" w:styleId="224">
    <w:name w:val="Char Char4"/>
    <w:qFormat/>
    <w:uiPriority w:val="0"/>
    <w:rPr>
      <w:rFonts w:ascii="Times New Roman" w:hAnsi="Times New Roman" w:eastAsia="华文中宋"/>
      <w:b/>
      <w:bCs/>
      <w:kern w:val="2"/>
      <w:sz w:val="24"/>
    </w:rPr>
  </w:style>
  <w:style w:type="character" w:customStyle="1" w:styleId="225">
    <w:name w:val="Char Char3"/>
    <w:qFormat/>
    <w:uiPriority w:val="0"/>
    <w:rPr>
      <w:kern w:val="2"/>
      <w:sz w:val="21"/>
      <w:szCs w:val="22"/>
    </w:rPr>
  </w:style>
  <w:style w:type="character" w:customStyle="1" w:styleId="226">
    <w:name w:val="Char Char2"/>
    <w:qFormat/>
    <w:uiPriority w:val="0"/>
    <w:rPr>
      <w:kern w:val="2"/>
      <w:sz w:val="18"/>
      <w:szCs w:val="18"/>
    </w:rPr>
  </w:style>
  <w:style w:type="paragraph" w:customStyle="1" w:styleId="227">
    <w:name w:val="Char Char Char1 Char Char Char Char Char Char Char Char Char Char"/>
    <w:basedOn w:val="1"/>
    <w:qFormat/>
    <w:uiPriority w:val="0"/>
    <w:pPr>
      <w:snapToGrid w:val="0"/>
      <w:spacing w:line="440" w:lineRule="exact"/>
      <w:ind w:firstLine="200" w:firstLineChars="200"/>
    </w:pPr>
    <w:rPr>
      <w:rFonts w:eastAsia="宋体"/>
      <w:szCs w:val="24"/>
    </w:rPr>
  </w:style>
  <w:style w:type="paragraph" w:customStyle="1" w:styleId="228">
    <w:name w:val="Char Char Char Char Char Char Char1 Char"/>
    <w:basedOn w:val="1"/>
    <w:qFormat/>
    <w:uiPriority w:val="0"/>
    <w:pPr>
      <w:widowControl/>
      <w:spacing w:after="160" w:line="240" w:lineRule="exact"/>
      <w:jc w:val="left"/>
    </w:pPr>
    <w:rPr>
      <w:rFonts w:ascii="Verdana" w:hAnsi="Verdana" w:eastAsia="宋体"/>
      <w:kern w:val="0"/>
      <w:sz w:val="20"/>
      <w:lang w:eastAsia="en-US"/>
    </w:rPr>
  </w:style>
  <w:style w:type="paragraph" w:customStyle="1" w:styleId="229">
    <w:name w:val="xl65"/>
    <w:basedOn w:val="1"/>
    <w:qFormat/>
    <w:uiPriority w:val="0"/>
    <w:pPr>
      <w:widowControl/>
      <w:spacing w:before="100" w:beforeAutospacing="1" w:after="100" w:afterAutospacing="1"/>
      <w:jc w:val="left"/>
    </w:pPr>
    <w:rPr>
      <w:rFonts w:ascii="宋体" w:hAnsi="宋体" w:eastAsia="宋体" w:cs="宋体"/>
      <w:color w:val="000000"/>
      <w:kern w:val="0"/>
      <w:sz w:val="16"/>
      <w:szCs w:val="16"/>
    </w:rPr>
  </w:style>
  <w:style w:type="paragraph" w:customStyle="1" w:styleId="23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16"/>
      <w:szCs w:val="16"/>
    </w:rPr>
  </w:style>
  <w:style w:type="paragraph" w:customStyle="1" w:styleId="231">
    <w:name w:val="xl67"/>
    <w:basedOn w:val="1"/>
    <w:qFormat/>
    <w:uiPriority w:val="0"/>
    <w:pPr>
      <w:widowControl/>
      <w:shd w:val="clear" w:color="000000" w:fill="FFFFFF"/>
      <w:spacing w:before="100" w:beforeAutospacing="1" w:after="100" w:afterAutospacing="1"/>
      <w:jc w:val="left"/>
    </w:pPr>
    <w:rPr>
      <w:rFonts w:ascii="宋体" w:hAnsi="宋体" w:eastAsia="宋体" w:cs="宋体"/>
      <w:color w:val="000000"/>
      <w:kern w:val="0"/>
      <w:sz w:val="16"/>
      <w:szCs w:val="16"/>
    </w:rPr>
  </w:style>
  <w:style w:type="paragraph" w:customStyle="1" w:styleId="232">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宋体" w:hAnsi="宋体" w:eastAsia="宋体" w:cs="宋体"/>
      <w:color w:val="000000"/>
      <w:kern w:val="0"/>
      <w:sz w:val="16"/>
      <w:szCs w:val="16"/>
    </w:rPr>
  </w:style>
  <w:style w:type="paragraph" w:customStyle="1" w:styleId="233">
    <w:name w:val="xl7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eastAsia="宋体" w:cs="宋体"/>
      <w:color w:val="000000"/>
      <w:kern w:val="0"/>
      <w:sz w:val="16"/>
      <w:szCs w:val="16"/>
    </w:rPr>
  </w:style>
  <w:style w:type="paragraph" w:customStyle="1" w:styleId="234">
    <w:name w:val="xl71"/>
    <w:basedOn w:val="1"/>
    <w:qFormat/>
    <w:uiPriority w:val="0"/>
    <w:pPr>
      <w:widowControl/>
      <w:pBdr>
        <w:right w:val="single" w:color="auto" w:sz="4" w:space="0"/>
      </w:pBdr>
      <w:spacing w:before="100" w:beforeAutospacing="1" w:after="100" w:afterAutospacing="1"/>
      <w:jc w:val="center"/>
    </w:pPr>
    <w:rPr>
      <w:rFonts w:ascii="宋体" w:hAnsi="宋体" w:eastAsia="宋体" w:cs="宋体"/>
      <w:color w:val="000000"/>
      <w:kern w:val="0"/>
      <w:sz w:val="16"/>
      <w:szCs w:val="16"/>
    </w:rPr>
  </w:style>
  <w:style w:type="paragraph" w:customStyle="1" w:styleId="235">
    <w:name w:val="xl7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rPr>
  </w:style>
  <w:style w:type="paragraph" w:customStyle="1" w:styleId="236">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rPr>
  </w:style>
  <w:style w:type="paragraph" w:customStyle="1" w:styleId="237">
    <w:name w:val="xl7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0"/>
    </w:rPr>
  </w:style>
  <w:style w:type="paragraph" w:customStyle="1" w:styleId="238">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0"/>
    </w:rPr>
  </w:style>
  <w:style w:type="paragraph" w:customStyle="1" w:styleId="239">
    <w:name w:val="xl76"/>
    <w:basedOn w:val="1"/>
    <w:qFormat/>
    <w:uiPriority w:val="0"/>
    <w:pPr>
      <w:widowControl/>
      <w:spacing w:before="100" w:beforeAutospacing="1" w:after="100" w:afterAutospacing="1"/>
      <w:jc w:val="center"/>
    </w:pPr>
    <w:rPr>
      <w:rFonts w:ascii="宋体" w:hAnsi="宋体" w:eastAsia="宋体" w:cs="宋体"/>
      <w:kern w:val="0"/>
      <w:szCs w:val="24"/>
    </w:rPr>
  </w:style>
  <w:style w:type="paragraph" w:customStyle="1" w:styleId="240">
    <w:name w:val="xl77"/>
    <w:basedOn w:val="1"/>
    <w:qFormat/>
    <w:uiPriority w:val="0"/>
    <w:pPr>
      <w:widowControl/>
      <w:pBdr>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241">
    <w:name w:val="xl78"/>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242">
    <w:name w:val="xl79"/>
    <w:basedOn w:val="1"/>
    <w:qFormat/>
    <w:uiPriority w:val="0"/>
    <w:pPr>
      <w:widowControl/>
      <w:pBdr>
        <w:bottom w:val="single" w:color="auto" w:sz="4" w:space="0"/>
      </w:pBdr>
      <w:spacing w:before="100" w:beforeAutospacing="1" w:after="100" w:afterAutospacing="1"/>
      <w:jc w:val="center"/>
    </w:pPr>
    <w:rPr>
      <w:rFonts w:ascii="宋体" w:hAnsi="宋体" w:eastAsia="宋体" w:cs="宋体"/>
      <w:kern w:val="0"/>
      <w:szCs w:val="24"/>
    </w:rPr>
  </w:style>
  <w:style w:type="paragraph" w:customStyle="1" w:styleId="243">
    <w:name w:val="三级标题"/>
    <w:basedOn w:val="1"/>
    <w:qFormat/>
    <w:uiPriority w:val="0"/>
    <w:pPr>
      <w:adjustRightInd w:val="0"/>
      <w:snapToGrid w:val="0"/>
      <w:spacing w:before="120" w:after="120" w:line="300" w:lineRule="auto"/>
      <w:outlineLvl w:val="2"/>
    </w:pPr>
    <w:rPr>
      <w:rFonts w:eastAsia="黑体"/>
      <w:sz w:val="28"/>
      <w:szCs w:val="24"/>
    </w:rPr>
  </w:style>
  <w:style w:type="paragraph" w:customStyle="1" w:styleId="244">
    <w:name w:val="正文文字1"/>
    <w:basedOn w:val="1"/>
    <w:qFormat/>
    <w:uiPriority w:val="0"/>
    <w:pPr>
      <w:snapToGrid w:val="0"/>
      <w:spacing w:line="324" w:lineRule="auto"/>
      <w:ind w:firstLine="480" w:firstLineChars="200"/>
    </w:pPr>
    <w:rPr>
      <w:szCs w:val="24"/>
    </w:rPr>
  </w:style>
  <w:style w:type="paragraph" w:customStyle="1" w:styleId="245">
    <w:name w:val="正文2"/>
    <w:basedOn w:val="1"/>
    <w:qFormat/>
    <w:uiPriority w:val="0"/>
    <w:pPr>
      <w:widowControl/>
      <w:tabs>
        <w:tab w:val="left" w:pos="720"/>
      </w:tabs>
      <w:adjustRightInd w:val="0"/>
      <w:spacing w:line="240" w:lineRule="exact"/>
    </w:pPr>
    <w:rPr>
      <w:rFonts w:ascii="宋体" w:hAnsi="宋体" w:eastAsia="宋体"/>
      <w:color w:val="000000"/>
      <w:w w:val="80"/>
      <w:sz w:val="18"/>
    </w:rPr>
  </w:style>
  <w:style w:type="paragraph" w:customStyle="1" w:styleId="246">
    <w:name w:val="Char Char Char Char Char Char Char Char Char Char"/>
    <w:basedOn w:val="1"/>
    <w:qFormat/>
    <w:uiPriority w:val="0"/>
    <w:pPr>
      <w:spacing w:line="360" w:lineRule="auto"/>
      <w:ind w:firstLine="200" w:firstLineChars="200"/>
    </w:pPr>
    <w:rPr>
      <w:rFonts w:ascii="宋体" w:hAnsi="宋体" w:eastAsia="宋体" w:cs="宋体"/>
      <w:szCs w:val="24"/>
    </w:rPr>
  </w:style>
  <w:style w:type="character" w:customStyle="1" w:styleId="247">
    <w:name w:val="表头 Char"/>
    <w:qFormat/>
    <w:uiPriority w:val="0"/>
    <w:rPr>
      <w:rFonts w:eastAsia="华文中宋"/>
      <w:b/>
      <w:bCs/>
      <w:w w:val="90"/>
      <w:kern w:val="2"/>
      <w:sz w:val="28"/>
      <w:szCs w:val="28"/>
      <w:lang w:val="zh-CN" w:eastAsia="zh-CN" w:bidi="ar-SA"/>
    </w:rPr>
  </w:style>
  <w:style w:type="paragraph" w:customStyle="1" w:styleId="248">
    <w:name w:val="表号文字"/>
    <w:basedOn w:val="1"/>
    <w:qFormat/>
    <w:uiPriority w:val="0"/>
    <w:pPr>
      <w:adjustRightInd w:val="0"/>
      <w:snapToGrid w:val="0"/>
      <w:spacing w:before="120" w:line="300" w:lineRule="auto"/>
      <w:jc w:val="left"/>
    </w:pPr>
    <w:rPr>
      <w:rFonts w:eastAsia="黑体"/>
      <w:szCs w:val="24"/>
    </w:rPr>
  </w:style>
  <w:style w:type="paragraph" w:customStyle="1" w:styleId="249">
    <w:name w:val="水保正文文字1"/>
    <w:basedOn w:val="1"/>
    <w:qFormat/>
    <w:uiPriority w:val="0"/>
    <w:pPr>
      <w:snapToGrid w:val="0"/>
      <w:spacing w:line="324" w:lineRule="auto"/>
      <w:ind w:firstLine="480" w:firstLineChars="200"/>
    </w:pPr>
    <w:rPr>
      <w:szCs w:val="24"/>
    </w:rPr>
  </w:style>
  <w:style w:type="character" w:customStyle="1" w:styleId="250">
    <w:name w:val="样式10 Char"/>
    <w:qFormat/>
    <w:locked/>
    <w:uiPriority w:val="0"/>
    <w:rPr>
      <w:rFonts w:eastAsia="楷体_GB2312"/>
      <w:b/>
      <w:kern w:val="2"/>
      <w:sz w:val="28"/>
      <w:szCs w:val="24"/>
      <w:lang w:val="en-US" w:eastAsia="zh-CN" w:bidi="ar-SA"/>
    </w:rPr>
  </w:style>
  <w:style w:type="paragraph" w:customStyle="1" w:styleId="251">
    <w:name w:val="样式 样式 样式 仿宋_GB2312 四号 行距: 固定值 28 磅 + 首行缩进:  2 字符 + 首行缩进:  2 字符1"/>
    <w:basedOn w:val="1"/>
    <w:qFormat/>
    <w:uiPriority w:val="0"/>
    <w:pPr>
      <w:spacing w:line="560" w:lineRule="exact"/>
      <w:ind w:firstLine="200" w:firstLineChars="200"/>
    </w:pPr>
    <w:rPr>
      <w:rFonts w:ascii="仿宋_GB2312" w:hAnsi="宋体" w:eastAsia="仿宋_GB2312" w:cs="宋体"/>
      <w:sz w:val="28"/>
    </w:rPr>
  </w:style>
  <w:style w:type="paragraph" w:customStyle="1" w:styleId="252">
    <w:name w:val="四级标题"/>
    <w:basedOn w:val="1"/>
    <w:qFormat/>
    <w:uiPriority w:val="0"/>
    <w:pPr>
      <w:adjustRightInd w:val="0"/>
      <w:snapToGrid w:val="0"/>
      <w:spacing w:before="120" w:after="120" w:line="300" w:lineRule="auto"/>
      <w:outlineLvl w:val="3"/>
    </w:pPr>
    <w:rPr>
      <w:sz w:val="28"/>
      <w:szCs w:val="24"/>
    </w:rPr>
  </w:style>
  <w:style w:type="paragraph" w:customStyle="1" w:styleId="253">
    <w:name w:val="Char11"/>
    <w:basedOn w:val="1"/>
    <w:qFormat/>
    <w:uiPriority w:val="0"/>
    <w:pPr>
      <w:spacing w:line="360" w:lineRule="auto"/>
      <w:ind w:firstLine="200" w:firstLineChars="200"/>
    </w:pPr>
    <w:rPr>
      <w:rFonts w:ascii="宋体" w:hAnsi="宋体" w:eastAsia="宋体" w:cs="宋体"/>
      <w:szCs w:val="24"/>
    </w:rPr>
  </w:style>
  <w:style w:type="character" w:customStyle="1" w:styleId="254">
    <w:name w:val="正文顶格悬挂 Char"/>
    <w:qFormat/>
    <w:uiPriority w:val="0"/>
    <w:rPr>
      <w:rFonts w:ascii="Calibri" w:hAnsi="Calibri" w:eastAsia="宋体"/>
      <w:kern w:val="2"/>
      <w:sz w:val="21"/>
      <w:szCs w:val="22"/>
      <w:lang w:val="en-US" w:eastAsia="zh-CN" w:bidi="ar-SA"/>
    </w:rPr>
  </w:style>
  <w:style w:type="paragraph" w:customStyle="1" w:styleId="255">
    <w:name w:val="Char1 Char Char Char"/>
    <w:basedOn w:val="1"/>
    <w:qFormat/>
    <w:uiPriority w:val="0"/>
    <w:rPr>
      <w:rFonts w:eastAsia="宋体"/>
      <w:sz w:val="21"/>
      <w:szCs w:val="24"/>
    </w:rPr>
  </w:style>
  <w:style w:type="paragraph" w:customStyle="1" w:styleId="256">
    <w:name w:val="3"/>
    <w:basedOn w:val="1"/>
    <w:next w:val="1"/>
    <w:qFormat/>
    <w:uiPriority w:val="0"/>
    <w:pPr>
      <w:spacing w:after="120" w:line="480" w:lineRule="auto"/>
      <w:ind w:left="420" w:leftChars="200"/>
    </w:pPr>
    <w:rPr>
      <w:rFonts w:eastAsia="宋体"/>
      <w:szCs w:val="24"/>
    </w:rPr>
  </w:style>
  <w:style w:type="paragraph" w:customStyle="1" w:styleId="257">
    <w:name w:val="2"/>
    <w:basedOn w:val="1"/>
    <w:next w:val="1"/>
    <w:qFormat/>
    <w:uiPriority w:val="0"/>
    <w:rPr>
      <w:rFonts w:ascii="宋体" w:hAnsi="Courier New" w:eastAsia="宋体" w:cs="Courier New"/>
      <w:sz w:val="21"/>
      <w:szCs w:val="21"/>
    </w:rPr>
  </w:style>
  <w:style w:type="paragraph" w:customStyle="1" w:styleId="258">
    <w:name w:val="1"/>
    <w:basedOn w:val="1"/>
    <w:next w:val="51"/>
    <w:qFormat/>
    <w:uiPriority w:val="0"/>
    <w:pPr>
      <w:spacing w:after="120" w:line="480" w:lineRule="auto"/>
      <w:ind w:left="420" w:leftChars="200"/>
    </w:pPr>
    <w:rPr>
      <w:rFonts w:eastAsia="宋体"/>
      <w:szCs w:val="24"/>
    </w:rPr>
  </w:style>
  <w:style w:type="paragraph" w:customStyle="1" w:styleId="259">
    <w:name w:val="表题 Char"/>
    <w:basedOn w:val="1"/>
    <w:qFormat/>
    <w:uiPriority w:val="0"/>
    <w:pPr>
      <w:keepNext/>
      <w:keepLines/>
      <w:tabs>
        <w:tab w:val="left" w:pos="6300"/>
      </w:tabs>
      <w:spacing w:line="0" w:lineRule="atLeast"/>
      <w:jc w:val="center"/>
    </w:pPr>
    <w:rPr>
      <w:rFonts w:eastAsia="黑体"/>
    </w:rPr>
  </w:style>
  <w:style w:type="paragraph" w:customStyle="1" w:styleId="260">
    <w:name w:val="表题 Char Char"/>
    <w:basedOn w:val="1"/>
    <w:qFormat/>
    <w:uiPriority w:val="0"/>
    <w:pPr>
      <w:keepNext/>
      <w:keepLines/>
      <w:spacing w:line="360" w:lineRule="auto"/>
      <w:jc w:val="center"/>
    </w:pPr>
    <w:rPr>
      <w:rFonts w:eastAsia="黑体"/>
    </w:rPr>
  </w:style>
  <w:style w:type="paragraph" w:customStyle="1" w:styleId="261">
    <w:name w:val="Char Char Char1 Char Char Char Char Char Char Char Char Char Char Char Char Char Char Char Char Char Char Char Char Char Char Char Char Char Char Char Char Char Char Char Char Char Char"/>
    <w:basedOn w:val="1"/>
    <w:qFormat/>
    <w:uiPriority w:val="0"/>
    <w:pPr>
      <w:snapToGrid w:val="0"/>
      <w:spacing w:line="440" w:lineRule="exact"/>
      <w:ind w:firstLine="200" w:firstLineChars="200"/>
    </w:pPr>
    <w:rPr>
      <w:rFonts w:eastAsia="宋体"/>
      <w:szCs w:val="24"/>
    </w:rPr>
  </w:style>
  <w:style w:type="paragraph" w:customStyle="1" w:styleId="262">
    <w:name w:val="样式 样式24 +"/>
    <w:basedOn w:val="1"/>
    <w:qFormat/>
    <w:uiPriority w:val="0"/>
    <w:pPr>
      <w:spacing w:line="300" w:lineRule="exact"/>
      <w:ind w:left="-120" w:leftChars="-50" w:right="-120" w:rightChars="-50"/>
      <w:jc w:val="center"/>
    </w:pPr>
    <w:rPr>
      <w:kern w:val="0"/>
      <w:sz w:val="21"/>
      <w:szCs w:val="21"/>
    </w:rPr>
  </w:style>
  <w:style w:type="paragraph" w:customStyle="1" w:styleId="263">
    <w:name w:val="样式 正文文字 + 首行缩进:  2 字符"/>
    <w:basedOn w:val="34"/>
    <w:qFormat/>
    <w:uiPriority w:val="0"/>
    <w:pPr>
      <w:spacing w:after="0" w:line="460" w:lineRule="exact"/>
      <w:ind w:firstLine="480" w:firstLineChars="200"/>
    </w:pPr>
    <w:rPr>
      <w:rFonts w:ascii="CG Times" w:hAnsi="CG Times" w:cs="宋体"/>
      <w:sz w:val="24"/>
      <w:szCs w:val="20"/>
    </w:rPr>
  </w:style>
  <w:style w:type="paragraph" w:customStyle="1" w:styleId="264">
    <w:name w:val="表中文字"/>
    <w:basedOn w:val="1"/>
    <w:qFormat/>
    <w:uiPriority w:val="0"/>
    <w:pPr>
      <w:spacing w:line="240" w:lineRule="exact"/>
    </w:pPr>
    <w:rPr>
      <w:rFonts w:eastAsia="宋体" w:cs="宋体"/>
      <w:color w:val="000000"/>
      <w:spacing w:val="2"/>
      <w:sz w:val="21"/>
      <w:szCs w:val="21"/>
    </w:rPr>
  </w:style>
  <w:style w:type="paragraph" w:customStyle="1" w:styleId="265">
    <w:name w:val="样式 宋体 黑色 首行缩进:  2 字符 行距: 固定值 30 磅"/>
    <w:basedOn w:val="1"/>
    <w:qFormat/>
    <w:uiPriority w:val="0"/>
    <w:pPr>
      <w:spacing w:line="600" w:lineRule="exact"/>
      <w:ind w:firstLine="528" w:firstLineChars="200"/>
    </w:pPr>
    <w:rPr>
      <w:rFonts w:eastAsia="宋体" w:cs="宋体"/>
      <w:color w:val="000000"/>
      <w:spacing w:val="12"/>
      <w:szCs w:val="24"/>
    </w:rPr>
  </w:style>
  <w:style w:type="paragraph" w:customStyle="1" w:styleId="266">
    <w:name w:val="表题 Char Char5"/>
    <w:basedOn w:val="1"/>
    <w:qFormat/>
    <w:uiPriority w:val="0"/>
    <w:pPr>
      <w:spacing w:beforeLines="100"/>
      <w:jc w:val="center"/>
    </w:pPr>
    <w:rPr>
      <w:rFonts w:ascii="宋体" w:hAnsi="宋体" w:eastAsia="宋体"/>
    </w:rPr>
  </w:style>
  <w:style w:type="character" w:customStyle="1" w:styleId="267">
    <w:name w:val="正文文本缩进 2 Char"/>
    <w:qFormat/>
    <w:uiPriority w:val="0"/>
    <w:rPr>
      <w:rFonts w:eastAsia="宋体"/>
      <w:kern w:val="2"/>
      <w:sz w:val="24"/>
      <w:szCs w:val="24"/>
      <w:lang w:val="en-US" w:eastAsia="zh-CN" w:bidi="ar-SA"/>
    </w:rPr>
  </w:style>
  <w:style w:type="paragraph" w:customStyle="1" w:styleId="268">
    <w:name w:val="样式18"/>
    <w:basedOn w:val="1"/>
    <w:qFormat/>
    <w:uiPriority w:val="0"/>
    <w:pPr>
      <w:tabs>
        <w:tab w:val="left" w:pos="480"/>
      </w:tabs>
      <w:spacing w:line="300" w:lineRule="exact"/>
      <w:ind w:left="-120" w:leftChars="-50" w:right="-120" w:rightChars="-50"/>
      <w:jc w:val="center"/>
    </w:pPr>
    <w:rPr>
      <w:color w:val="000000"/>
      <w:sz w:val="21"/>
      <w:szCs w:val="24"/>
    </w:rPr>
  </w:style>
  <w:style w:type="paragraph" w:customStyle="1" w:styleId="269">
    <w:name w:val="样式17"/>
    <w:basedOn w:val="1"/>
    <w:qFormat/>
    <w:uiPriority w:val="0"/>
    <w:pPr>
      <w:ind w:firstLine="420" w:firstLineChars="200"/>
    </w:pPr>
    <w:rPr>
      <w:sz w:val="21"/>
      <w:szCs w:val="21"/>
    </w:rPr>
  </w:style>
  <w:style w:type="character" w:customStyle="1" w:styleId="270">
    <w:name w:val="标题 3 Char1"/>
    <w:qFormat/>
    <w:uiPriority w:val="0"/>
    <w:rPr>
      <w:rFonts w:ascii="华文中宋" w:hAnsi="华文中宋"/>
      <w:sz w:val="30"/>
    </w:rPr>
  </w:style>
  <w:style w:type="character" w:customStyle="1" w:styleId="271">
    <w:name w:val="样式 仿宋_GB2312 小三 黑色 Char"/>
    <w:qFormat/>
    <w:uiPriority w:val="0"/>
    <w:rPr>
      <w:rFonts w:ascii="仿宋_GB2312" w:eastAsia="仿宋_GB2312" w:cs="仿宋_GB2312"/>
      <w:kern w:val="2"/>
      <w:sz w:val="30"/>
      <w:szCs w:val="30"/>
      <w:lang w:val="zh-CN" w:eastAsia="zh-CN" w:bidi="ar-SA"/>
    </w:rPr>
  </w:style>
  <w:style w:type="paragraph" w:customStyle="1" w:styleId="272">
    <w:name w:val="样式 仿宋_GB2312 小三 黑色"/>
    <w:basedOn w:val="1"/>
    <w:qFormat/>
    <w:uiPriority w:val="0"/>
    <w:pPr>
      <w:autoSpaceDE w:val="0"/>
      <w:autoSpaceDN w:val="0"/>
      <w:adjustRightInd w:val="0"/>
      <w:spacing w:line="520" w:lineRule="exact"/>
      <w:ind w:firstLine="560"/>
    </w:pPr>
    <w:rPr>
      <w:rFonts w:ascii="仿宋_GB2312" w:eastAsia="仿宋_GB2312" w:cs="仿宋_GB2312"/>
      <w:sz w:val="30"/>
      <w:szCs w:val="30"/>
      <w:lang w:val="zh-CN"/>
    </w:rPr>
  </w:style>
  <w:style w:type="character" w:customStyle="1" w:styleId="273">
    <w:name w:val="样式 仿宋_GB2312 小三 Char"/>
    <w:qFormat/>
    <w:uiPriority w:val="0"/>
    <w:rPr>
      <w:rFonts w:ascii="仿宋_GB2312" w:eastAsia="仿宋_GB2312" w:cs="仿宋_GB2312"/>
      <w:kern w:val="2"/>
      <w:sz w:val="30"/>
      <w:szCs w:val="30"/>
      <w:lang w:val="zh-CN" w:eastAsia="zh-CN" w:bidi="ar-SA"/>
    </w:rPr>
  </w:style>
  <w:style w:type="paragraph" w:customStyle="1" w:styleId="274">
    <w:name w:val="样式 仿宋_GB2312 小三"/>
    <w:basedOn w:val="1"/>
    <w:qFormat/>
    <w:uiPriority w:val="0"/>
    <w:pPr>
      <w:autoSpaceDE w:val="0"/>
      <w:autoSpaceDN w:val="0"/>
      <w:adjustRightInd w:val="0"/>
      <w:spacing w:line="520" w:lineRule="exact"/>
      <w:ind w:firstLine="600" w:firstLineChars="200"/>
    </w:pPr>
    <w:rPr>
      <w:rFonts w:ascii="仿宋_GB2312" w:eastAsia="仿宋_GB2312" w:cs="仿宋_GB2312"/>
      <w:sz w:val="30"/>
      <w:szCs w:val="30"/>
      <w:lang w:val="zh-CN"/>
    </w:rPr>
  </w:style>
  <w:style w:type="character" w:customStyle="1" w:styleId="275">
    <w:name w:val="样式 宋体 小四 黑色 Char Char"/>
    <w:qFormat/>
    <w:uiPriority w:val="0"/>
    <w:rPr>
      <w:rFonts w:eastAsia="宋体"/>
      <w:kern w:val="2"/>
      <w:sz w:val="18"/>
      <w:szCs w:val="18"/>
      <w:lang w:val="en-US" w:eastAsia="zh-CN" w:bidi="ar-SA"/>
    </w:rPr>
  </w:style>
  <w:style w:type="character" w:customStyle="1" w:styleId="276">
    <w:name w:val="正文文字缩进 2 Char1"/>
    <w:qFormat/>
    <w:uiPriority w:val="0"/>
    <w:rPr>
      <w:rFonts w:eastAsia="华文中宋"/>
      <w:kern w:val="2"/>
      <w:sz w:val="24"/>
      <w:lang w:val="en-US" w:eastAsia="zh-CN" w:bidi="ar-SA"/>
    </w:rPr>
  </w:style>
  <w:style w:type="character" w:customStyle="1" w:styleId="277">
    <w:name w:val="纯文本 Char Char Char Char Char Char Char Char2"/>
    <w:qFormat/>
    <w:uiPriority w:val="0"/>
    <w:rPr>
      <w:rFonts w:ascii="宋体" w:hAnsi="ISOCT" w:eastAsia="宋体"/>
      <w:kern w:val="2"/>
      <w:sz w:val="21"/>
      <w:lang w:val="en-US" w:eastAsia="zh-CN" w:bidi="ar-SA"/>
    </w:rPr>
  </w:style>
  <w:style w:type="character" w:customStyle="1" w:styleId="278">
    <w:name w:val="正文文字 Char4"/>
    <w:qFormat/>
    <w:uiPriority w:val="0"/>
    <w:rPr>
      <w:rFonts w:eastAsia="宋体"/>
      <w:kern w:val="2"/>
      <w:sz w:val="21"/>
      <w:szCs w:val="24"/>
      <w:lang w:val="en-US" w:eastAsia="zh-CN" w:bidi="ar-SA"/>
    </w:rPr>
  </w:style>
  <w:style w:type="character" w:customStyle="1" w:styleId="279">
    <w:name w:val="标题 2 Char"/>
    <w:qFormat/>
    <w:uiPriority w:val="0"/>
    <w:rPr>
      <w:rFonts w:ascii="华文中宋" w:hAnsi="华文中宋" w:eastAsia="华文中宋"/>
      <w:lang w:val="en-US" w:eastAsia="zh-CN"/>
    </w:rPr>
  </w:style>
  <w:style w:type="character" w:customStyle="1" w:styleId="280">
    <w:name w:val="标题 4 Char"/>
    <w:qFormat/>
    <w:uiPriority w:val="0"/>
    <w:rPr>
      <w:rFonts w:eastAsia="华文中宋"/>
      <w:b/>
      <w:bCs/>
      <w:color w:val="000000"/>
      <w:sz w:val="28"/>
      <w:szCs w:val="28"/>
    </w:rPr>
  </w:style>
  <w:style w:type="character" w:customStyle="1" w:styleId="281">
    <w:name w:val="标题 6 Char"/>
    <w:qFormat/>
    <w:uiPriority w:val="0"/>
    <w:rPr>
      <w:rFonts w:ascii="Arial" w:hAnsi="Arial" w:eastAsia="黑体"/>
      <w:b/>
      <w:bCs/>
      <w:kern w:val="2"/>
      <w:sz w:val="24"/>
      <w:szCs w:val="24"/>
      <w:lang w:val="en-US" w:eastAsia="zh-CN" w:bidi="ar-SA"/>
    </w:rPr>
  </w:style>
  <w:style w:type="paragraph" w:customStyle="1" w:styleId="282">
    <w:name w:val="标题3"/>
    <w:basedOn w:val="5"/>
    <w:qFormat/>
    <w:uiPriority w:val="0"/>
    <w:pPr>
      <w:spacing w:beforeLines="50" w:beforeAutospacing="1" w:afterLines="50" w:afterAutospacing="1" w:line="560" w:lineRule="exact"/>
      <w:jc w:val="left"/>
    </w:pPr>
    <w:rPr>
      <w:rFonts w:ascii="Arial" w:hAnsi="Arial" w:eastAsia="方正小标宋_GBK"/>
      <w:b w:val="0"/>
      <w:color w:val="000000"/>
      <w:w w:val="90"/>
      <w:sz w:val="28"/>
      <w:szCs w:val="20"/>
    </w:rPr>
  </w:style>
  <w:style w:type="paragraph" w:customStyle="1" w:styleId="283">
    <w:name w:val="样式29"/>
    <w:basedOn w:val="1"/>
    <w:qFormat/>
    <w:uiPriority w:val="0"/>
    <w:pPr>
      <w:spacing w:line="320" w:lineRule="exact"/>
      <w:ind w:left="-120" w:leftChars="-50" w:right="-120" w:rightChars="-50"/>
      <w:jc w:val="center"/>
    </w:pPr>
    <w:rPr>
      <w:sz w:val="21"/>
      <w:szCs w:val="24"/>
    </w:rPr>
  </w:style>
  <w:style w:type="character" w:customStyle="1" w:styleId="284">
    <w:name w:val="Char Char"/>
    <w:qFormat/>
    <w:uiPriority w:val="0"/>
    <w:rPr>
      <w:rFonts w:eastAsia="宋体"/>
      <w:kern w:val="2"/>
      <w:sz w:val="21"/>
      <w:szCs w:val="24"/>
      <w:lang w:val="en-US" w:eastAsia="zh-CN" w:bidi="ar-SA"/>
    </w:rPr>
  </w:style>
  <w:style w:type="paragraph" w:customStyle="1" w:styleId="285">
    <w:name w:val="样式__表头"/>
    <w:basedOn w:val="1"/>
    <w:qFormat/>
    <w:uiPriority w:val="0"/>
    <w:pPr>
      <w:autoSpaceDE w:val="0"/>
      <w:autoSpaceDN w:val="0"/>
      <w:adjustRightInd w:val="0"/>
      <w:snapToGrid w:val="0"/>
      <w:spacing w:line="360" w:lineRule="auto"/>
      <w:jc w:val="center"/>
    </w:pPr>
    <w:rPr>
      <w:rFonts w:eastAsia="黑体"/>
      <w:spacing w:val="10"/>
      <w:kern w:val="0"/>
    </w:rPr>
  </w:style>
  <w:style w:type="paragraph" w:customStyle="1" w:styleId="286">
    <w:name w:val="表名"/>
    <w:basedOn w:val="1"/>
    <w:qFormat/>
    <w:uiPriority w:val="0"/>
    <w:pPr>
      <w:spacing w:after="60" w:line="560" w:lineRule="exact"/>
      <w:ind w:firstLine="240" w:firstLineChars="100"/>
      <w:jc w:val="center"/>
    </w:pPr>
    <w:rPr>
      <w:rFonts w:ascii="黑体" w:eastAsia="黑体"/>
      <w:color w:val="000000"/>
      <w:szCs w:val="24"/>
    </w:rPr>
  </w:style>
  <w:style w:type="character" w:customStyle="1" w:styleId="287">
    <w:name w:val="表名 Char"/>
    <w:qFormat/>
    <w:uiPriority w:val="0"/>
    <w:rPr>
      <w:rFonts w:ascii="黑体" w:eastAsia="黑体"/>
      <w:color w:val="000000"/>
      <w:kern w:val="2"/>
      <w:sz w:val="24"/>
      <w:szCs w:val="24"/>
      <w:lang w:val="en-US" w:eastAsia="zh-CN" w:bidi="ar-SA"/>
    </w:rPr>
  </w:style>
  <w:style w:type="paragraph" w:customStyle="1" w:styleId="288">
    <w:name w:val="表文居中"/>
    <w:basedOn w:val="1"/>
    <w:qFormat/>
    <w:uiPriority w:val="0"/>
    <w:pPr>
      <w:autoSpaceDE w:val="0"/>
      <w:autoSpaceDN w:val="0"/>
      <w:adjustRightInd w:val="0"/>
      <w:snapToGrid w:val="0"/>
      <w:spacing w:line="340" w:lineRule="exact"/>
      <w:jc w:val="center"/>
      <w:textAlignment w:val="baseline"/>
    </w:pPr>
    <w:rPr>
      <w:rFonts w:eastAsia="宋体"/>
      <w:kern w:val="0"/>
      <w:sz w:val="18"/>
    </w:rPr>
  </w:style>
  <w:style w:type="character" w:customStyle="1" w:styleId="289">
    <w:name w:val="Char Char131"/>
    <w:qFormat/>
    <w:uiPriority w:val="0"/>
    <w:rPr>
      <w:rFonts w:eastAsia="仿宋_GB2312"/>
      <w:kern w:val="2"/>
      <w:sz w:val="28"/>
      <w:szCs w:val="24"/>
      <w:lang w:val="en-US" w:eastAsia="zh-CN" w:bidi="ar-SA"/>
    </w:rPr>
  </w:style>
  <w:style w:type="paragraph" w:customStyle="1" w:styleId="290">
    <w:name w:val="小表文居中"/>
    <w:basedOn w:val="1"/>
    <w:qFormat/>
    <w:uiPriority w:val="0"/>
    <w:pPr>
      <w:autoSpaceDE w:val="0"/>
      <w:autoSpaceDN w:val="0"/>
      <w:adjustRightInd w:val="0"/>
      <w:spacing w:before="20"/>
      <w:jc w:val="center"/>
      <w:textAlignment w:val="baseline"/>
    </w:pPr>
    <w:rPr>
      <w:rFonts w:eastAsia="宋体"/>
      <w:kern w:val="0"/>
      <w:sz w:val="18"/>
    </w:rPr>
  </w:style>
  <w:style w:type="paragraph" w:customStyle="1" w:styleId="291">
    <w:name w:val="xl25"/>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15"/>
      <w:szCs w:val="15"/>
    </w:rPr>
  </w:style>
  <w:style w:type="character" w:customStyle="1" w:styleId="292">
    <w:name w:val="样式4 Char"/>
    <w:qFormat/>
    <w:uiPriority w:val="0"/>
    <w:rPr>
      <w:rFonts w:eastAsia="黑体"/>
      <w:bCs/>
      <w:kern w:val="2"/>
      <w:sz w:val="24"/>
      <w:szCs w:val="24"/>
      <w:lang w:val="en-US" w:eastAsia="zh-CN" w:bidi="ar-SA"/>
    </w:rPr>
  </w:style>
  <w:style w:type="character" w:customStyle="1" w:styleId="293">
    <w:name w:val="样式1 Char"/>
    <w:qFormat/>
    <w:uiPriority w:val="0"/>
    <w:rPr>
      <w:rFonts w:eastAsia="楷体_GB2312"/>
      <w:kern w:val="2"/>
      <w:sz w:val="28"/>
      <w:szCs w:val="28"/>
      <w:lang w:val="zh-CN" w:eastAsia="zh-CN" w:bidi="ar-SA"/>
    </w:rPr>
  </w:style>
  <w:style w:type="paragraph" w:customStyle="1" w:styleId="294">
    <w:name w:val="简要报告正文"/>
    <w:basedOn w:val="1"/>
    <w:qFormat/>
    <w:uiPriority w:val="0"/>
    <w:pPr>
      <w:spacing w:line="460" w:lineRule="exact"/>
      <w:ind w:firstLine="480" w:firstLineChars="200"/>
    </w:pPr>
    <w:rPr>
      <w:rFonts w:eastAsia="宋体"/>
      <w:szCs w:val="24"/>
    </w:rPr>
  </w:style>
  <w:style w:type="character" w:customStyle="1" w:styleId="295">
    <w:name w:val="简要报告正文 Char"/>
    <w:qFormat/>
    <w:uiPriority w:val="0"/>
    <w:rPr>
      <w:rFonts w:eastAsia="宋体"/>
      <w:kern w:val="2"/>
      <w:sz w:val="24"/>
      <w:szCs w:val="24"/>
      <w:lang w:val="en-US" w:eastAsia="zh-CN" w:bidi="ar-SA"/>
    </w:rPr>
  </w:style>
  <w:style w:type="paragraph" w:customStyle="1" w:styleId="296">
    <w:name w:val="简要报告表名格式"/>
    <w:basedOn w:val="73"/>
    <w:qFormat/>
    <w:uiPriority w:val="0"/>
    <w:pPr>
      <w:spacing w:beforeLines="50" w:afterLines="50" w:line="460" w:lineRule="exact"/>
      <w:ind w:left="0" w:leftChars="0" w:firstLine="0" w:firstLineChars="0"/>
      <w:jc w:val="center"/>
    </w:pPr>
    <w:rPr>
      <w:b/>
    </w:rPr>
  </w:style>
  <w:style w:type="paragraph" w:customStyle="1" w:styleId="297">
    <w:name w:val="图表标题"/>
    <w:basedOn w:val="294"/>
    <w:qFormat/>
    <w:uiPriority w:val="0"/>
    <w:pPr>
      <w:spacing w:beforeLines="50"/>
      <w:ind w:firstLine="0" w:firstLineChars="0"/>
      <w:jc w:val="center"/>
    </w:pPr>
    <w:rPr>
      <w:rFonts w:eastAsia="黑体"/>
      <w:color w:val="000000"/>
    </w:rPr>
  </w:style>
  <w:style w:type="paragraph" w:customStyle="1" w:styleId="298">
    <w:name w:val="xl33"/>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1"/>
      <w:szCs w:val="21"/>
    </w:rPr>
  </w:style>
  <w:style w:type="character" w:customStyle="1" w:styleId="299">
    <w:name w:val="brown4"/>
    <w:basedOn w:val="90"/>
    <w:qFormat/>
    <w:uiPriority w:val="0"/>
  </w:style>
  <w:style w:type="paragraph" w:customStyle="1" w:styleId="300">
    <w:name w:val="样式 (中文) 黑体 四号 段前: 11.6 磅 段后: 11.6 磅"/>
    <w:basedOn w:val="1"/>
    <w:qFormat/>
    <w:uiPriority w:val="0"/>
    <w:pPr>
      <w:spacing w:before="232" w:after="232"/>
    </w:pPr>
    <w:rPr>
      <w:rFonts w:eastAsia="黑体" w:cs="宋体"/>
      <w:sz w:val="28"/>
    </w:rPr>
  </w:style>
  <w:style w:type="character" w:customStyle="1" w:styleId="301">
    <w:name w:val="style51"/>
    <w:qFormat/>
    <w:uiPriority w:val="0"/>
    <w:rPr>
      <w:sz w:val="21"/>
      <w:szCs w:val="21"/>
    </w:rPr>
  </w:style>
  <w:style w:type="paragraph" w:customStyle="1" w:styleId="302">
    <w:name w:val="样式 样式 样式 宋体 小四 左 行距: 固定值 24 磅 + 首行缩进:  2 字符 + 首行缩进:  2 字符"/>
    <w:basedOn w:val="1"/>
    <w:qFormat/>
    <w:uiPriority w:val="0"/>
    <w:pPr>
      <w:spacing w:line="560" w:lineRule="exact"/>
      <w:ind w:firstLine="200" w:firstLineChars="200"/>
      <w:jc w:val="left"/>
    </w:pPr>
    <w:rPr>
      <w:rFonts w:eastAsia="仿宋_GB2312" w:cs="宋体"/>
      <w:sz w:val="28"/>
      <w:szCs w:val="28"/>
    </w:rPr>
  </w:style>
  <w:style w:type="paragraph" w:customStyle="1" w:styleId="303">
    <w:name w:val="Char Char Char Char"/>
    <w:basedOn w:val="1"/>
    <w:qFormat/>
    <w:uiPriority w:val="0"/>
    <w:pPr>
      <w:spacing w:line="540" w:lineRule="exact"/>
    </w:pPr>
    <w:rPr>
      <w:rFonts w:ascii="楷体_GB2312" w:eastAsia="楷体_GB2312"/>
      <w:kern w:val="0"/>
      <w:sz w:val="28"/>
      <w:szCs w:val="24"/>
    </w:rPr>
  </w:style>
  <w:style w:type="character" w:customStyle="1" w:styleId="304">
    <w:name w:val="标题 9 Char"/>
    <w:qFormat/>
    <w:uiPriority w:val="0"/>
    <w:rPr>
      <w:rFonts w:ascii="Arial" w:hAnsi="Arial" w:eastAsia="黑体"/>
      <w:kern w:val="2"/>
      <w:sz w:val="21"/>
      <w:lang w:val="en-US" w:eastAsia="zh-CN" w:bidi="ar-SA"/>
    </w:rPr>
  </w:style>
  <w:style w:type="paragraph" w:customStyle="1" w:styleId="305">
    <w:name w:val="公式"/>
    <w:basedOn w:val="1"/>
    <w:qFormat/>
    <w:uiPriority w:val="0"/>
    <w:pPr>
      <w:spacing w:line="312" w:lineRule="auto"/>
      <w:jc w:val="right"/>
    </w:pPr>
    <w:rPr>
      <w:rFonts w:ascii="宋体" w:hAnsi="宋体" w:eastAsia="宋体"/>
      <w:szCs w:val="24"/>
    </w:rPr>
  </w:style>
  <w:style w:type="paragraph" w:customStyle="1" w:styleId="306">
    <w:name w:val="正文 + 首行缩进:  2 字符"/>
    <w:basedOn w:val="1"/>
    <w:qFormat/>
    <w:uiPriority w:val="0"/>
    <w:pPr>
      <w:adjustRightInd w:val="0"/>
      <w:snapToGrid w:val="0"/>
      <w:spacing w:beforeLines="25" w:line="264" w:lineRule="auto"/>
      <w:ind w:firstLine="530" w:firstLineChars="200"/>
    </w:pPr>
    <w:rPr>
      <w:szCs w:val="24"/>
    </w:rPr>
  </w:style>
  <w:style w:type="paragraph" w:customStyle="1" w:styleId="307">
    <w:name w:val="zhgh_表格内容"/>
    <w:basedOn w:val="1"/>
    <w:qFormat/>
    <w:uiPriority w:val="0"/>
    <w:pPr>
      <w:spacing w:line="520" w:lineRule="exact"/>
      <w:ind w:left="280" w:leftChars="100" w:right="280" w:rightChars="100" w:firstLine="360" w:firstLineChars="200"/>
    </w:pPr>
    <w:rPr>
      <w:rFonts w:ascii="楷体_GB2312" w:hAnsi="宋体" w:eastAsia="楷体_GB2312"/>
      <w:sz w:val="18"/>
      <w:szCs w:val="18"/>
    </w:rPr>
  </w:style>
  <w:style w:type="paragraph" w:customStyle="1" w:styleId="308">
    <w:name w:val="xl48"/>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color w:val="FF0000"/>
      <w:kern w:val="0"/>
      <w:sz w:val="21"/>
      <w:szCs w:val="21"/>
    </w:rPr>
  </w:style>
  <w:style w:type="character" w:customStyle="1" w:styleId="309">
    <w:name w:val="highlight1"/>
    <w:qFormat/>
    <w:uiPriority w:val="0"/>
    <w:rPr>
      <w:rFonts w:eastAsia="宋体"/>
      <w:kern w:val="2"/>
      <w:sz w:val="21"/>
      <w:szCs w:val="21"/>
      <w:lang w:val="en-US" w:eastAsia="zh-CN" w:bidi="ar-SA"/>
    </w:rPr>
  </w:style>
  <w:style w:type="paragraph" w:customStyle="1" w:styleId="310">
    <w:name w:val="xl24"/>
    <w:basedOn w:val="1"/>
    <w:qFormat/>
    <w:uiPriority w:val="0"/>
    <w:pPr>
      <w:widowControl/>
      <w:pBdr>
        <w:bottom w:val="single" w:color="auto" w:sz="4" w:space="0"/>
      </w:pBdr>
      <w:spacing w:before="100" w:beforeAutospacing="1" w:after="100" w:afterAutospacing="1" w:line="540" w:lineRule="exact"/>
      <w:jc w:val="left"/>
    </w:pPr>
    <w:rPr>
      <w:rFonts w:ascii="Arial Unicode MS" w:hAnsi="Arial Unicode MS" w:eastAsia="Arial Unicode MS" w:cs="Arial Unicode MS"/>
      <w:b/>
      <w:bCs/>
      <w:kern w:val="0"/>
      <w:sz w:val="28"/>
      <w:szCs w:val="28"/>
    </w:rPr>
  </w:style>
  <w:style w:type="paragraph" w:customStyle="1" w:styleId="311">
    <w:name w:val="xl26"/>
    <w:basedOn w:val="1"/>
    <w:qFormat/>
    <w:uiPriority w:val="0"/>
    <w:pPr>
      <w:widowControl/>
      <w:spacing w:before="100" w:after="100" w:line="540" w:lineRule="exact"/>
      <w:jc w:val="center"/>
    </w:pPr>
    <w:rPr>
      <w:rFonts w:ascii="楷体_GB2312" w:eastAsia="楷体_GB2312"/>
      <w:kern w:val="0"/>
    </w:rPr>
  </w:style>
  <w:style w:type="paragraph" w:customStyle="1" w:styleId="312">
    <w:name w:val="xl44"/>
    <w:basedOn w:val="1"/>
    <w:qFormat/>
    <w:uiPriority w:val="0"/>
    <w:pPr>
      <w:widowControl/>
      <w:spacing w:before="100" w:beforeAutospacing="1" w:after="100" w:afterAutospacing="1" w:line="540" w:lineRule="exact"/>
      <w:jc w:val="center"/>
    </w:pPr>
    <w:rPr>
      <w:rFonts w:hint="eastAsia" w:ascii="楷体_GB2312" w:hAnsi="Arial Unicode MS" w:eastAsia="楷体_GB2312" w:cs="Arial Unicode MS"/>
      <w:b/>
      <w:bCs/>
      <w:kern w:val="0"/>
      <w:sz w:val="28"/>
      <w:szCs w:val="28"/>
    </w:rPr>
  </w:style>
  <w:style w:type="character" w:customStyle="1" w:styleId="313">
    <w:name w:val="报告正文 Char"/>
    <w:qFormat/>
    <w:uiPriority w:val="0"/>
    <w:rPr>
      <w:rFonts w:eastAsia="宋体"/>
      <w:kern w:val="2"/>
      <w:sz w:val="28"/>
      <w:lang w:val="en-US" w:eastAsia="zh-CN" w:bidi="ar-SA"/>
    </w:rPr>
  </w:style>
  <w:style w:type="paragraph" w:customStyle="1" w:styleId="314">
    <w:name w:val="表题 Char Char Char Char"/>
    <w:basedOn w:val="1"/>
    <w:qFormat/>
    <w:uiPriority w:val="0"/>
    <w:pPr>
      <w:spacing w:beforeLines="50" w:line="540" w:lineRule="exact"/>
      <w:jc w:val="center"/>
    </w:pPr>
    <w:rPr>
      <w:rFonts w:ascii="CG Times" w:hAnsi="CG Times" w:eastAsia="黑体"/>
      <w:kern w:val="0"/>
      <w:szCs w:val="24"/>
    </w:rPr>
  </w:style>
  <w:style w:type="paragraph" w:customStyle="1" w:styleId="315">
    <w:name w:val="样式 标题 3Sottoparagrafo + 段前: 自动 段后: 自动 行距: 多倍行距 1.73 字行"/>
    <w:basedOn w:val="5"/>
    <w:qFormat/>
    <w:uiPriority w:val="0"/>
    <w:pPr>
      <w:spacing w:beforeLines="50" w:afterLines="50" w:line="360" w:lineRule="exact"/>
    </w:pPr>
    <w:rPr>
      <w:rFonts w:ascii="楷体_GB2312" w:hAnsi="华文中宋" w:eastAsia="楷体_GB2312" w:cs="宋体"/>
      <w:w w:val="90"/>
      <w:sz w:val="28"/>
      <w:szCs w:val="20"/>
    </w:rPr>
  </w:style>
  <w:style w:type="paragraph" w:customStyle="1" w:styleId="316">
    <w:name w:val="正文1"/>
    <w:basedOn w:val="1"/>
    <w:qFormat/>
    <w:uiPriority w:val="0"/>
    <w:pPr>
      <w:spacing w:line="500" w:lineRule="exact"/>
    </w:pPr>
    <w:rPr>
      <w:rFonts w:eastAsia="楷体_GB2312"/>
      <w:bCs/>
      <w:kern w:val="13"/>
      <w:sz w:val="28"/>
      <w:szCs w:val="28"/>
    </w:rPr>
  </w:style>
  <w:style w:type="character" w:customStyle="1" w:styleId="317">
    <w:name w:val="标题 1 Char"/>
    <w:qFormat/>
    <w:uiPriority w:val="0"/>
    <w:rPr>
      <w:rFonts w:eastAsia="楷体_GB2312"/>
      <w:b/>
      <w:bCs/>
      <w:kern w:val="44"/>
      <w:sz w:val="38"/>
      <w:szCs w:val="44"/>
      <w:lang w:val="en-US" w:eastAsia="zh-CN" w:bidi="ar-SA"/>
    </w:rPr>
  </w:style>
  <w:style w:type="paragraph" w:customStyle="1" w:styleId="318">
    <w:name w:val="表"/>
    <w:basedOn w:val="45"/>
    <w:qFormat/>
    <w:uiPriority w:val="0"/>
    <w:pPr>
      <w:spacing w:line="400" w:lineRule="exact"/>
    </w:pPr>
    <w:rPr>
      <w:rFonts w:ascii="Times New Roman" w:hAnsi="宋体" w:eastAsia="华文中宋"/>
      <w:sz w:val="24"/>
      <w:szCs w:val="21"/>
    </w:rPr>
  </w:style>
  <w:style w:type="character" w:customStyle="1" w:styleId="319">
    <w:name w:val="表号 Char"/>
    <w:qFormat/>
    <w:uiPriority w:val="0"/>
    <w:rPr>
      <w:rFonts w:eastAsia="仿宋_GB2312"/>
      <w:b/>
      <w:bCs/>
      <w:kern w:val="2"/>
      <w:sz w:val="21"/>
      <w:szCs w:val="21"/>
      <w:lang w:val="en-US" w:eastAsia="zh-CN" w:bidi="ar-SA"/>
    </w:rPr>
  </w:style>
  <w:style w:type="character" w:customStyle="1" w:styleId="320">
    <w:name w:val="表号 Char1"/>
    <w:qFormat/>
    <w:uiPriority w:val="0"/>
    <w:rPr>
      <w:rFonts w:ascii="宋体" w:hAnsi="华文中宋" w:eastAsia="宋体"/>
      <w:snapToGrid/>
      <w:kern w:val="2"/>
      <w:sz w:val="21"/>
      <w:szCs w:val="24"/>
      <w:lang w:val="en-US" w:eastAsia="zh-CN" w:bidi="ar-SA"/>
    </w:rPr>
  </w:style>
  <w:style w:type="paragraph" w:customStyle="1" w:styleId="321">
    <w:name w:val="样式 标题 2 + 首行缩进:  1 字符"/>
    <w:basedOn w:val="4"/>
    <w:qFormat/>
    <w:uiPriority w:val="0"/>
    <w:pPr>
      <w:spacing w:beforeLines="50" w:afterLines="50" w:line="520" w:lineRule="exact"/>
      <w:ind w:left="-50" w:leftChars="-50" w:firstLine="100" w:firstLineChars="100"/>
    </w:pPr>
    <w:rPr>
      <w:rFonts w:eastAsia="华文中宋" w:cs="宋体"/>
      <w:bCs w:val="0"/>
      <w:w w:val="90"/>
      <w:szCs w:val="20"/>
      <w:lang w:val="en-US"/>
    </w:rPr>
  </w:style>
  <w:style w:type="paragraph" w:customStyle="1" w:styleId="322">
    <w:name w:val="样式 标题 2 + 左侧:  0.19 厘米"/>
    <w:basedOn w:val="4"/>
    <w:qFormat/>
    <w:uiPriority w:val="0"/>
    <w:pPr>
      <w:spacing w:beforeLines="50" w:afterLines="50" w:line="520" w:lineRule="exact"/>
      <w:ind w:left="105" w:leftChars="50"/>
    </w:pPr>
    <w:rPr>
      <w:rFonts w:eastAsia="华文中宋"/>
      <w:bCs w:val="0"/>
      <w:w w:val="90"/>
      <w:szCs w:val="20"/>
      <w:lang w:val="en-US"/>
    </w:rPr>
  </w:style>
  <w:style w:type="paragraph" w:customStyle="1" w:styleId="323">
    <w:name w:val="样式 标题 3 + 左侧:  1 字符 右侧:  1 字符"/>
    <w:basedOn w:val="5"/>
    <w:qFormat/>
    <w:uiPriority w:val="0"/>
    <w:pPr>
      <w:spacing w:beforeLines="50" w:afterLines="50" w:line="600" w:lineRule="exact"/>
      <w:ind w:right="100"/>
    </w:pPr>
    <w:rPr>
      <w:rFonts w:ascii="楷体_GB2312" w:hAnsi="华文中宋" w:eastAsia="楷体_GB2312" w:cs="宋体"/>
      <w:w w:val="90"/>
      <w:sz w:val="28"/>
      <w:szCs w:val="28"/>
    </w:rPr>
  </w:style>
  <w:style w:type="paragraph" w:customStyle="1" w:styleId="324">
    <w:name w:val="样式 标题 4 + 段前: 2.4 磅"/>
    <w:basedOn w:val="6"/>
    <w:qFormat/>
    <w:uiPriority w:val="0"/>
    <w:pPr>
      <w:spacing w:before="48"/>
    </w:pPr>
    <w:rPr>
      <w:rFonts w:ascii="Arial" w:hAnsi="Arial" w:eastAsia="华文中宋"/>
    </w:rPr>
  </w:style>
  <w:style w:type="paragraph" w:customStyle="1" w:styleId="325">
    <w:name w:val="样式 标题 4 + 首行缩进:  2 字符1"/>
    <w:basedOn w:val="6"/>
    <w:qFormat/>
    <w:uiPriority w:val="0"/>
    <w:pPr>
      <w:spacing w:line="500" w:lineRule="exact"/>
    </w:pPr>
    <w:rPr>
      <w:rFonts w:ascii="Arial" w:hAnsi="Arial" w:eastAsia="楷体_GB2312" w:cs="宋体"/>
      <w:szCs w:val="20"/>
    </w:rPr>
  </w:style>
  <w:style w:type="paragraph" w:customStyle="1" w:styleId="326">
    <w:name w:val="样式 标题 4 + 小四"/>
    <w:basedOn w:val="6"/>
    <w:qFormat/>
    <w:uiPriority w:val="0"/>
    <w:pPr>
      <w:spacing w:line="500" w:lineRule="exact"/>
    </w:pPr>
    <w:rPr>
      <w:rFonts w:ascii="Arial" w:hAnsi="Arial" w:eastAsia="楷体_GB2312"/>
    </w:rPr>
  </w:style>
  <w:style w:type="paragraph" w:customStyle="1" w:styleId="327">
    <w:name w:val="样式 表号 + 首行缩进:  1 字符"/>
    <w:basedOn w:val="172"/>
    <w:qFormat/>
    <w:uiPriority w:val="0"/>
    <w:pPr>
      <w:tabs>
        <w:tab w:val="left" w:pos="1395"/>
      </w:tabs>
      <w:adjustRightInd w:val="0"/>
      <w:snapToGrid w:val="0"/>
      <w:spacing w:line="540" w:lineRule="exact"/>
      <w:ind w:firstLine="0" w:firstLineChars="0"/>
    </w:pPr>
    <w:rPr>
      <w:rFonts w:ascii="楷体_GB2312" w:eastAsia="楷体_GB2312" w:cs="宋体"/>
      <w:b/>
      <w:bCs w:val="0"/>
      <w:kern w:val="10"/>
      <w:sz w:val="28"/>
      <w:szCs w:val="20"/>
      <w:lang w:val="zh-CN"/>
    </w:rPr>
  </w:style>
  <w:style w:type="paragraph" w:customStyle="1" w:styleId="328">
    <w:name w:val="样式 表名 + 六号"/>
    <w:basedOn w:val="286"/>
    <w:qFormat/>
    <w:uiPriority w:val="0"/>
    <w:pPr>
      <w:autoSpaceDE w:val="0"/>
      <w:autoSpaceDN w:val="0"/>
      <w:adjustRightInd w:val="0"/>
      <w:spacing w:beforeLines="50" w:after="0" w:line="540" w:lineRule="exact"/>
      <w:ind w:firstLine="0" w:firstLineChars="0"/>
      <w:textAlignment w:val="baseline"/>
    </w:pPr>
    <w:rPr>
      <w:rFonts w:ascii="Arial" w:hAnsi="Arial"/>
      <w:b/>
      <w:bCs/>
      <w:color w:val="auto"/>
      <w:kern w:val="0"/>
      <w:sz w:val="21"/>
      <w:szCs w:val="20"/>
    </w:rPr>
  </w:style>
  <w:style w:type="character" w:customStyle="1" w:styleId="329">
    <w:name w:val="样式 表名 + 六号 Char"/>
    <w:qFormat/>
    <w:uiPriority w:val="0"/>
    <w:rPr>
      <w:rFonts w:ascii="Arial" w:hAnsi="Arial" w:eastAsia="楷体_GB2312"/>
      <w:b/>
      <w:bCs/>
      <w:kern w:val="2"/>
      <w:sz w:val="21"/>
      <w:szCs w:val="24"/>
      <w:lang w:val="en-US" w:eastAsia="zh-CN" w:bidi="ar-SA"/>
    </w:rPr>
  </w:style>
  <w:style w:type="paragraph" w:customStyle="1" w:styleId="330">
    <w:name w:val="样式 首行缩进:  0.99 厘米"/>
    <w:basedOn w:val="1"/>
    <w:qFormat/>
    <w:uiPriority w:val="0"/>
    <w:pPr>
      <w:spacing w:line="540" w:lineRule="exact"/>
      <w:ind w:firstLine="561"/>
    </w:pPr>
    <w:rPr>
      <w:rFonts w:ascii="楷体_GB2312" w:eastAsia="仿宋_GB2312" w:cs="宋体"/>
      <w:b/>
      <w:kern w:val="0"/>
      <w:sz w:val="28"/>
    </w:rPr>
  </w:style>
  <w:style w:type="paragraph" w:customStyle="1" w:styleId="331">
    <w:name w:val="样式 样式 标题 4 + 首行缩进:  2 字符1 + 首行缩进:  2 字符"/>
    <w:basedOn w:val="325"/>
    <w:qFormat/>
    <w:uiPriority w:val="0"/>
    <w:rPr>
      <w:rFonts w:cs="Times New Roman"/>
      <w:szCs w:val="28"/>
    </w:rPr>
  </w:style>
  <w:style w:type="paragraph" w:customStyle="1" w:styleId="332">
    <w:name w:val="样式 样式 标题 4 + 小四 + 左侧:  1 字符"/>
    <w:basedOn w:val="326"/>
    <w:qFormat/>
    <w:uiPriority w:val="0"/>
    <w:rPr>
      <w:rFonts w:cs="宋体"/>
      <w:szCs w:val="20"/>
    </w:rPr>
  </w:style>
  <w:style w:type="paragraph" w:customStyle="1" w:styleId="333">
    <w:name w:val="样式 样式 表号 + 首行缩进:  1 字符 + Times New Roman 四号 非加粗 段前: 7.8 磅 行距..."/>
    <w:basedOn w:val="327"/>
    <w:qFormat/>
    <w:uiPriority w:val="0"/>
    <w:pPr>
      <w:ind w:firstLine="560"/>
    </w:pPr>
    <w:rPr>
      <w:rFonts w:ascii="Times New Roman"/>
      <w:b w:val="0"/>
      <w:bCs/>
      <w:kern w:val="0"/>
    </w:rPr>
  </w:style>
  <w:style w:type="paragraph" w:customStyle="1" w:styleId="334">
    <w:name w:val="样式 样式 正文1 + Times New Roman + 加粗 首行缩进:  2 字符"/>
    <w:basedOn w:val="1"/>
    <w:qFormat/>
    <w:uiPriority w:val="0"/>
    <w:pPr>
      <w:spacing w:line="480" w:lineRule="exact"/>
      <w:ind w:firstLine="562"/>
    </w:pPr>
    <w:rPr>
      <w:rFonts w:ascii="楷体_GB2312" w:eastAsia="仿宋_GB2312" w:cs="宋体"/>
      <w:b/>
      <w:bCs/>
      <w:color w:val="000000"/>
      <w:kern w:val="13"/>
      <w:sz w:val="28"/>
    </w:rPr>
  </w:style>
  <w:style w:type="paragraph" w:customStyle="1" w:styleId="335">
    <w:name w:val="样式 样式 正文1 + Times New Roman + 首行缩进:  2 字符"/>
    <w:basedOn w:val="1"/>
    <w:qFormat/>
    <w:uiPriority w:val="0"/>
    <w:pPr>
      <w:spacing w:line="480" w:lineRule="exact"/>
      <w:ind w:firstLine="562" w:firstLineChars="200"/>
    </w:pPr>
    <w:rPr>
      <w:rFonts w:ascii="楷体_GB2312" w:eastAsia="仿宋_GB2312"/>
      <w:b/>
      <w:bCs/>
      <w:color w:val="000000"/>
      <w:kern w:val="13"/>
      <w:sz w:val="28"/>
    </w:rPr>
  </w:style>
  <w:style w:type="paragraph" w:customStyle="1" w:styleId="336">
    <w:name w:val="样式 样式 正文4 + 首行缩进:  2 字符 + 加粗 首行缩进:  2 字符"/>
    <w:basedOn w:val="1"/>
    <w:qFormat/>
    <w:uiPriority w:val="0"/>
    <w:pPr>
      <w:spacing w:line="540" w:lineRule="exact"/>
      <w:ind w:firstLine="200" w:firstLineChars="200"/>
    </w:pPr>
    <w:rPr>
      <w:rFonts w:ascii="楷体_GB2312" w:eastAsia="仿宋_GB2312" w:cs="宋体"/>
      <w:b/>
      <w:bCs/>
      <w:color w:val="000000"/>
      <w:kern w:val="13"/>
      <w:sz w:val="28"/>
    </w:rPr>
  </w:style>
  <w:style w:type="paragraph" w:customStyle="1" w:styleId="337">
    <w:name w:val="样式 样式 正文4 + 首行缩进:  2 字符 + 加粗 首行缩进:  2 字符 行距: 固定值 27 磅"/>
    <w:basedOn w:val="1"/>
    <w:qFormat/>
    <w:uiPriority w:val="0"/>
    <w:pPr>
      <w:spacing w:line="540" w:lineRule="exact"/>
      <w:ind w:firstLine="200" w:firstLineChars="200"/>
    </w:pPr>
    <w:rPr>
      <w:rFonts w:ascii="楷体_GB2312" w:eastAsia="仿宋_GB2312" w:cs="宋体"/>
      <w:b/>
      <w:bCs/>
      <w:color w:val="000000"/>
      <w:kern w:val="13"/>
      <w:sz w:val="28"/>
    </w:rPr>
  </w:style>
  <w:style w:type="paragraph" w:customStyle="1" w:styleId="338">
    <w:name w:val="样式 样式 正文文本缩进 2 + 行距: 多倍行距 1.4 字行 + 首行缩进:  3 字符 段前: 1 行"/>
    <w:basedOn w:val="1"/>
    <w:qFormat/>
    <w:uiPriority w:val="0"/>
    <w:pPr>
      <w:spacing w:line="540" w:lineRule="exact"/>
      <w:ind w:firstLine="551" w:firstLineChars="196"/>
    </w:pPr>
    <w:rPr>
      <w:rFonts w:ascii="楷体_GB2312" w:eastAsia="楷体_GB2312" w:cs="宋体"/>
      <w:b/>
      <w:bCs/>
      <w:kern w:val="0"/>
      <w:sz w:val="28"/>
    </w:rPr>
  </w:style>
  <w:style w:type="paragraph" w:customStyle="1" w:styleId="339">
    <w:name w:val="样式 正文1 + Times New Roman"/>
    <w:basedOn w:val="316"/>
    <w:qFormat/>
    <w:uiPriority w:val="0"/>
    <w:pPr>
      <w:ind w:firstLine="560"/>
    </w:pPr>
    <w:rPr>
      <w:rFonts w:eastAsia="仿宋_GB2312"/>
      <w:b/>
      <w:color w:val="000000"/>
    </w:rPr>
  </w:style>
  <w:style w:type="paragraph" w:customStyle="1" w:styleId="340">
    <w:name w:val="样式 正文4 + 加粗 首行缩进:  2 字符 行距: 固定值 20 磅"/>
    <w:basedOn w:val="1"/>
    <w:qFormat/>
    <w:uiPriority w:val="0"/>
    <w:pPr>
      <w:spacing w:line="540" w:lineRule="exact"/>
      <w:ind w:firstLine="200"/>
    </w:pPr>
    <w:rPr>
      <w:rFonts w:ascii="楷体_GB2312" w:eastAsia="仿宋_GB2312" w:cs="宋体"/>
      <w:b/>
      <w:bCs/>
      <w:color w:val="000000"/>
      <w:kern w:val="13"/>
      <w:sz w:val="28"/>
    </w:rPr>
  </w:style>
  <w:style w:type="paragraph" w:customStyle="1" w:styleId="341">
    <w:name w:val="样式 正文4 + 首行缩进:  2 字符"/>
    <w:basedOn w:val="1"/>
    <w:qFormat/>
    <w:uiPriority w:val="0"/>
    <w:pPr>
      <w:spacing w:line="420" w:lineRule="exact"/>
      <w:ind w:firstLine="562" w:firstLineChars="200"/>
    </w:pPr>
    <w:rPr>
      <w:rFonts w:ascii="楷体_GB2312" w:eastAsia="仿宋_GB2312" w:cs="宋体"/>
      <w:bCs/>
      <w:color w:val="000000"/>
      <w:kern w:val="13"/>
      <w:sz w:val="28"/>
    </w:rPr>
  </w:style>
  <w:style w:type="paragraph" w:customStyle="1" w:styleId="342">
    <w:name w:val="样式 正文文本缩进 + 小四 段后: 0 磅 行距: 多倍行距 1.35 字行2"/>
    <w:basedOn w:val="35"/>
    <w:qFormat/>
    <w:uiPriority w:val="0"/>
    <w:pPr>
      <w:spacing w:beforeLines="50" w:after="0" w:line="540" w:lineRule="exact"/>
      <w:ind w:left="0" w:leftChars="0" w:firstLine="200" w:firstLineChars="200"/>
    </w:pPr>
    <w:rPr>
      <w:rFonts w:ascii="宋体" w:hAnsi="宋体" w:eastAsia="宋体" w:cs="宋体"/>
      <w:sz w:val="28"/>
      <w:lang w:val="en-US"/>
    </w:rPr>
  </w:style>
  <w:style w:type="character" w:customStyle="1" w:styleId="343">
    <w:name w:val="正文1号 Char"/>
    <w:qFormat/>
    <w:uiPriority w:val="0"/>
    <w:rPr>
      <w:rFonts w:eastAsia="楷体_GB2312" w:cs="宋体"/>
      <w:kern w:val="2"/>
      <w:sz w:val="28"/>
      <w:szCs w:val="24"/>
      <w:lang w:val="en-US" w:eastAsia="zh-CN" w:bidi="ar-SA"/>
    </w:rPr>
  </w:style>
  <w:style w:type="paragraph" w:customStyle="1" w:styleId="344">
    <w:name w:val="正文4"/>
    <w:basedOn w:val="339"/>
    <w:qFormat/>
    <w:uiPriority w:val="0"/>
    <w:pPr>
      <w:spacing w:line="480" w:lineRule="exact"/>
    </w:pPr>
    <w:rPr>
      <w:szCs w:val="20"/>
    </w:rPr>
  </w:style>
  <w:style w:type="paragraph" w:customStyle="1" w:styleId="345">
    <w:name w:val="font0"/>
    <w:basedOn w:val="1"/>
    <w:qFormat/>
    <w:uiPriority w:val="0"/>
    <w:pPr>
      <w:widowControl/>
      <w:spacing w:before="100" w:beforeAutospacing="1" w:after="100" w:afterAutospacing="1" w:line="540" w:lineRule="exact"/>
      <w:jc w:val="left"/>
    </w:pPr>
    <w:rPr>
      <w:rFonts w:hint="eastAsia" w:ascii="宋体" w:hAnsi="宋体" w:eastAsia="楷体_GB2312" w:cs="Arial Unicode MS"/>
      <w:kern w:val="0"/>
      <w:szCs w:val="24"/>
    </w:rPr>
  </w:style>
  <w:style w:type="paragraph" w:customStyle="1" w:styleId="346">
    <w:name w:val="font8"/>
    <w:basedOn w:val="1"/>
    <w:qFormat/>
    <w:uiPriority w:val="0"/>
    <w:pPr>
      <w:widowControl/>
      <w:spacing w:before="100" w:beforeAutospacing="1" w:after="100" w:afterAutospacing="1" w:line="540" w:lineRule="exact"/>
      <w:jc w:val="left"/>
    </w:pPr>
    <w:rPr>
      <w:rFonts w:hint="eastAsia" w:ascii="宋体" w:hAnsi="宋体" w:eastAsia="楷体_GB2312" w:cs="Arial Unicode MS"/>
      <w:kern w:val="0"/>
      <w:sz w:val="16"/>
      <w:szCs w:val="16"/>
    </w:rPr>
  </w:style>
  <w:style w:type="paragraph" w:customStyle="1" w:styleId="347">
    <w:name w:val="font9"/>
    <w:basedOn w:val="1"/>
    <w:qFormat/>
    <w:uiPriority w:val="0"/>
    <w:pPr>
      <w:widowControl/>
      <w:spacing w:before="100" w:beforeAutospacing="1" w:after="100" w:afterAutospacing="1" w:line="540" w:lineRule="exact"/>
      <w:jc w:val="left"/>
    </w:pPr>
    <w:rPr>
      <w:rFonts w:ascii="楷体_GB2312" w:eastAsia="Arial Unicode MS"/>
      <w:kern w:val="0"/>
      <w:sz w:val="16"/>
      <w:szCs w:val="16"/>
    </w:rPr>
  </w:style>
  <w:style w:type="paragraph" w:customStyle="1" w:styleId="348">
    <w:name w:val="xl27"/>
    <w:basedOn w:val="1"/>
    <w:qFormat/>
    <w:uiPriority w:val="0"/>
    <w:pPr>
      <w:widowControl/>
      <w:pBdr>
        <w:top w:val="single" w:color="auto" w:sz="4" w:space="0"/>
        <w:left w:val="single" w:color="auto" w:sz="4" w:space="0"/>
        <w:bottom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49">
    <w:name w:val="xl28"/>
    <w:basedOn w:val="1"/>
    <w:qFormat/>
    <w:uiPriority w:val="0"/>
    <w:pPr>
      <w:widowControl/>
      <w:pBdr>
        <w:top w:val="single" w:color="auto" w:sz="4" w:space="0"/>
        <w:bottom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0">
    <w:name w:val="xl29"/>
    <w:basedOn w:val="1"/>
    <w:qFormat/>
    <w:uiPriority w:val="0"/>
    <w:pPr>
      <w:widowControl/>
      <w:pBdr>
        <w:top w:val="single" w:color="auto" w:sz="4" w:space="0"/>
        <w:bottom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1">
    <w:name w:val="xl30"/>
    <w:basedOn w:val="1"/>
    <w:qFormat/>
    <w:uiPriority w:val="0"/>
    <w:pPr>
      <w:widowControl/>
      <w:pBdr>
        <w:left w:val="single" w:color="auto" w:sz="4" w:space="0"/>
        <w:bottom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2">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3">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40" w:lineRule="exact"/>
      <w:jc w:val="center"/>
    </w:pPr>
    <w:rPr>
      <w:rFonts w:ascii="楷体_GB2312" w:eastAsia="Arial Unicode MS"/>
      <w:kern w:val="0"/>
      <w:sz w:val="16"/>
      <w:szCs w:val="16"/>
    </w:rPr>
  </w:style>
  <w:style w:type="paragraph" w:customStyle="1" w:styleId="354">
    <w:name w:val="xl34"/>
    <w:basedOn w:val="1"/>
    <w:qFormat/>
    <w:uiPriority w:val="0"/>
    <w:pPr>
      <w:widowControl/>
      <w:pBdr>
        <w:left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5">
    <w:name w:val="xl35"/>
    <w:basedOn w:val="1"/>
    <w:qFormat/>
    <w:uiPriority w:val="0"/>
    <w:pPr>
      <w:widowControl/>
      <w:spacing w:before="100" w:beforeAutospacing="1" w:after="100" w:afterAutospacing="1" w:line="540" w:lineRule="exact"/>
      <w:jc w:val="center"/>
    </w:pPr>
    <w:rPr>
      <w:rFonts w:ascii="Arial Unicode MS" w:hAnsi="Arial Unicode MS" w:eastAsia="Arial Unicode MS" w:cs="Arial Unicode MS"/>
      <w:b/>
      <w:bCs/>
      <w:kern w:val="0"/>
      <w:sz w:val="28"/>
      <w:szCs w:val="28"/>
    </w:rPr>
  </w:style>
  <w:style w:type="paragraph" w:customStyle="1" w:styleId="356">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7">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540" w:lineRule="exact"/>
      <w:jc w:val="center"/>
      <w:textAlignment w:val="bottom"/>
    </w:pPr>
    <w:rPr>
      <w:rFonts w:ascii="楷体_GB2312" w:eastAsia="Arial Unicode MS"/>
      <w:kern w:val="0"/>
      <w:sz w:val="16"/>
      <w:szCs w:val="16"/>
    </w:rPr>
  </w:style>
  <w:style w:type="paragraph" w:customStyle="1" w:styleId="358">
    <w:name w:val="xl38"/>
    <w:basedOn w:val="1"/>
    <w:qFormat/>
    <w:uiPriority w:val="0"/>
    <w:pPr>
      <w:widowControl/>
      <w:pBdr>
        <w:left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paragraph" w:customStyle="1" w:styleId="359">
    <w:name w:val="xl39"/>
    <w:basedOn w:val="1"/>
    <w:qFormat/>
    <w:uiPriority w:val="0"/>
    <w:pPr>
      <w:widowControl/>
      <w:pBdr>
        <w:left w:val="single" w:color="auto" w:sz="4" w:space="0"/>
        <w:bottom w:val="single" w:color="auto" w:sz="4" w:space="0"/>
        <w:right w:val="single" w:color="auto" w:sz="4" w:space="0"/>
      </w:pBdr>
      <w:spacing w:before="100" w:beforeAutospacing="1" w:after="100" w:afterAutospacing="1" w:line="540" w:lineRule="exact"/>
      <w:jc w:val="center"/>
    </w:pPr>
    <w:rPr>
      <w:rFonts w:ascii="Arial Unicode MS" w:hAnsi="Arial Unicode MS" w:eastAsia="Arial Unicode MS" w:cs="Arial Unicode MS"/>
      <w:kern w:val="0"/>
      <w:sz w:val="16"/>
      <w:szCs w:val="16"/>
    </w:rPr>
  </w:style>
  <w:style w:type="character" w:customStyle="1" w:styleId="360">
    <w:name w:val="报告标题3 Char"/>
    <w:qFormat/>
    <w:uiPriority w:val="0"/>
    <w:rPr>
      <w:rFonts w:ascii="Arial" w:hAnsi="Arial" w:eastAsia="宋体"/>
      <w:b/>
      <w:kern w:val="2"/>
      <w:sz w:val="30"/>
      <w:szCs w:val="28"/>
      <w:lang w:val="en-US" w:eastAsia="zh-CN" w:bidi="ar-SA"/>
    </w:rPr>
  </w:style>
  <w:style w:type="character" w:customStyle="1" w:styleId="361">
    <w:name w:val="标题 4 Char Char2"/>
    <w:qFormat/>
    <w:uiPriority w:val="0"/>
    <w:rPr>
      <w:rFonts w:eastAsia="黑体"/>
      <w:bCs/>
      <w:kern w:val="2"/>
      <w:sz w:val="24"/>
      <w:szCs w:val="24"/>
      <w:lang w:val="en-US" w:eastAsia="zh-CN" w:bidi="ar-SA"/>
    </w:rPr>
  </w:style>
  <w:style w:type="paragraph" w:customStyle="1" w:styleId="362">
    <w:name w:val="样式 1.1.1.1 + 首行缩进:  2 字符 段前: 0.5 行 段后: 0.5 行"/>
    <w:basedOn w:val="1"/>
    <w:qFormat/>
    <w:uiPriority w:val="0"/>
    <w:pPr>
      <w:tabs>
        <w:tab w:val="left" w:pos="480"/>
        <w:tab w:val="left" w:pos="1920"/>
      </w:tabs>
      <w:spacing w:beforeLines="50" w:afterLines="50" w:line="460" w:lineRule="exact"/>
      <w:ind w:firstLine="560" w:firstLineChars="200"/>
      <w:outlineLvl w:val="3"/>
    </w:pPr>
    <w:rPr>
      <w:rFonts w:ascii="楷体_GB2312" w:eastAsia="楷体_GB2312"/>
      <w:kern w:val="0"/>
      <w:sz w:val="28"/>
    </w:rPr>
  </w:style>
  <w:style w:type="paragraph" w:customStyle="1" w:styleId="363">
    <w:name w:val="样式 宋体 小四 首行缩进:  0.85 厘米 行距: 固定值 24 磅"/>
    <w:basedOn w:val="1"/>
    <w:qFormat/>
    <w:uiPriority w:val="0"/>
    <w:pPr>
      <w:spacing w:line="540" w:lineRule="exact"/>
      <w:ind w:firstLine="480" w:firstLineChars="200"/>
    </w:pPr>
    <w:rPr>
      <w:rFonts w:ascii="楷体_GB2312" w:eastAsia="楷体_GB2312"/>
      <w:kern w:val="0"/>
      <w:szCs w:val="24"/>
    </w:rPr>
  </w:style>
  <w:style w:type="paragraph" w:customStyle="1" w:styleId="364">
    <w:name w:val="样式 宋体 小四 首行缩进:  0.85 厘米 行距: 固定值 24 磅1"/>
    <w:basedOn w:val="1"/>
    <w:qFormat/>
    <w:uiPriority w:val="0"/>
    <w:pPr>
      <w:spacing w:line="480" w:lineRule="exact"/>
      <w:ind w:firstLine="480"/>
    </w:pPr>
    <w:rPr>
      <w:rFonts w:ascii="宋体" w:hAnsi="宋体" w:eastAsia="楷体_GB2312"/>
      <w:kern w:val="0"/>
    </w:rPr>
  </w:style>
  <w:style w:type="paragraph" w:customStyle="1" w:styleId="365">
    <w:name w:val="1.1"/>
    <w:basedOn w:val="1"/>
    <w:qFormat/>
    <w:uiPriority w:val="0"/>
    <w:pPr>
      <w:spacing w:beforeLines="50" w:afterLines="50" w:line="480" w:lineRule="exact"/>
    </w:pPr>
    <w:rPr>
      <w:rFonts w:ascii="楷体_GB2312" w:eastAsia="黑体"/>
      <w:kern w:val="0"/>
      <w:sz w:val="30"/>
      <w:szCs w:val="24"/>
    </w:rPr>
  </w:style>
  <w:style w:type="paragraph" w:customStyle="1" w:styleId="366">
    <w:name w:val="报告标题2"/>
    <w:basedOn w:val="5"/>
    <w:next w:val="155"/>
    <w:qFormat/>
    <w:uiPriority w:val="0"/>
    <w:pPr>
      <w:spacing w:beforeLines="50" w:afterLines="50"/>
      <w:ind w:firstLine="199" w:firstLineChars="62"/>
    </w:pPr>
    <w:rPr>
      <w:rFonts w:ascii="楷体_GB2312" w:hAnsi="华文中宋"/>
      <w:b w:val="0"/>
      <w:w w:val="90"/>
      <w:sz w:val="28"/>
    </w:rPr>
  </w:style>
  <w:style w:type="paragraph" w:customStyle="1" w:styleId="367">
    <w:name w:val="报告标题3"/>
    <w:basedOn w:val="6"/>
    <w:next w:val="155"/>
    <w:qFormat/>
    <w:uiPriority w:val="0"/>
    <w:pPr>
      <w:spacing w:beforeLines="100" w:afterLines="100" w:line="360" w:lineRule="auto"/>
    </w:pPr>
    <w:rPr>
      <w:rFonts w:hAnsi="Arial"/>
      <w:bCs w:val="0"/>
    </w:rPr>
  </w:style>
  <w:style w:type="paragraph" w:customStyle="1" w:styleId="368">
    <w:name w:val="报告标题4"/>
    <w:basedOn w:val="367"/>
    <w:qFormat/>
    <w:uiPriority w:val="0"/>
    <w:pPr>
      <w:keepNext w:val="0"/>
      <w:keepLines w:val="0"/>
      <w:autoSpaceDE w:val="0"/>
      <w:spacing w:beforeLines="0" w:afterLines="0" w:line="540" w:lineRule="exact"/>
      <w:outlineLvl w:val="9"/>
    </w:pPr>
    <w:rPr>
      <w:rFonts w:ascii="Times New Roman" w:eastAsia="华文中宋"/>
      <w:bCs/>
    </w:rPr>
  </w:style>
  <w:style w:type="paragraph" w:customStyle="1" w:styleId="369">
    <w:name w:val="报告节"/>
    <w:basedOn w:val="3"/>
    <w:next w:val="21"/>
    <w:qFormat/>
    <w:uiPriority w:val="0"/>
    <w:pPr>
      <w:keepLines w:val="0"/>
      <w:tabs>
        <w:tab w:val="left" w:pos="251"/>
      </w:tabs>
      <w:spacing w:before="100" w:beforeAutospacing="1" w:after="100" w:afterAutospacing="1" w:line="520" w:lineRule="exact"/>
    </w:pPr>
    <w:rPr>
      <w:rFonts w:ascii="宋体" w:hAnsi="宋体" w:eastAsia="楷体_GB2312"/>
      <w:b w:val="0"/>
      <w:w w:val="90"/>
      <w:kern w:val="2"/>
      <w:sz w:val="24"/>
      <w:szCs w:val="20"/>
      <w:lang w:val="en-US"/>
    </w:rPr>
  </w:style>
  <w:style w:type="paragraph" w:customStyle="1" w:styleId="370">
    <w:name w:val="样式 宋体 小四 左 行距: 固定值 24 磅"/>
    <w:basedOn w:val="1"/>
    <w:qFormat/>
    <w:uiPriority w:val="0"/>
    <w:pPr>
      <w:spacing w:line="480" w:lineRule="exact"/>
      <w:ind w:firstLine="480" w:firstLineChars="200"/>
      <w:jc w:val="left"/>
    </w:pPr>
    <w:rPr>
      <w:rFonts w:ascii="宋体" w:hAnsi="宋体" w:eastAsia="楷体_GB2312" w:cs="宋体"/>
      <w:kern w:val="0"/>
      <w:sz w:val="28"/>
    </w:rPr>
  </w:style>
  <w:style w:type="paragraph" w:customStyle="1" w:styleId="371">
    <w:name w:val="样式 样式 宋体 小四 左 行距: 固定值 24 磅 + 首行缩进:  2 字符"/>
    <w:basedOn w:val="370"/>
    <w:qFormat/>
    <w:uiPriority w:val="0"/>
    <w:pPr>
      <w:ind w:firstLine="420"/>
    </w:pPr>
    <w:rPr>
      <w:sz w:val="24"/>
    </w:rPr>
  </w:style>
  <w:style w:type="paragraph" w:customStyle="1" w:styleId="372">
    <w:name w:val="数字标题1"/>
    <w:basedOn w:val="1"/>
    <w:qFormat/>
    <w:uiPriority w:val="0"/>
    <w:pPr>
      <w:widowControl/>
      <w:spacing w:line="540" w:lineRule="exact"/>
    </w:pPr>
    <w:rPr>
      <w:rFonts w:ascii="楷体_GB2312" w:eastAsia="楷体_GB2312"/>
      <w:kern w:val="0"/>
      <w:sz w:val="28"/>
      <w:szCs w:val="24"/>
    </w:rPr>
  </w:style>
  <w:style w:type="paragraph" w:customStyle="1" w:styleId="373">
    <w:name w:val="样式12"/>
    <w:basedOn w:val="1"/>
    <w:qFormat/>
    <w:uiPriority w:val="0"/>
    <w:pPr>
      <w:spacing w:beforeLines="50" w:afterLines="50" w:line="540" w:lineRule="exact"/>
    </w:pPr>
    <w:rPr>
      <w:rFonts w:ascii="楷体_GB2312" w:eastAsia="黑体"/>
      <w:b/>
      <w:color w:val="000000"/>
      <w:kern w:val="0"/>
      <w:sz w:val="32"/>
      <w:szCs w:val="32"/>
    </w:rPr>
  </w:style>
  <w:style w:type="character" w:customStyle="1" w:styleId="374">
    <w:name w:val="正文文字缩进 Char Char Char Char Char Char Char Char Char Char Char Char Char Char Char Char Char Char Char Char Char Char Char Char Char Char Char Char Char Char Char Char Char Char Char Char Char Char Char Char Char Char Ch"/>
    <w:qFormat/>
    <w:uiPriority w:val="0"/>
    <w:rPr>
      <w:rFonts w:eastAsia="宋体"/>
      <w:kern w:val="2"/>
      <w:sz w:val="24"/>
      <w:szCs w:val="24"/>
      <w:lang w:val="en-US" w:eastAsia="zh-CN" w:bidi="ar-SA"/>
    </w:rPr>
  </w:style>
  <w:style w:type="paragraph" w:customStyle="1" w:styleId="375">
    <w:name w:val="样式 标题 3 + 楷体_GB2312 段前: 15.6 磅 段后: 7.8 磅 行距: 单倍行距1"/>
    <w:basedOn w:val="5"/>
    <w:qFormat/>
    <w:uiPriority w:val="0"/>
    <w:pPr>
      <w:spacing w:beforeLines="50" w:afterLines="50" w:line="240" w:lineRule="auto"/>
    </w:pPr>
    <w:rPr>
      <w:rFonts w:ascii="楷体_GB2312" w:hAnsi="宋体" w:cs="宋体"/>
      <w:w w:val="90"/>
      <w:szCs w:val="20"/>
    </w:rPr>
  </w:style>
  <w:style w:type="paragraph" w:customStyle="1" w:styleId="376">
    <w:name w:val="正文中图名"/>
    <w:basedOn w:val="1"/>
    <w:next w:val="1"/>
    <w:qFormat/>
    <w:uiPriority w:val="0"/>
    <w:pPr>
      <w:jc w:val="center"/>
    </w:pPr>
    <w:rPr>
      <w:rFonts w:eastAsia="楷体_GB2312"/>
      <w:b/>
      <w:bCs/>
      <w:sz w:val="21"/>
      <w:szCs w:val="24"/>
    </w:rPr>
  </w:style>
  <w:style w:type="paragraph" w:customStyle="1" w:styleId="377">
    <w:name w:val="图中文字"/>
    <w:qFormat/>
    <w:uiPriority w:val="0"/>
    <w:pPr>
      <w:widowControl w:val="0"/>
      <w:snapToGrid w:val="0"/>
      <w:spacing w:line="340" w:lineRule="exact"/>
      <w:jc w:val="center"/>
    </w:pPr>
    <w:rPr>
      <w:rFonts w:ascii="宋体" w:hAnsi="Times New Roman" w:eastAsia="宋体" w:cs="Times New Roman"/>
      <w:kern w:val="2"/>
      <w:sz w:val="21"/>
      <w:szCs w:val="21"/>
      <w:lang w:val="en-US" w:eastAsia="zh-CN" w:bidi="ar-SA"/>
    </w:rPr>
  </w:style>
  <w:style w:type="paragraph" w:customStyle="1" w:styleId="378">
    <w:name w:val="参考文献"/>
    <w:basedOn w:val="1"/>
    <w:qFormat/>
    <w:uiPriority w:val="0"/>
    <w:pPr>
      <w:widowControl/>
      <w:autoSpaceDE w:val="0"/>
      <w:autoSpaceDN w:val="0"/>
      <w:adjustRightInd w:val="0"/>
      <w:spacing w:line="318" w:lineRule="atLeast"/>
      <w:textAlignment w:val="bottom"/>
    </w:pPr>
    <w:rPr>
      <w:rFonts w:eastAsia="宋体"/>
      <w:kern w:val="0"/>
      <w:sz w:val="21"/>
    </w:rPr>
  </w:style>
  <w:style w:type="paragraph" w:customStyle="1" w:styleId="379">
    <w:name w:val="xl40"/>
    <w:basedOn w:val="1"/>
    <w:qFormat/>
    <w:uiPriority w:val="0"/>
    <w:pPr>
      <w:widowControl/>
      <w:pBdr>
        <w:top w:val="single" w:color="FF00FF" w:sz="4" w:space="0"/>
        <w:left w:val="single" w:color="FF00FF" w:sz="4" w:space="0"/>
        <w:bottom w:val="single" w:color="auto" w:sz="8" w:space="0"/>
        <w:right w:val="single" w:color="FF00FF" w:sz="4" w:space="0"/>
      </w:pBdr>
      <w:spacing w:before="100" w:beforeAutospacing="1" w:after="100" w:afterAutospacing="1"/>
      <w:jc w:val="left"/>
    </w:pPr>
    <w:rPr>
      <w:rFonts w:ascii="Arial Unicode MS" w:hAnsi="Arial Unicode MS" w:eastAsia="Arial Unicode MS" w:cs="Arial Unicode MS"/>
      <w:kern w:val="0"/>
      <w:sz w:val="20"/>
    </w:rPr>
  </w:style>
  <w:style w:type="paragraph" w:customStyle="1" w:styleId="380">
    <w:name w:val="xl41"/>
    <w:basedOn w:val="1"/>
    <w:qFormat/>
    <w:uiPriority w:val="0"/>
    <w:pPr>
      <w:widowControl/>
      <w:pBdr>
        <w:top w:val="single" w:color="FF00FF" w:sz="4" w:space="0"/>
        <w:left w:val="single" w:color="FF00FF" w:sz="4" w:space="0"/>
        <w:bottom w:val="single" w:color="auto" w:sz="8" w:space="0"/>
        <w:right w:val="single" w:color="FF00FF" w:sz="4" w:space="0"/>
      </w:pBdr>
      <w:spacing w:before="100" w:beforeAutospacing="1" w:after="100" w:afterAutospacing="1"/>
      <w:jc w:val="left"/>
    </w:pPr>
    <w:rPr>
      <w:rFonts w:ascii="Arial Unicode MS" w:hAnsi="Arial Unicode MS" w:eastAsia="Arial Unicode MS" w:cs="Arial Unicode MS"/>
      <w:color w:val="FF0000"/>
      <w:kern w:val="0"/>
      <w:sz w:val="20"/>
    </w:rPr>
  </w:style>
  <w:style w:type="paragraph" w:customStyle="1" w:styleId="381">
    <w:name w:val="xl42"/>
    <w:basedOn w:val="1"/>
    <w:qFormat/>
    <w:uiPriority w:val="0"/>
    <w:pPr>
      <w:widowControl/>
      <w:pBdr>
        <w:top w:val="single" w:color="FF00FF" w:sz="4" w:space="0"/>
        <w:left w:val="single" w:color="FF00FF" w:sz="4" w:space="0"/>
        <w:bottom w:val="single" w:color="auto" w:sz="8" w:space="0"/>
        <w:right w:val="single" w:color="auto" w:sz="8" w:space="0"/>
      </w:pBdr>
      <w:spacing w:before="100" w:beforeAutospacing="1" w:after="100" w:afterAutospacing="1"/>
      <w:jc w:val="left"/>
    </w:pPr>
    <w:rPr>
      <w:rFonts w:ascii="Arial Unicode MS" w:hAnsi="Arial Unicode MS" w:eastAsia="Arial Unicode MS" w:cs="Arial Unicode MS"/>
      <w:kern w:val="0"/>
      <w:sz w:val="20"/>
    </w:rPr>
  </w:style>
  <w:style w:type="paragraph" w:customStyle="1" w:styleId="382">
    <w:name w:val="xl43"/>
    <w:basedOn w:val="1"/>
    <w:qFormat/>
    <w:uiPriority w:val="0"/>
    <w:pPr>
      <w:widowControl/>
      <w:pBdr>
        <w:bottom w:val="single" w:color="auto" w:sz="8" w:space="0"/>
      </w:pBdr>
      <w:spacing w:before="100" w:beforeAutospacing="1" w:after="100" w:afterAutospacing="1"/>
      <w:jc w:val="center"/>
      <w:textAlignment w:val="bottom"/>
    </w:pPr>
    <w:rPr>
      <w:rFonts w:hint="eastAsia" w:ascii="楷体_GB2312" w:hAnsi="Arial Unicode MS" w:eastAsia="楷体_GB2312" w:cs="Arial Unicode MS"/>
      <w:kern w:val="0"/>
      <w:szCs w:val="24"/>
    </w:rPr>
  </w:style>
  <w:style w:type="paragraph" w:customStyle="1" w:styleId="383">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0"/>
    </w:rPr>
  </w:style>
  <w:style w:type="paragraph" w:customStyle="1" w:styleId="384">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rPr>
  </w:style>
  <w:style w:type="paragraph" w:customStyle="1" w:styleId="385">
    <w:name w:val="xl4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ascii="Arial Unicode MS" w:hAnsi="Arial Unicode MS" w:eastAsia="Arial Unicode MS" w:cs="Arial Unicode MS"/>
      <w:kern w:val="0"/>
      <w:sz w:val="20"/>
    </w:rPr>
  </w:style>
  <w:style w:type="paragraph" w:customStyle="1" w:styleId="386">
    <w:name w:val="xl46"/>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eastAsia="Arial Unicode MS"/>
      <w:kern w:val="0"/>
      <w:sz w:val="20"/>
    </w:rPr>
  </w:style>
  <w:style w:type="paragraph" w:customStyle="1" w:styleId="387">
    <w:name w:val="xl47"/>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eastAsia="Arial Unicode MS" w:cs="Arial Unicode MS"/>
      <w:kern w:val="0"/>
      <w:sz w:val="20"/>
    </w:rPr>
  </w:style>
  <w:style w:type="paragraph" w:customStyle="1" w:styleId="388">
    <w:name w:val="xl49"/>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pPr>
    <w:rPr>
      <w:rFonts w:ascii="Arial Unicode MS" w:hAnsi="Arial Unicode MS" w:eastAsia="Arial Unicode MS" w:cs="Arial Unicode MS"/>
      <w:kern w:val="0"/>
      <w:sz w:val="20"/>
    </w:rPr>
  </w:style>
  <w:style w:type="paragraph" w:customStyle="1" w:styleId="389">
    <w:name w:val="xl5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eastAsia="宋体" w:cs="宋体"/>
      <w:kern w:val="0"/>
      <w:sz w:val="20"/>
    </w:rPr>
  </w:style>
  <w:style w:type="paragraph" w:customStyle="1" w:styleId="390">
    <w:name w:val="xl5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rPr>
  </w:style>
  <w:style w:type="paragraph" w:customStyle="1" w:styleId="391">
    <w:name w:val="xl52"/>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rPr>
  </w:style>
  <w:style w:type="paragraph" w:customStyle="1" w:styleId="392">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393">
    <w:name w:val="xl54"/>
    <w:basedOn w:val="1"/>
    <w:qFormat/>
    <w:uiPriority w:val="0"/>
    <w:pPr>
      <w:widowControl/>
      <w:pBdr>
        <w:top w:val="single" w:color="auto" w:sz="4" w:space="0"/>
        <w:left w:val="single" w:color="auto" w:sz="8" w:space="0"/>
        <w:right w:val="single" w:color="auto" w:sz="4" w:space="0"/>
      </w:pBdr>
      <w:spacing w:before="100" w:beforeAutospacing="1" w:after="100" w:afterAutospacing="1"/>
      <w:jc w:val="center"/>
    </w:pPr>
    <w:rPr>
      <w:rFonts w:ascii="宋体" w:hAnsi="宋体" w:eastAsia="宋体" w:cs="宋体"/>
      <w:kern w:val="0"/>
      <w:sz w:val="20"/>
    </w:rPr>
  </w:style>
  <w:style w:type="paragraph" w:customStyle="1" w:styleId="394">
    <w:name w:val="xl55"/>
    <w:basedOn w:val="1"/>
    <w:qFormat/>
    <w:uiPriority w:val="0"/>
    <w:pPr>
      <w:widowControl/>
      <w:pBdr>
        <w:left w:val="single" w:color="auto" w:sz="8"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395">
    <w:name w:val="xl56"/>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396">
    <w:name w:val="xl5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color w:val="0000FF"/>
      <w:kern w:val="0"/>
      <w:sz w:val="20"/>
    </w:rPr>
  </w:style>
  <w:style w:type="paragraph" w:customStyle="1" w:styleId="397">
    <w:name w:val="xl58"/>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kern w:val="0"/>
      <w:sz w:val="20"/>
    </w:rPr>
  </w:style>
  <w:style w:type="paragraph" w:customStyle="1" w:styleId="398">
    <w:name w:val="xl59"/>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kern w:val="0"/>
      <w:szCs w:val="24"/>
    </w:rPr>
  </w:style>
  <w:style w:type="paragraph" w:customStyle="1" w:styleId="399">
    <w:name w:val="xl60"/>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kern w:val="0"/>
      <w:sz w:val="20"/>
    </w:rPr>
  </w:style>
  <w:style w:type="paragraph" w:customStyle="1" w:styleId="400">
    <w:name w:val="xl61"/>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color w:val="0000FF"/>
      <w:kern w:val="0"/>
      <w:sz w:val="20"/>
    </w:rPr>
  </w:style>
  <w:style w:type="paragraph" w:customStyle="1" w:styleId="401">
    <w:name w:val="xl62"/>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color w:val="0000FF"/>
      <w:kern w:val="0"/>
      <w:szCs w:val="24"/>
    </w:rPr>
  </w:style>
  <w:style w:type="paragraph" w:customStyle="1" w:styleId="402">
    <w:name w:val="xl63"/>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eastAsia="宋体" w:cs="宋体"/>
      <w:color w:val="0000FF"/>
      <w:kern w:val="0"/>
      <w:sz w:val="20"/>
    </w:rPr>
  </w:style>
  <w:style w:type="paragraph" w:customStyle="1" w:styleId="403">
    <w:name w:val="xl64"/>
    <w:basedOn w:val="1"/>
    <w:qFormat/>
    <w:uiPriority w:val="0"/>
    <w:pPr>
      <w:widowControl/>
      <w:spacing w:before="100" w:beforeAutospacing="1" w:after="100" w:afterAutospacing="1"/>
      <w:jc w:val="center"/>
    </w:pPr>
    <w:rPr>
      <w:rFonts w:ascii="宋体" w:hAnsi="宋体" w:eastAsia="宋体" w:cs="宋体"/>
      <w:b/>
      <w:bCs/>
      <w:kern w:val="0"/>
      <w:sz w:val="28"/>
      <w:szCs w:val="28"/>
    </w:rPr>
  </w:style>
  <w:style w:type="paragraph" w:customStyle="1" w:styleId="404">
    <w:name w:val="规划正文"/>
    <w:basedOn w:val="1"/>
    <w:qFormat/>
    <w:uiPriority w:val="0"/>
    <w:pPr>
      <w:spacing w:line="312" w:lineRule="auto"/>
      <w:ind w:firstLine="200" w:firstLineChars="200"/>
    </w:pPr>
    <w:rPr>
      <w:rFonts w:eastAsia="宋体"/>
      <w:szCs w:val="24"/>
    </w:rPr>
  </w:style>
  <w:style w:type="character" w:customStyle="1" w:styleId="405">
    <w:name w:val="td14"/>
    <w:basedOn w:val="90"/>
    <w:qFormat/>
    <w:uiPriority w:val="0"/>
  </w:style>
  <w:style w:type="character" w:customStyle="1" w:styleId="406">
    <w:name w:val="javascript"/>
    <w:basedOn w:val="90"/>
    <w:qFormat/>
    <w:uiPriority w:val="0"/>
  </w:style>
  <w:style w:type="character" w:customStyle="1" w:styleId="407">
    <w:name w:val="t_tag"/>
    <w:basedOn w:val="90"/>
    <w:qFormat/>
    <w:uiPriority w:val="0"/>
  </w:style>
  <w:style w:type="character" w:customStyle="1" w:styleId="408">
    <w:name w:val="正文文字1 Char"/>
    <w:qFormat/>
    <w:uiPriority w:val="0"/>
    <w:rPr>
      <w:rFonts w:eastAsia="华文中宋"/>
      <w:kern w:val="2"/>
      <w:sz w:val="24"/>
      <w:szCs w:val="24"/>
      <w:lang w:val="en-US" w:eastAsia="zh-CN" w:bidi="ar-SA"/>
    </w:rPr>
  </w:style>
  <w:style w:type="character" w:customStyle="1" w:styleId="409">
    <w:name w:val="纯文本 Char Char Char Char Char Char Char Char1"/>
    <w:qFormat/>
    <w:uiPriority w:val="0"/>
    <w:rPr>
      <w:rFonts w:ascii="宋体" w:hAnsi="Courier New" w:eastAsia="仿宋_GB2312"/>
      <w:kern w:val="2"/>
      <w:sz w:val="28"/>
      <w:szCs w:val="21"/>
      <w:lang w:val="en-US" w:eastAsia="zh-CN" w:bidi="ar-SA"/>
    </w:rPr>
  </w:style>
  <w:style w:type="paragraph" w:customStyle="1" w:styleId="410">
    <w:name w:val="Char1"/>
    <w:basedOn w:val="1"/>
    <w:qFormat/>
    <w:uiPriority w:val="0"/>
    <w:pPr>
      <w:ind w:firstLine="200" w:firstLineChars="200"/>
    </w:pPr>
    <w:rPr>
      <w:rFonts w:eastAsia="宋体"/>
      <w:szCs w:val="24"/>
    </w:rPr>
  </w:style>
  <w:style w:type="paragraph" w:customStyle="1" w:styleId="411">
    <w:name w:val="Char Char Char Char Char Char Char"/>
    <w:basedOn w:val="1"/>
    <w:qFormat/>
    <w:uiPriority w:val="0"/>
    <w:rPr>
      <w:rFonts w:eastAsia="宋体"/>
      <w:sz w:val="21"/>
      <w:szCs w:val="24"/>
    </w:rPr>
  </w:style>
  <w:style w:type="paragraph" w:customStyle="1" w:styleId="412">
    <w:name w:val="样式15"/>
    <w:basedOn w:val="7"/>
    <w:qFormat/>
    <w:uiPriority w:val="0"/>
    <w:pPr>
      <w:ind w:firstLine="480" w:firstLineChars="200"/>
    </w:pPr>
    <w:rPr>
      <w:rFonts w:ascii="仿宋_GB2312" w:eastAsia="仿宋_GB2312"/>
      <w:bCs w:val="0"/>
      <w:szCs w:val="24"/>
    </w:rPr>
  </w:style>
  <w:style w:type="paragraph" w:customStyle="1" w:styleId="413">
    <w:name w:val="表格名称"/>
    <w:basedOn w:val="1"/>
    <w:next w:val="1"/>
    <w:qFormat/>
    <w:uiPriority w:val="0"/>
    <w:pPr>
      <w:keepNext/>
      <w:spacing w:line="320" w:lineRule="exact"/>
      <w:ind w:left="210" w:firstLine="357"/>
      <w:jc w:val="center"/>
    </w:pPr>
    <w:rPr>
      <w:rFonts w:ascii="宋体" w:eastAsia="宋体"/>
      <w:b/>
      <w:sz w:val="21"/>
    </w:rPr>
  </w:style>
  <w:style w:type="paragraph" w:customStyle="1" w:styleId="414">
    <w:name w:val="2 Char"/>
    <w:basedOn w:val="1"/>
    <w:qFormat/>
    <w:uiPriority w:val="0"/>
    <w:pPr>
      <w:spacing w:line="460" w:lineRule="exact"/>
      <w:ind w:firstLine="200" w:firstLineChars="200"/>
    </w:pPr>
    <w:rPr>
      <w:rFonts w:ascii="仿宋_GB2312" w:eastAsia="仿宋_GB2312"/>
      <w:szCs w:val="24"/>
    </w:rPr>
  </w:style>
  <w:style w:type="paragraph" w:customStyle="1" w:styleId="415">
    <w:name w:val="标题二"/>
    <w:basedOn w:val="4"/>
    <w:qFormat/>
    <w:uiPriority w:val="0"/>
    <w:pPr>
      <w:spacing w:before="120" w:after="120" w:line="560" w:lineRule="exact"/>
      <w:ind w:firstLine="640"/>
      <w:jc w:val="left"/>
    </w:pPr>
    <w:rPr>
      <w:rFonts w:ascii="黑体" w:cs="Arial"/>
      <w:bCs w:val="0"/>
      <w:sz w:val="28"/>
      <w:szCs w:val="28"/>
      <w:lang w:val="en-US"/>
    </w:rPr>
  </w:style>
  <w:style w:type="paragraph" w:customStyle="1" w:styleId="416">
    <w:name w:val="zw"/>
    <w:basedOn w:val="1"/>
    <w:qFormat/>
    <w:uiPriority w:val="0"/>
    <w:pPr>
      <w:widowControl/>
      <w:spacing w:before="30"/>
      <w:ind w:left="100" w:right="100"/>
    </w:pPr>
    <w:rPr>
      <w:rFonts w:ascii="方正书宋简体" w:hAnsi="宋体" w:eastAsia="方正书宋简体"/>
      <w:color w:val="000000"/>
      <w:kern w:val="0"/>
      <w:sz w:val="21"/>
      <w:szCs w:val="21"/>
    </w:rPr>
  </w:style>
  <w:style w:type="paragraph" w:customStyle="1" w:styleId="417">
    <w:name w:val="标题1"/>
    <w:basedOn w:val="1"/>
    <w:qFormat/>
    <w:uiPriority w:val="0"/>
    <w:pPr>
      <w:spacing w:before="240" w:after="240" w:line="460" w:lineRule="exact"/>
      <w:ind w:right="-1369" w:rightChars="-489"/>
      <w:jc w:val="left"/>
      <w:outlineLvl w:val="0"/>
    </w:pPr>
    <w:rPr>
      <w:rFonts w:ascii="Arial" w:hAnsi="Arial" w:eastAsia="黑体" w:cs="宋体"/>
      <w:sz w:val="36"/>
      <w:szCs w:val="36"/>
    </w:rPr>
  </w:style>
  <w:style w:type="character" w:customStyle="1" w:styleId="418">
    <w:name w:val="hangju"/>
    <w:basedOn w:val="90"/>
    <w:qFormat/>
    <w:uiPriority w:val="0"/>
  </w:style>
  <w:style w:type="paragraph" w:customStyle="1" w:styleId="419">
    <w:name w:val="默认段落字体 Para Char"/>
    <w:basedOn w:val="1"/>
    <w:qFormat/>
    <w:uiPriority w:val="0"/>
    <w:rPr>
      <w:rFonts w:eastAsia="宋体"/>
      <w:sz w:val="21"/>
      <w:szCs w:val="24"/>
    </w:rPr>
  </w:style>
  <w:style w:type="paragraph" w:customStyle="1" w:styleId="420">
    <w:name w:val="样式 样式 (西文) 宋体 四号 黑色 行距: 1.5 倍行距 + 首行缩进:  2 字符"/>
    <w:basedOn w:val="421"/>
    <w:qFormat/>
    <w:uiPriority w:val="0"/>
    <w:pPr>
      <w:ind w:firstLine="200"/>
    </w:pPr>
    <w:rPr>
      <w:szCs w:val="20"/>
    </w:rPr>
  </w:style>
  <w:style w:type="paragraph" w:customStyle="1" w:styleId="421">
    <w:name w:val="样式 (西文) 宋体 四号 黑色 行距: 1.5 倍行距"/>
    <w:basedOn w:val="1"/>
    <w:qFormat/>
    <w:uiPriority w:val="0"/>
    <w:pPr>
      <w:spacing w:line="360" w:lineRule="auto"/>
      <w:ind w:firstLine="560" w:firstLineChars="200"/>
    </w:pPr>
    <w:rPr>
      <w:rFonts w:eastAsia="宋体" w:cs="宋体"/>
      <w:color w:val="000000"/>
      <w:sz w:val="21"/>
      <w:szCs w:val="21"/>
    </w:rPr>
  </w:style>
  <w:style w:type="paragraph" w:customStyle="1" w:styleId="422">
    <w:name w:val="样式 样式 标题 1章标题 1b1 + (中文) 黑体 四号 黑色 段前: 13 磅 段后: 13 磅 行距: 多倍行距... ..."/>
    <w:basedOn w:val="1"/>
    <w:qFormat/>
    <w:uiPriority w:val="0"/>
    <w:pPr>
      <w:keepNext/>
      <w:keepLines/>
      <w:tabs>
        <w:tab w:val="left" w:pos="0"/>
      </w:tabs>
      <w:spacing w:before="120" w:after="120" w:line="360" w:lineRule="auto"/>
      <w:outlineLvl w:val="0"/>
    </w:pPr>
    <w:rPr>
      <w:rFonts w:ascii="黑体" w:eastAsia="黑体" w:cs="宋体"/>
      <w:b/>
      <w:bCs/>
      <w:color w:val="000000"/>
      <w:kern w:val="44"/>
      <w:szCs w:val="24"/>
    </w:rPr>
  </w:style>
  <w:style w:type="paragraph" w:customStyle="1" w:styleId="423">
    <w:name w:val="样式 标题 1章标题 1b1 + (中文) 黑体 四号"/>
    <w:basedOn w:val="3"/>
    <w:next w:val="3"/>
    <w:qFormat/>
    <w:uiPriority w:val="0"/>
    <w:pPr>
      <w:tabs>
        <w:tab w:val="left" w:pos="0"/>
      </w:tabs>
      <w:spacing w:after="120" w:line="240" w:lineRule="auto"/>
      <w:jc w:val="left"/>
    </w:pPr>
    <w:rPr>
      <w:rFonts w:hAnsi="Arial"/>
      <w:b w:val="0"/>
      <w:kern w:val="0"/>
      <w:lang w:val="en-US"/>
    </w:rPr>
  </w:style>
  <w:style w:type="character" w:customStyle="1" w:styleId="424">
    <w:name w:val="ps221"/>
    <w:basedOn w:val="90"/>
    <w:qFormat/>
    <w:uiPriority w:val="0"/>
  </w:style>
  <w:style w:type="character" w:customStyle="1" w:styleId="425">
    <w:name w:val="ps231"/>
    <w:basedOn w:val="90"/>
    <w:qFormat/>
    <w:uiPriority w:val="0"/>
  </w:style>
  <w:style w:type="character" w:customStyle="1" w:styleId="426">
    <w:name w:val="ps310"/>
    <w:basedOn w:val="90"/>
    <w:qFormat/>
    <w:uiPriority w:val="0"/>
  </w:style>
  <w:style w:type="character" w:customStyle="1" w:styleId="427">
    <w:name w:val="em01"/>
    <w:qFormat/>
    <w:uiPriority w:val="0"/>
    <w:rPr>
      <w:sz w:val="14"/>
      <w:szCs w:val="14"/>
    </w:rPr>
  </w:style>
  <w:style w:type="character" w:customStyle="1" w:styleId="428">
    <w:name w:val="ps410"/>
    <w:basedOn w:val="90"/>
    <w:qFormat/>
    <w:uiPriority w:val="0"/>
  </w:style>
  <w:style w:type="character" w:customStyle="1" w:styleId="429">
    <w:name w:val="ps341"/>
    <w:basedOn w:val="90"/>
    <w:qFormat/>
    <w:uiPriority w:val="0"/>
  </w:style>
  <w:style w:type="character" w:customStyle="1" w:styleId="430">
    <w:name w:val="ps351"/>
    <w:basedOn w:val="90"/>
    <w:qFormat/>
    <w:uiPriority w:val="0"/>
  </w:style>
  <w:style w:type="character" w:customStyle="1" w:styleId="431">
    <w:name w:val="ps361"/>
    <w:basedOn w:val="90"/>
    <w:qFormat/>
    <w:uiPriority w:val="0"/>
  </w:style>
  <w:style w:type="character" w:customStyle="1" w:styleId="432">
    <w:name w:val="ps111"/>
    <w:basedOn w:val="90"/>
    <w:qFormat/>
    <w:uiPriority w:val="0"/>
  </w:style>
  <w:style w:type="character" w:customStyle="1" w:styleId="433">
    <w:name w:val="ps121"/>
    <w:basedOn w:val="90"/>
    <w:qFormat/>
    <w:uiPriority w:val="0"/>
  </w:style>
  <w:style w:type="paragraph" w:customStyle="1" w:styleId="434">
    <w:name w:val="6"/>
    <w:basedOn w:val="1"/>
    <w:qFormat/>
    <w:uiPriority w:val="0"/>
    <w:pPr>
      <w:tabs>
        <w:tab w:val="left" w:pos="1134"/>
      </w:tabs>
      <w:spacing w:before="120" w:after="120" w:line="460" w:lineRule="exact"/>
    </w:pPr>
    <w:rPr>
      <w:rFonts w:ascii="Arial" w:hAnsi="Arial" w:eastAsia="黑体"/>
      <w:sz w:val="32"/>
      <w:szCs w:val="24"/>
    </w:rPr>
  </w:style>
  <w:style w:type="paragraph" w:customStyle="1" w:styleId="435">
    <w:name w:val="蓄规划正文"/>
    <w:basedOn w:val="1"/>
    <w:qFormat/>
    <w:uiPriority w:val="0"/>
    <w:pPr>
      <w:overflowPunct w:val="0"/>
      <w:spacing w:line="360" w:lineRule="auto"/>
      <w:ind w:firstLine="200" w:firstLineChars="200"/>
    </w:pPr>
    <w:rPr>
      <w:rFonts w:eastAsia="仿宋_GB2312"/>
      <w:szCs w:val="24"/>
    </w:rPr>
  </w:style>
  <w:style w:type="paragraph" w:customStyle="1" w:styleId="436">
    <w:name w:val="zou正文"/>
    <w:basedOn w:val="1"/>
    <w:qFormat/>
    <w:uiPriority w:val="0"/>
    <w:pPr>
      <w:spacing w:line="460" w:lineRule="exact"/>
      <w:ind w:firstLine="200" w:firstLineChars="200"/>
    </w:pPr>
    <w:rPr>
      <w:rFonts w:ascii="仿宋_GB2312" w:eastAsia="仿宋_GB2312"/>
      <w:sz w:val="32"/>
    </w:rPr>
  </w:style>
  <w:style w:type="paragraph" w:customStyle="1" w:styleId="437">
    <w:name w:val="Char Char2 Char"/>
    <w:basedOn w:val="1"/>
    <w:qFormat/>
    <w:uiPriority w:val="0"/>
    <w:rPr>
      <w:rFonts w:ascii="Tahoma" w:hAnsi="Tahoma" w:eastAsia="宋体"/>
    </w:rPr>
  </w:style>
  <w:style w:type="paragraph" w:customStyle="1" w:styleId="438">
    <w:name w:val="样式 仿宋_GB2312 行距: 1.5 倍行距"/>
    <w:basedOn w:val="1"/>
    <w:qFormat/>
    <w:uiPriority w:val="0"/>
    <w:pPr>
      <w:spacing w:line="460" w:lineRule="exact"/>
      <w:ind w:firstLine="200" w:firstLineChars="200"/>
    </w:pPr>
    <w:rPr>
      <w:rFonts w:ascii="仿宋_GB2312" w:hAnsi="华文楷体" w:eastAsia="仿宋_GB2312" w:cs="宋体"/>
    </w:rPr>
  </w:style>
  <w:style w:type="paragraph" w:customStyle="1" w:styleId="439">
    <w:name w:val="样式 正文 + 首行缩进:  2 字符"/>
    <w:basedOn w:val="1"/>
    <w:qFormat/>
    <w:uiPriority w:val="0"/>
    <w:pPr>
      <w:widowControl/>
      <w:spacing w:line="460" w:lineRule="exact"/>
      <w:ind w:firstLine="200" w:firstLineChars="200"/>
      <w:jc w:val="left"/>
    </w:pPr>
    <w:rPr>
      <w:rFonts w:ascii="仿宋_GB2312" w:eastAsia="宋体"/>
      <w:kern w:val="0"/>
      <w:sz w:val="20"/>
      <w:szCs w:val="24"/>
    </w:rPr>
  </w:style>
  <w:style w:type="paragraph" w:customStyle="1" w:styleId="440">
    <w:name w:val="样式 样式 正文 + 首行缩进:  2 字符 + 首行缩进:  2 字符"/>
    <w:basedOn w:val="439"/>
    <w:qFormat/>
    <w:uiPriority w:val="0"/>
    <w:pPr>
      <w:ind w:firstLine="560"/>
    </w:pPr>
  </w:style>
  <w:style w:type="character" w:customStyle="1" w:styleId="441">
    <w:name w:val="正文 Char"/>
    <w:qFormat/>
    <w:uiPriority w:val="0"/>
    <w:rPr>
      <w:rFonts w:ascii="仿宋_GB2312" w:eastAsia="宋体"/>
      <w:szCs w:val="28"/>
      <w:lang w:bidi="ar-SA"/>
    </w:rPr>
  </w:style>
  <w:style w:type="paragraph" w:customStyle="1" w:styleId="442">
    <w:name w:val="正 文 Char"/>
    <w:basedOn w:val="1"/>
    <w:qFormat/>
    <w:uiPriority w:val="0"/>
    <w:pPr>
      <w:spacing w:line="360" w:lineRule="auto"/>
      <w:ind w:firstLine="200" w:firstLineChars="200"/>
    </w:pPr>
    <w:rPr>
      <w:rFonts w:ascii="宋体" w:hAnsi="宋体" w:eastAsia="宋体"/>
      <w:spacing w:val="14"/>
    </w:rPr>
  </w:style>
  <w:style w:type="paragraph" w:customStyle="1" w:styleId="443">
    <w:name w:val="默认段落字体 Para Char Char Char1 Char"/>
    <w:basedOn w:val="1"/>
    <w:qFormat/>
    <w:uiPriority w:val="0"/>
    <w:rPr>
      <w:rFonts w:eastAsia="宋体"/>
      <w:sz w:val="21"/>
      <w:szCs w:val="24"/>
    </w:rPr>
  </w:style>
  <w:style w:type="character" w:customStyle="1" w:styleId="444">
    <w:name w:val="Char Char91"/>
    <w:qFormat/>
    <w:uiPriority w:val="0"/>
    <w:rPr>
      <w:rFonts w:ascii="仿宋_GB2312" w:hAnsi="宋体" w:eastAsia="仿宋_GB2312"/>
      <w:kern w:val="2"/>
      <w:sz w:val="28"/>
      <w:szCs w:val="28"/>
      <w:lang w:val="en-US" w:eastAsia="zh-CN" w:bidi="ar-SA"/>
    </w:rPr>
  </w:style>
  <w:style w:type="paragraph" w:customStyle="1" w:styleId="445">
    <w:name w:val="默认段落字体 Para Char Char Char Char"/>
    <w:basedOn w:val="1"/>
    <w:qFormat/>
    <w:uiPriority w:val="0"/>
    <w:rPr>
      <w:rFonts w:eastAsia="宋体"/>
      <w:sz w:val="21"/>
      <w:szCs w:val="24"/>
    </w:rPr>
  </w:style>
  <w:style w:type="paragraph" w:customStyle="1" w:styleId="446">
    <w:name w:val="样式 正文（首行缩进两字） + 黑色"/>
    <w:basedOn w:val="21"/>
    <w:qFormat/>
    <w:uiPriority w:val="0"/>
    <w:pPr>
      <w:adjustRightInd w:val="0"/>
      <w:spacing w:line="520" w:lineRule="exact"/>
      <w:ind w:firstLine="200"/>
      <w:textAlignment w:val="baseline"/>
    </w:pPr>
    <w:rPr>
      <w:rFonts w:ascii="宋体" w:hAnsi="宋体" w:eastAsia="仿宋_GB2312"/>
      <w:color w:val="000000"/>
      <w:sz w:val="28"/>
      <w:szCs w:val="20"/>
    </w:rPr>
  </w:style>
  <w:style w:type="paragraph" w:customStyle="1" w:styleId="447">
    <w:name w:val="Char Char Char Char Char Char1 Char1 Char Char Char Char Char Char"/>
    <w:basedOn w:val="1"/>
    <w:qFormat/>
    <w:uiPriority w:val="0"/>
    <w:rPr>
      <w:rFonts w:eastAsia="宋体"/>
      <w:sz w:val="21"/>
      <w:szCs w:val="24"/>
    </w:rPr>
  </w:style>
  <w:style w:type="paragraph" w:customStyle="1" w:styleId="448">
    <w:name w:val="综合报告表题"/>
    <w:basedOn w:val="1"/>
    <w:qFormat/>
    <w:uiPriority w:val="0"/>
    <w:pPr>
      <w:adjustRightInd w:val="0"/>
      <w:spacing w:line="300" w:lineRule="exact"/>
      <w:ind w:firstLine="444" w:firstLineChars="200"/>
      <w:jc w:val="center"/>
    </w:pPr>
    <w:rPr>
      <w:rFonts w:ascii="黑体" w:eastAsia="黑体"/>
      <w:b/>
      <w:bCs/>
      <w:kern w:val="0"/>
      <w:szCs w:val="24"/>
    </w:rPr>
  </w:style>
  <w:style w:type="paragraph" w:customStyle="1" w:styleId="449">
    <w:name w:val="报告正文文字"/>
    <w:basedOn w:val="1"/>
    <w:qFormat/>
    <w:uiPriority w:val="0"/>
    <w:pPr>
      <w:spacing w:line="360" w:lineRule="auto"/>
      <w:ind w:firstLine="560" w:firstLineChars="200"/>
    </w:pPr>
    <w:rPr>
      <w:rFonts w:eastAsia="宋体"/>
    </w:rPr>
  </w:style>
  <w:style w:type="character" w:customStyle="1" w:styleId="450">
    <w:name w:val="表 Char"/>
    <w:qFormat/>
    <w:uiPriority w:val="0"/>
    <w:rPr>
      <w:rFonts w:ascii="黑体" w:eastAsia="黑体"/>
      <w:bCs/>
      <w:kern w:val="2"/>
      <w:sz w:val="24"/>
      <w:szCs w:val="24"/>
      <w:lang w:val="en-US" w:eastAsia="zh-CN" w:bidi="ar-SA"/>
    </w:rPr>
  </w:style>
  <w:style w:type="paragraph" w:customStyle="1" w:styleId="451">
    <w:name w:val="样式 表 + 首行缩进:  1 字符"/>
    <w:basedOn w:val="1"/>
    <w:qFormat/>
    <w:uiPriority w:val="0"/>
    <w:pPr>
      <w:spacing w:after="60" w:line="460" w:lineRule="exact"/>
      <w:ind w:firstLine="100" w:firstLineChars="100"/>
      <w:jc w:val="left"/>
    </w:pPr>
    <w:rPr>
      <w:rFonts w:ascii="黑体" w:eastAsia="黑体"/>
      <w:szCs w:val="24"/>
    </w:rPr>
  </w:style>
  <w:style w:type="paragraph" w:customStyle="1" w:styleId="452">
    <w:name w:val="Char Char Char Char Char Char Char Char Char Char Char"/>
    <w:basedOn w:val="1"/>
    <w:qFormat/>
    <w:uiPriority w:val="0"/>
    <w:rPr>
      <w:rFonts w:eastAsia="宋体"/>
      <w:sz w:val="21"/>
      <w:szCs w:val="21"/>
    </w:rPr>
  </w:style>
  <w:style w:type="paragraph" w:customStyle="1" w:styleId="453">
    <w:name w:val="font10"/>
    <w:basedOn w:val="1"/>
    <w:qFormat/>
    <w:uiPriority w:val="0"/>
    <w:pPr>
      <w:widowControl/>
      <w:spacing w:before="100" w:beforeAutospacing="1" w:after="100" w:afterAutospacing="1"/>
      <w:jc w:val="left"/>
    </w:pPr>
    <w:rPr>
      <w:rFonts w:ascii="宋体" w:hAnsi="宋体" w:eastAsia="宋体" w:cs="宋体"/>
      <w:color w:val="000000"/>
      <w:kern w:val="0"/>
      <w:sz w:val="18"/>
      <w:szCs w:val="18"/>
    </w:rPr>
  </w:style>
  <w:style w:type="paragraph" w:customStyle="1" w:styleId="454">
    <w:name w:val="font11"/>
    <w:basedOn w:val="1"/>
    <w:qFormat/>
    <w:uiPriority w:val="0"/>
    <w:pPr>
      <w:widowControl/>
      <w:spacing w:before="100" w:beforeAutospacing="1" w:after="100" w:afterAutospacing="1"/>
      <w:jc w:val="left"/>
    </w:pPr>
    <w:rPr>
      <w:rFonts w:ascii="宋体" w:hAnsi="宋体" w:eastAsia="宋体" w:cs="宋体"/>
      <w:color w:val="000000"/>
      <w:kern w:val="0"/>
      <w:sz w:val="18"/>
      <w:szCs w:val="18"/>
    </w:rPr>
  </w:style>
  <w:style w:type="paragraph" w:customStyle="1" w:styleId="455">
    <w:name w:val="Char1 Char Char Char1 Char Char Char Char Char Char"/>
    <w:basedOn w:val="1"/>
    <w:qFormat/>
    <w:uiPriority w:val="0"/>
    <w:pPr>
      <w:spacing w:line="360" w:lineRule="auto"/>
      <w:ind w:firstLine="200" w:firstLineChars="200"/>
    </w:pPr>
    <w:rPr>
      <w:rFonts w:ascii="宋体" w:hAnsi="宋体" w:eastAsia="宋体" w:cs="宋体"/>
      <w:szCs w:val="24"/>
    </w:rPr>
  </w:style>
  <w:style w:type="paragraph" w:customStyle="1" w:styleId="456">
    <w:name w:val="正文表格 崔"/>
    <w:basedOn w:val="1"/>
    <w:qFormat/>
    <w:uiPriority w:val="0"/>
    <w:pPr>
      <w:jc w:val="center"/>
    </w:pPr>
    <w:rPr>
      <w:rFonts w:eastAsia="宋体"/>
      <w:sz w:val="18"/>
    </w:rPr>
  </w:style>
  <w:style w:type="character" w:customStyle="1" w:styleId="457">
    <w:name w:val="标题 4 Char1"/>
    <w:qFormat/>
    <w:uiPriority w:val="0"/>
    <w:rPr>
      <w:rFonts w:ascii="Cambria" w:hAnsi="Cambria" w:eastAsia="宋体" w:cs="Times New Roman"/>
      <w:b/>
      <w:bCs/>
      <w:kern w:val="2"/>
      <w:sz w:val="28"/>
      <w:szCs w:val="28"/>
    </w:rPr>
  </w:style>
  <w:style w:type="paragraph" w:customStyle="1" w:styleId="458">
    <w:name w:val="样式 样式 样式 标题 3标题 3 Char Char Char Char Char + (西文) Times New Roma..."/>
    <w:basedOn w:val="1"/>
    <w:qFormat/>
    <w:uiPriority w:val="0"/>
    <w:pPr>
      <w:keepNext/>
      <w:keepLines/>
      <w:tabs>
        <w:tab w:val="left" w:pos="0"/>
      </w:tabs>
      <w:autoSpaceDE w:val="0"/>
      <w:autoSpaceDN w:val="0"/>
      <w:adjustRightInd w:val="0"/>
      <w:spacing w:before="120" w:after="120" w:line="391" w:lineRule="auto"/>
      <w:ind w:firstLine="501" w:firstLineChars="179"/>
      <w:outlineLvl w:val="2"/>
    </w:pPr>
    <w:rPr>
      <w:rFonts w:eastAsia="黑体" w:cs="宋体"/>
      <w:bCs/>
    </w:rPr>
  </w:style>
  <w:style w:type="paragraph" w:customStyle="1" w:styleId="459">
    <w:name w:val="正文文字 2"/>
    <w:qFormat/>
    <w:uiPriority w:val="0"/>
    <w:pPr>
      <w:spacing w:before="119" w:line="351" w:lineRule="atLeast"/>
      <w:ind w:firstLine="419"/>
      <w:jc w:val="both"/>
      <w:textAlignment w:val="baseline"/>
    </w:pPr>
    <w:rPr>
      <w:rFonts w:ascii="Times New Roman" w:hAnsi="Times New Roman" w:eastAsia="宋体" w:cs="Times New Roman"/>
      <w:color w:val="000000"/>
      <w:sz w:val="21"/>
      <w:lang w:val="en-US" w:eastAsia="zh-CN" w:bidi="ar-SA"/>
    </w:rPr>
  </w:style>
  <w:style w:type="paragraph" w:customStyle="1" w:styleId="460">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16"/>
      <w:szCs w:val="16"/>
    </w:rPr>
  </w:style>
  <w:style w:type="paragraph" w:customStyle="1" w:styleId="461">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16"/>
      <w:szCs w:val="16"/>
    </w:rPr>
  </w:style>
  <w:style w:type="paragraph" w:customStyle="1" w:styleId="462">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6"/>
      <w:szCs w:val="16"/>
    </w:rPr>
  </w:style>
  <w:style w:type="paragraph" w:customStyle="1" w:styleId="463">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6"/>
      <w:szCs w:val="16"/>
    </w:rPr>
  </w:style>
  <w:style w:type="paragraph" w:customStyle="1" w:styleId="464">
    <w:name w:val="xl1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16"/>
      <w:szCs w:val="16"/>
    </w:rPr>
  </w:style>
  <w:style w:type="paragraph" w:customStyle="1" w:styleId="465">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16"/>
      <w:szCs w:val="16"/>
    </w:rPr>
  </w:style>
  <w:style w:type="paragraph" w:customStyle="1" w:styleId="466">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16"/>
      <w:szCs w:val="16"/>
    </w:rPr>
  </w:style>
  <w:style w:type="paragraph" w:customStyle="1" w:styleId="467">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16"/>
      <w:szCs w:val="16"/>
    </w:rPr>
  </w:style>
  <w:style w:type="paragraph" w:customStyle="1" w:styleId="468">
    <w:name w:val="Style 宋体 Before:  6 pt"/>
    <w:basedOn w:val="1"/>
    <w:qFormat/>
    <w:uiPriority w:val="0"/>
    <w:pPr>
      <w:adjustRightInd w:val="0"/>
      <w:spacing w:before="120" w:line="360" w:lineRule="auto"/>
      <w:ind w:firstLine="200" w:firstLineChars="200"/>
      <w:jc w:val="left"/>
      <w:textAlignment w:val="baseline"/>
    </w:pPr>
    <w:rPr>
      <w:rFonts w:ascii="宋体" w:hAnsi="宋体" w:eastAsia="宋体"/>
      <w:kern w:val="0"/>
      <w:szCs w:val="24"/>
    </w:rPr>
  </w:style>
  <w:style w:type="paragraph" w:customStyle="1" w:styleId="469">
    <w:name w:val="BodyText"/>
    <w:basedOn w:val="468"/>
    <w:qFormat/>
    <w:uiPriority w:val="0"/>
    <w:pPr>
      <w:snapToGrid w:val="0"/>
    </w:pPr>
    <w:rPr>
      <w:rFonts w:cs="宋体"/>
      <w:color w:val="000000"/>
      <w:szCs w:val="20"/>
    </w:rPr>
  </w:style>
  <w:style w:type="paragraph" w:customStyle="1" w:styleId="470">
    <w:name w:val="Style Heading 2h2l22nd levelTitre22Header 2节标题 1.1BSH-2H2...1"/>
    <w:basedOn w:val="4"/>
    <w:qFormat/>
    <w:uiPriority w:val="0"/>
    <w:pPr>
      <w:spacing w:line="480" w:lineRule="exact"/>
      <w:jc w:val="left"/>
    </w:pPr>
    <w:rPr>
      <w:rFonts w:ascii="宋体" w:hAnsi="宋体" w:eastAsia="宋体" w:cs="宋体"/>
      <w:b w:val="0"/>
      <w:sz w:val="36"/>
      <w:szCs w:val="20"/>
      <w:lang w:val="en-US"/>
    </w:rPr>
  </w:style>
  <w:style w:type="paragraph" w:customStyle="1" w:styleId="471">
    <w:name w:val="Style Heading 33h33rd levelH3l3CT条标题1.1.1段标题 yjm3BSH-3He..."/>
    <w:basedOn w:val="5"/>
    <w:qFormat/>
    <w:uiPriority w:val="0"/>
    <w:pPr>
      <w:spacing w:before="240" w:after="240" w:line="480" w:lineRule="exact"/>
      <w:jc w:val="left"/>
    </w:pPr>
    <w:rPr>
      <w:rFonts w:ascii="宋体" w:hAnsi="宋体" w:eastAsia="宋体" w:cs="宋体"/>
      <w:b w:val="0"/>
      <w:sz w:val="24"/>
      <w:szCs w:val="20"/>
    </w:rPr>
  </w:style>
  <w:style w:type="character" w:customStyle="1" w:styleId="472">
    <w:name w:val="menu_di1"/>
    <w:qFormat/>
    <w:uiPriority w:val="0"/>
    <w:rPr>
      <w:color w:val="000000"/>
      <w:sz w:val="21"/>
      <w:szCs w:val="21"/>
      <w:u w:val="none"/>
    </w:rPr>
  </w:style>
  <w:style w:type="paragraph" w:customStyle="1" w:styleId="473">
    <w:name w:val="Default"/>
    <w:qFormat/>
    <w:uiPriority w:val="0"/>
    <w:pPr>
      <w:widowControl w:val="0"/>
      <w:autoSpaceDE w:val="0"/>
      <w:autoSpaceDN w:val="0"/>
      <w:adjustRightInd w:val="0"/>
    </w:pPr>
    <w:rPr>
      <w:rFonts w:ascii="楷体_GB2312" w:hAnsi="Times New Roman" w:eastAsia="楷体_GB2312" w:cs="楷体_GB2312"/>
      <w:color w:val="000000"/>
      <w:sz w:val="24"/>
      <w:szCs w:val="24"/>
      <w:lang w:val="en-US" w:eastAsia="zh-CN" w:bidi="ar-SA"/>
    </w:rPr>
  </w:style>
  <w:style w:type="character" w:customStyle="1" w:styleId="474">
    <w:name w:val="Char1 Char Char1"/>
    <w:qFormat/>
    <w:uiPriority w:val="0"/>
    <w:rPr>
      <w:rFonts w:eastAsia="宋体"/>
      <w:b/>
      <w:bCs/>
      <w:kern w:val="2"/>
      <w:sz w:val="32"/>
      <w:szCs w:val="32"/>
      <w:lang w:val="en-US" w:eastAsia="zh-CN" w:bidi="ar-SA"/>
    </w:rPr>
  </w:style>
  <w:style w:type="paragraph" w:customStyle="1" w:styleId="475">
    <w:name w:val="表格式"/>
    <w:basedOn w:val="1"/>
    <w:qFormat/>
    <w:uiPriority w:val="0"/>
    <w:pPr>
      <w:jc w:val="center"/>
    </w:pPr>
    <w:rPr>
      <w:rFonts w:ascii="宋体" w:hAnsi="宋体" w:eastAsia="宋体"/>
      <w:sz w:val="18"/>
      <w:szCs w:val="24"/>
    </w:rPr>
  </w:style>
  <w:style w:type="paragraph" w:customStyle="1" w:styleId="476">
    <w:name w:val="综合规划正文格式"/>
    <w:basedOn w:val="1"/>
    <w:qFormat/>
    <w:uiPriority w:val="0"/>
    <w:pPr>
      <w:spacing w:line="460" w:lineRule="exact"/>
      <w:ind w:firstLine="200" w:firstLineChars="200"/>
    </w:pPr>
    <w:rPr>
      <w:rFonts w:eastAsia="宋体"/>
      <w:szCs w:val="24"/>
    </w:rPr>
  </w:style>
  <w:style w:type="paragraph" w:customStyle="1" w:styleId="477">
    <w:name w:val="正文小四"/>
    <w:qFormat/>
    <w:uiPriority w:val="0"/>
    <w:pPr>
      <w:spacing w:line="440" w:lineRule="atLeast"/>
    </w:pPr>
    <w:rPr>
      <w:rFonts w:ascii="Times New Roman" w:hAnsi="Times New Roman" w:eastAsia="宋体" w:cs="Times New Roman"/>
      <w:sz w:val="24"/>
      <w:lang w:val="en-US" w:eastAsia="zh-CN" w:bidi="ar-SA"/>
    </w:rPr>
  </w:style>
  <w:style w:type="paragraph" w:customStyle="1" w:styleId="478">
    <w:name w:val="简要报告图名格式"/>
    <w:basedOn w:val="73"/>
    <w:qFormat/>
    <w:uiPriority w:val="0"/>
    <w:pPr>
      <w:spacing w:beforeLines="50" w:afterLines="50" w:line="460" w:lineRule="exact"/>
      <w:ind w:left="0" w:leftChars="0" w:firstLine="0" w:firstLineChars="0"/>
      <w:jc w:val="center"/>
    </w:pPr>
    <w:rPr>
      <w:b/>
    </w:rPr>
  </w:style>
  <w:style w:type="paragraph" w:customStyle="1" w:styleId="479">
    <w:name w:val="样式 小四 行距: 1.5 倍行距"/>
    <w:basedOn w:val="1"/>
    <w:qFormat/>
    <w:uiPriority w:val="0"/>
    <w:pPr>
      <w:tabs>
        <w:tab w:val="left" w:pos="720"/>
      </w:tabs>
      <w:spacing w:line="360" w:lineRule="auto"/>
      <w:ind w:left="720" w:hanging="720"/>
    </w:pPr>
    <w:rPr>
      <w:rFonts w:eastAsia="宋体" w:cs="宋体"/>
    </w:rPr>
  </w:style>
  <w:style w:type="character" w:customStyle="1" w:styleId="480">
    <w:name w:val="正文文字缩进 3 Char Char Char Char Char Char Char Char Char Char Char Char Char Char Char Char Char Char Char Char Char Char Char Char Char Char Char Char Char Char Char Char Char Char Char Char Char Char"/>
    <w:qFormat/>
    <w:uiPriority w:val="0"/>
    <w:rPr>
      <w:rFonts w:eastAsia="宋体"/>
      <w:kern w:val="2"/>
      <w:sz w:val="21"/>
      <w:szCs w:val="24"/>
      <w:lang w:val="en-US" w:eastAsia="zh-CN" w:bidi="ar-SA"/>
    </w:rPr>
  </w:style>
  <w:style w:type="paragraph" w:customStyle="1" w:styleId="481">
    <w:name w:val="样式 标题 1 + 四号 Char Char Char"/>
    <w:basedOn w:val="3"/>
    <w:qFormat/>
    <w:uiPriority w:val="0"/>
    <w:pPr>
      <w:tabs>
        <w:tab w:val="left" w:pos="360"/>
        <w:tab w:val="left" w:pos="1270"/>
      </w:tabs>
      <w:adjustRightInd w:val="0"/>
      <w:snapToGrid w:val="0"/>
      <w:spacing w:before="0" w:after="480" w:line="720" w:lineRule="auto"/>
      <w:ind w:left="1270" w:hanging="630"/>
      <w:textAlignment w:val="baseline"/>
    </w:pPr>
    <w:rPr>
      <w:rFonts w:hAnsi="Arial"/>
      <w:b w:val="0"/>
      <w:sz w:val="28"/>
      <w:szCs w:val="24"/>
      <w:lang w:val="en-US"/>
    </w:rPr>
  </w:style>
  <w:style w:type="character" w:customStyle="1" w:styleId="482">
    <w:name w:val="样式 标题 1 + 四号 Char Char Char Char"/>
    <w:qFormat/>
    <w:uiPriority w:val="0"/>
    <w:rPr>
      <w:rFonts w:eastAsia="黑体"/>
      <w:b/>
      <w:bCs/>
      <w:kern w:val="44"/>
      <w:sz w:val="28"/>
      <w:szCs w:val="24"/>
      <w:lang w:val="en-US" w:eastAsia="zh-CN" w:bidi="ar-SA"/>
    </w:rPr>
  </w:style>
  <w:style w:type="character" w:customStyle="1" w:styleId="483">
    <w:name w:val="正文文本缩进 31 Char"/>
    <w:qFormat/>
    <w:uiPriority w:val="0"/>
    <w:rPr>
      <w:rFonts w:eastAsia="宋体"/>
      <w:kern w:val="2"/>
      <w:sz w:val="21"/>
      <w:szCs w:val="24"/>
      <w:lang w:val="en-US" w:eastAsia="zh-CN" w:bidi="ar-SA"/>
    </w:rPr>
  </w:style>
  <w:style w:type="paragraph" w:customStyle="1" w:styleId="484">
    <w:name w:val="样式 正文首行缩进 + 宋体 首行缩进:  1 字符"/>
    <w:basedOn w:val="86"/>
    <w:qFormat/>
    <w:uiPriority w:val="0"/>
    <w:pPr>
      <w:keepLines/>
      <w:spacing w:after="60"/>
      <w:ind w:firstLine="626" w:firstLineChars="200"/>
    </w:pPr>
    <w:rPr>
      <w:rFonts w:ascii="宋体" w:eastAsia="宋体"/>
      <w:szCs w:val="28"/>
    </w:rPr>
  </w:style>
  <w:style w:type="paragraph" w:customStyle="1" w:styleId="485">
    <w:name w:val="样式 2 + 段后: 0.5 行"/>
    <w:basedOn w:val="1"/>
    <w:qFormat/>
    <w:uiPriority w:val="0"/>
    <w:pPr>
      <w:keepNext/>
      <w:keepLines/>
      <w:tabs>
        <w:tab w:val="left" w:pos="1401"/>
      </w:tabs>
      <w:adjustRightInd w:val="0"/>
      <w:snapToGrid w:val="0"/>
      <w:spacing w:afterLines="50" w:line="384" w:lineRule="auto"/>
      <w:ind w:left="1401" w:hanging="420"/>
      <w:outlineLvl w:val="1"/>
    </w:pPr>
    <w:rPr>
      <w:rFonts w:ascii="宋体" w:hAnsi="宋体" w:eastAsia="宋体"/>
      <w:b/>
      <w:bCs/>
      <w:sz w:val="30"/>
      <w:szCs w:val="30"/>
    </w:rPr>
  </w:style>
  <w:style w:type="paragraph" w:customStyle="1" w:styleId="486">
    <w:name w:val="默认段落字体 Para"/>
    <w:basedOn w:val="1"/>
    <w:qFormat/>
    <w:uiPriority w:val="0"/>
    <w:rPr>
      <w:rFonts w:eastAsia="宋体"/>
      <w:sz w:val="21"/>
      <w:szCs w:val="24"/>
    </w:rPr>
  </w:style>
  <w:style w:type="character" w:customStyle="1" w:styleId="487">
    <w:name w:val="正文文本1"/>
    <w:qFormat/>
    <w:uiPriority w:val="0"/>
    <w:rPr>
      <w:rFonts w:eastAsia="宋体"/>
      <w:kern w:val="2"/>
      <w:sz w:val="21"/>
      <w:szCs w:val="24"/>
      <w:lang w:val="en-US" w:eastAsia="zh-CN" w:bidi="ar-SA"/>
    </w:rPr>
  </w:style>
  <w:style w:type="paragraph" w:customStyle="1" w:styleId="488">
    <w:name w:val="样式 标题 1 + 四号"/>
    <w:basedOn w:val="3"/>
    <w:qFormat/>
    <w:uiPriority w:val="0"/>
    <w:pPr>
      <w:tabs>
        <w:tab w:val="left" w:pos="1270"/>
      </w:tabs>
      <w:adjustRightInd w:val="0"/>
      <w:snapToGrid w:val="0"/>
      <w:spacing w:before="0" w:after="480" w:line="720" w:lineRule="auto"/>
      <w:ind w:left="1270" w:hanging="630"/>
      <w:textAlignment w:val="baseline"/>
    </w:pPr>
    <w:rPr>
      <w:rFonts w:hAnsi="Arial"/>
      <w:bCs w:val="0"/>
      <w:sz w:val="28"/>
      <w:szCs w:val="20"/>
      <w:lang w:val="en-US"/>
    </w:rPr>
  </w:style>
  <w:style w:type="paragraph" w:customStyle="1" w:styleId="489">
    <w:name w:val="样式 四号 首行缩进:  2 字符"/>
    <w:basedOn w:val="1"/>
    <w:qFormat/>
    <w:uiPriority w:val="0"/>
    <w:pPr>
      <w:spacing w:beforeLines="20" w:afterLines="20"/>
      <w:ind w:firstLine="200" w:firstLineChars="200"/>
    </w:pPr>
    <w:rPr>
      <w:rFonts w:eastAsia="宋体" w:cs="宋体"/>
      <w:kern w:val="0"/>
      <w:szCs w:val="24"/>
    </w:rPr>
  </w:style>
  <w:style w:type="paragraph" w:customStyle="1" w:styleId="490">
    <w:name w:val="图名"/>
    <w:basedOn w:val="1"/>
    <w:qFormat/>
    <w:uiPriority w:val="0"/>
    <w:pPr>
      <w:spacing w:line="264" w:lineRule="auto"/>
      <w:ind w:firstLine="200" w:firstLineChars="200"/>
      <w:jc w:val="center"/>
    </w:pPr>
    <w:rPr>
      <w:rFonts w:eastAsia="黑体"/>
    </w:rPr>
  </w:style>
  <w:style w:type="paragraph" w:customStyle="1" w:styleId="491">
    <w:name w:val="样式 标题 1 + 四号 Char Char"/>
    <w:basedOn w:val="3"/>
    <w:qFormat/>
    <w:uiPriority w:val="0"/>
    <w:pPr>
      <w:tabs>
        <w:tab w:val="left" w:pos="360"/>
        <w:tab w:val="left" w:pos="1270"/>
      </w:tabs>
      <w:adjustRightInd w:val="0"/>
      <w:snapToGrid w:val="0"/>
      <w:spacing w:before="0" w:after="480" w:line="720" w:lineRule="auto"/>
      <w:ind w:left="1270" w:hanging="630"/>
      <w:textAlignment w:val="baseline"/>
    </w:pPr>
    <w:rPr>
      <w:rFonts w:hAnsi="Arial"/>
      <w:b w:val="0"/>
      <w:sz w:val="28"/>
      <w:szCs w:val="24"/>
      <w:lang w:val="en-US"/>
    </w:rPr>
  </w:style>
  <w:style w:type="character" w:customStyle="1" w:styleId="492">
    <w:name w:val="正文文字缩进 3 Char Char Char Char Char Char Char Char Char Char Char Char Char Char Char Char Char Char Char Char Char Char Char Char Char Char Char Char Char Char Char Char Char Char Char Char Char1"/>
    <w:qFormat/>
    <w:uiPriority w:val="0"/>
    <w:rPr>
      <w:rFonts w:eastAsia="宋体"/>
      <w:kern w:val="2"/>
      <w:sz w:val="21"/>
      <w:lang w:val="en-US" w:eastAsia="zh-CN" w:bidi="ar-SA"/>
    </w:rPr>
  </w:style>
  <w:style w:type="paragraph" w:customStyle="1" w:styleId="493">
    <w:name w:val="样式 标题 1 + 四号 Char"/>
    <w:basedOn w:val="3"/>
    <w:qFormat/>
    <w:uiPriority w:val="0"/>
    <w:pPr>
      <w:tabs>
        <w:tab w:val="left" w:pos="1087"/>
        <w:tab w:val="left" w:pos="1270"/>
      </w:tabs>
      <w:adjustRightInd w:val="0"/>
      <w:snapToGrid w:val="0"/>
      <w:spacing w:before="0" w:after="480" w:line="720" w:lineRule="auto"/>
      <w:ind w:left="1270" w:hanging="630"/>
      <w:textAlignment w:val="baseline"/>
    </w:pPr>
    <w:rPr>
      <w:rFonts w:hAnsi="Arial"/>
      <w:b w:val="0"/>
      <w:sz w:val="28"/>
      <w:szCs w:val="24"/>
      <w:lang w:val="en-US"/>
    </w:rPr>
  </w:style>
  <w:style w:type="paragraph" w:customStyle="1" w:styleId="494">
    <w:name w:val="正文表格"/>
    <w:basedOn w:val="1"/>
    <w:qFormat/>
    <w:uiPriority w:val="0"/>
    <w:pPr>
      <w:jc w:val="center"/>
    </w:pPr>
    <w:rPr>
      <w:rFonts w:eastAsia="宋体"/>
      <w:sz w:val="21"/>
    </w:rPr>
  </w:style>
  <w:style w:type="paragraph" w:customStyle="1" w:styleId="495">
    <w:name w:val="single"/>
    <w:basedOn w:val="1"/>
    <w:qFormat/>
    <w:uiPriority w:val="0"/>
    <w:pPr>
      <w:jc w:val="center"/>
    </w:pPr>
    <w:rPr>
      <w:rFonts w:eastAsia="宋体"/>
      <w:sz w:val="21"/>
      <w:szCs w:val="24"/>
    </w:rPr>
  </w:style>
  <w:style w:type="paragraph" w:customStyle="1" w:styleId="496">
    <w:name w:val="正文段落"/>
    <w:basedOn w:val="1"/>
    <w:next w:val="1"/>
    <w:qFormat/>
    <w:uiPriority w:val="0"/>
    <w:pPr>
      <w:adjustRightInd w:val="0"/>
      <w:snapToGrid w:val="0"/>
      <w:spacing w:line="360" w:lineRule="auto"/>
      <w:jc w:val="center"/>
    </w:pPr>
    <w:rPr>
      <w:rFonts w:hAnsi="宋体" w:eastAsia="宋体"/>
      <w:bCs/>
      <w:szCs w:val="24"/>
    </w:rPr>
  </w:style>
  <w:style w:type="paragraph" w:customStyle="1" w:styleId="497">
    <w:name w:val="表内文字"/>
    <w:basedOn w:val="51"/>
    <w:qFormat/>
    <w:uiPriority w:val="0"/>
    <w:pPr>
      <w:adjustRightInd w:val="0"/>
      <w:snapToGrid w:val="0"/>
      <w:spacing w:after="0" w:line="0" w:lineRule="atLeast"/>
      <w:ind w:left="0" w:leftChars="0"/>
      <w:jc w:val="center"/>
    </w:pPr>
    <w:rPr>
      <w:rFonts w:ascii="楷体_GB2312" w:eastAsia="楷体_GB2312"/>
      <w:sz w:val="21"/>
      <w:szCs w:val="21"/>
    </w:rPr>
  </w:style>
  <w:style w:type="paragraph" w:customStyle="1" w:styleId="498">
    <w:name w:val="表内字"/>
    <w:basedOn w:val="1"/>
    <w:qFormat/>
    <w:uiPriority w:val="0"/>
    <w:pPr>
      <w:spacing w:line="300" w:lineRule="exact"/>
      <w:ind w:firstLine="200" w:firstLineChars="200"/>
      <w:jc w:val="center"/>
    </w:pPr>
    <w:rPr>
      <w:rFonts w:ascii="仿宋_GB2312" w:eastAsia="仿宋_GB2312"/>
      <w:color w:val="000000"/>
      <w:kern w:val="0"/>
      <w:szCs w:val="21"/>
    </w:rPr>
  </w:style>
  <w:style w:type="paragraph" w:customStyle="1" w:styleId="499">
    <w:name w:val="表注"/>
    <w:basedOn w:val="1"/>
    <w:qFormat/>
    <w:uiPriority w:val="0"/>
    <w:pPr>
      <w:adjustRightInd w:val="0"/>
      <w:snapToGrid w:val="0"/>
      <w:ind w:firstLine="200" w:firstLineChars="200"/>
    </w:pPr>
    <w:rPr>
      <w:rFonts w:ascii="宋体" w:hAnsi="宋体" w:eastAsia="楷体_GB2312"/>
      <w:sz w:val="21"/>
      <w:szCs w:val="24"/>
    </w:rPr>
  </w:style>
  <w:style w:type="paragraph" w:customStyle="1" w:styleId="500">
    <w:name w:val="图注"/>
    <w:basedOn w:val="1"/>
    <w:qFormat/>
    <w:uiPriority w:val="0"/>
    <w:pPr>
      <w:adjustRightInd w:val="0"/>
      <w:snapToGrid w:val="0"/>
      <w:spacing w:beforeLines="20" w:afterLines="20"/>
      <w:jc w:val="center"/>
    </w:pPr>
    <w:rPr>
      <w:rFonts w:ascii="宋体" w:hAnsi="宋体" w:eastAsia="楷体_GB2312"/>
      <w:sz w:val="21"/>
      <w:szCs w:val="24"/>
    </w:rPr>
  </w:style>
  <w:style w:type="paragraph" w:customStyle="1" w:styleId="501">
    <w:name w:val="页眉、页脚"/>
    <w:basedOn w:val="1"/>
    <w:qFormat/>
    <w:uiPriority w:val="0"/>
    <w:pPr>
      <w:pBdr>
        <w:bottom w:val="single" w:color="auto" w:sz="12" w:space="1"/>
      </w:pBdr>
      <w:adjustRightInd w:val="0"/>
      <w:snapToGrid w:val="0"/>
      <w:jc w:val="center"/>
    </w:pPr>
    <w:rPr>
      <w:rFonts w:ascii="宋体" w:hAnsi="宋体" w:eastAsia="宋体"/>
      <w:sz w:val="18"/>
      <w:szCs w:val="24"/>
    </w:rPr>
  </w:style>
  <w:style w:type="paragraph" w:customStyle="1" w:styleId="502">
    <w:name w:val="页码1"/>
    <w:basedOn w:val="1"/>
    <w:qFormat/>
    <w:uiPriority w:val="0"/>
    <w:pPr>
      <w:adjustRightInd w:val="0"/>
      <w:snapToGrid w:val="0"/>
      <w:spacing w:line="540" w:lineRule="exact"/>
      <w:jc w:val="center"/>
    </w:pPr>
    <w:rPr>
      <w:rFonts w:ascii="宋体" w:hAnsi="宋体" w:eastAsia="宋体"/>
      <w:sz w:val="21"/>
      <w:szCs w:val="24"/>
    </w:rPr>
  </w:style>
  <w:style w:type="paragraph" w:customStyle="1" w:styleId="503">
    <w:name w:val="标题4、5"/>
    <w:basedOn w:val="5"/>
    <w:qFormat/>
    <w:uiPriority w:val="0"/>
    <w:pPr>
      <w:adjustRightInd w:val="0"/>
      <w:snapToGrid w:val="0"/>
      <w:spacing w:before="0" w:after="0" w:line="355" w:lineRule="auto"/>
      <w:jc w:val="left"/>
    </w:pPr>
    <w:rPr>
      <w:rFonts w:ascii="Swis721 Lt BT" w:hAnsi="Swis721 Lt BT" w:eastAsia="方正细黑一简体"/>
      <w:sz w:val="28"/>
      <w:szCs w:val="24"/>
    </w:rPr>
  </w:style>
  <w:style w:type="paragraph" w:customStyle="1" w:styleId="504">
    <w:name w:val="标题 3-"/>
    <w:basedOn w:val="5"/>
    <w:qFormat/>
    <w:uiPriority w:val="0"/>
    <w:pPr>
      <w:keepNext w:val="0"/>
      <w:keepLines w:val="0"/>
      <w:adjustRightInd w:val="0"/>
      <w:snapToGrid w:val="0"/>
      <w:spacing w:beforeLines="30" w:afterLines="30" w:line="355" w:lineRule="auto"/>
      <w:jc w:val="left"/>
    </w:pPr>
    <w:rPr>
      <w:rFonts w:ascii="Swis721 BT" w:hAnsi="Swis721 BT" w:eastAsia="方正黑体简体"/>
      <w:bCs/>
      <w:sz w:val="28"/>
      <w:szCs w:val="24"/>
    </w:rPr>
  </w:style>
  <w:style w:type="paragraph" w:customStyle="1" w:styleId="505">
    <w:name w:val="Char Char Char Char Char Char Char Char Char Char Char Char"/>
    <w:basedOn w:val="1"/>
    <w:qFormat/>
    <w:uiPriority w:val="0"/>
    <w:pPr>
      <w:widowControl/>
      <w:spacing w:after="160" w:line="240" w:lineRule="exact"/>
      <w:jc w:val="left"/>
    </w:pPr>
    <w:rPr>
      <w:rFonts w:ascii="Arial" w:hAnsi="Arial" w:eastAsia="Times New Roman" w:cs="Verdana"/>
      <w:b/>
      <w:kern w:val="0"/>
      <w:lang w:eastAsia="en-US"/>
    </w:rPr>
  </w:style>
  <w:style w:type="character" w:customStyle="1" w:styleId="506">
    <w:name w:val="样式 (中文) 仿宋_GB2312 四号"/>
    <w:qFormat/>
    <w:uiPriority w:val="0"/>
    <w:rPr>
      <w:rFonts w:eastAsia="仿宋_GB2312"/>
      <w:sz w:val="28"/>
    </w:rPr>
  </w:style>
  <w:style w:type="character" w:customStyle="1" w:styleId="507">
    <w:name w:val="标题 2 Char Char"/>
    <w:qFormat/>
    <w:locked/>
    <w:uiPriority w:val="0"/>
    <w:rPr>
      <w:rFonts w:ascii="Arial" w:hAnsi="Arial" w:eastAsia="黑体"/>
      <w:b/>
      <w:bCs/>
      <w:kern w:val="2"/>
      <w:sz w:val="32"/>
      <w:szCs w:val="32"/>
      <w:lang w:val="en-US" w:eastAsia="zh-CN" w:bidi="ar-SA"/>
    </w:rPr>
  </w:style>
  <w:style w:type="paragraph" w:customStyle="1" w:styleId="508">
    <w:name w:val="样式 样式 首行缩进:  2 字符 + 首行缩进:  2 字符"/>
    <w:basedOn w:val="1"/>
    <w:qFormat/>
    <w:uiPriority w:val="0"/>
    <w:pPr>
      <w:spacing w:line="360" w:lineRule="auto"/>
      <w:ind w:firstLine="549" w:firstLineChars="200"/>
    </w:pPr>
    <w:rPr>
      <w:rFonts w:eastAsia="宋体" w:cs="宋体"/>
    </w:rPr>
  </w:style>
  <w:style w:type="paragraph" w:customStyle="1" w:styleId="509">
    <w:name w:val="样式 普通文字 + 首行缩进:  2 字符"/>
    <w:basedOn w:val="45"/>
    <w:qFormat/>
    <w:uiPriority w:val="0"/>
    <w:pPr>
      <w:spacing w:line="360" w:lineRule="auto"/>
      <w:ind w:firstLine="488" w:firstLineChars="200"/>
    </w:pPr>
    <w:rPr>
      <w:rFonts w:ascii="Times New Roman" w:hAnsi="Times New Roman"/>
      <w:spacing w:val="2"/>
      <w:sz w:val="24"/>
      <w:szCs w:val="24"/>
    </w:rPr>
  </w:style>
  <w:style w:type="paragraph" w:customStyle="1" w:styleId="510">
    <w:name w:val="表式样"/>
    <w:basedOn w:val="1"/>
    <w:qFormat/>
    <w:uiPriority w:val="0"/>
    <w:pPr>
      <w:jc w:val="center"/>
    </w:pPr>
    <w:rPr>
      <w:rFonts w:eastAsia="宋体"/>
      <w:kern w:val="0"/>
      <w:sz w:val="21"/>
      <w:lang w:bidi="he-IL"/>
    </w:rPr>
  </w:style>
  <w:style w:type="paragraph" w:customStyle="1" w:styleId="511">
    <w:name w:val="审签"/>
    <w:basedOn w:val="1"/>
    <w:next w:val="1"/>
    <w:qFormat/>
    <w:uiPriority w:val="0"/>
    <w:pPr>
      <w:jc w:val="center"/>
    </w:pPr>
    <w:rPr>
      <w:rFonts w:eastAsia="黑体" w:cs="宋体"/>
      <w:szCs w:val="24"/>
    </w:rPr>
  </w:style>
  <w:style w:type="paragraph" w:customStyle="1" w:styleId="512">
    <w:name w:val="目录标题"/>
    <w:basedOn w:val="45"/>
    <w:next w:val="1"/>
    <w:qFormat/>
    <w:uiPriority w:val="0"/>
    <w:pPr>
      <w:jc w:val="center"/>
    </w:pPr>
    <w:rPr>
      <w:rFonts w:ascii="Times New Roman" w:hAnsi="Times New Roman" w:eastAsia="黑体" w:cs="宋体"/>
      <w:sz w:val="32"/>
      <w:szCs w:val="32"/>
    </w:rPr>
  </w:style>
  <w:style w:type="paragraph" w:customStyle="1" w:styleId="513">
    <w:name w:val="标题3 Char Char Char"/>
    <w:basedOn w:val="1"/>
    <w:qFormat/>
    <w:uiPriority w:val="0"/>
    <w:pPr>
      <w:autoSpaceDE w:val="0"/>
      <w:autoSpaceDN w:val="0"/>
      <w:adjustRightInd w:val="0"/>
      <w:snapToGrid w:val="0"/>
      <w:spacing w:before="50" w:after="50" w:line="360" w:lineRule="auto"/>
      <w:ind w:firstLine="560" w:firstLineChars="200"/>
    </w:pPr>
    <w:rPr>
      <w:rFonts w:eastAsia="仿宋_GB2312"/>
      <w:color w:val="000000"/>
      <w:szCs w:val="24"/>
    </w:rPr>
  </w:style>
  <w:style w:type="paragraph" w:customStyle="1" w:styleId="514">
    <w:name w:val="段落"/>
    <w:basedOn w:val="1"/>
    <w:qFormat/>
    <w:uiPriority w:val="0"/>
    <w:pPr>
      <w:adjustRightInd w:val="0"/>
      <w:snapToGrid w:val="0"/>
      <w:spacing w:line="660" w:lineRule="exact"/>
      <w:ind w:firstLine="560" w:firstLineChars="200"/>
    </w:pPr>
    <w:rPr>
      <w:rFonts w:ascii="宋体" w:hAnsi="宋体" w:eastAsia="宋体" w:cs="Arial"/>
      <w:bCs/>
      <w:kern w:val="0"/>
      <w:szCs w:val="24"/>
    </w:rPr>
  </w:style>
  <w:style w:type="character" w:customStyle="1" w:styleId="515">
    <w:name w:val="bz-content"/>
    <w:basedOn w:val="90"/>
    <w:qFormat/>
    <w:uiPriority w:val="0"/>
  </w:style>
  <w:style w:type="character" w:customStyle="1" w:styleId="516">
    <w:name w:val="样式 宋体 小四 黑色 Char Char1"/>
    <w:qFormat/>
    <w:uiPriority w:val="0"/>
    <w:rPr>
      <w:rFonts w:ascii="Times New Roman" w:hAnsi="Times New Roman" w:eastAsia="华文中宋" w:cs="Times New Roman"/>
      <w:sz w:val="18"/>
      <w:szCs w:val="18"/>
    </w:rPr>
  </w:style>
  <w:style w:type="character" w:customStyle="1" w:styleId="517">
    <w:name w:val="表头 Char1"/>
    <w:qFormat/>
    <w:uiPriority w:val="0"/>
    <w:rPr>
      <w:rFonts w:ascii="黑体" w:eastAsia="黑体" w:cs="黑体"/>
      <w:kern w:val="2"/>
      <w:sz w:val="24"/>
      <w:szCs w:val="24"/>
      <w:lang w:val="en-US" w:eastAsia="zh-CN" w:bidi="ar-SA"/>
    </w:rPr>
  </w:style>
  <w:style w:type="paragraph" w:customStyle="1" w:styleId="518">
    <w:name w:val="正文文字缩进123456"/>
    <w:basedOn w:val="1"/>
    <w:qFormat/>
    <w:uiPriority w:val="0"/>
    <w:pPr>
      <w:widowControl/>
      <w:adjustRightInd w:val="0"/>
      <w:spacing w:line="351" w:lineRule="atLeast"/>
      <w:ind w:firstLine="521" w:firstLineChars="200"/>
      <w:textAlignment w:val="baseline"/>
    </w:pPr>
    <w:rPr>
      <w:rFonts w:ascii="宋体" w:eastAsia="宋体"/>
      <w:color w:val="000000"/>
      <w:kern w:val="0"/>
    </w:rPr>
  </w:style>
  <w:style w:type="paragraph" w:customStyle="1" w:styleId="519">
    <w:name w:val="样式 样式 宋体 小四 行距: 1.5 倍行距 + 首行缩进:  2 字符"/>
    <w:basedOn w:val="1"/>
    <w:qFormat/>
    <w:uiPriority w:val="0"/>
    <w:pPr>
      <w:tabs>
        <w:tab w:val="left" w:pos="3960"/>
      </w:tabs>
      <w:spacing w:line="360" w:lineRule="auto"/>
      <w:ind w:firstLine="518" w:firstLineChars="185"/>
    </w:pPr>
    <w:rPr>
      <w:rFonts w:eastAsia="仿宋_GB2312"/>
      <w:kern w:val="0"/>
      <w:szCs w:val="24"/>
    </w:rPr>
  </w:style>
  <w:style w:type="paragraph" w:customStyle="1" w:styleId="520">
    <w:name w:val="Char1 Char Char Char Char Char1 Char Char Char Char Char Char Char Char Char Char Char Char1 Char Char Char1 Char"/>
    <w:basedOn w:val="1"/>
    <w:qFormat/>
    <w:uiPriority w:val="0"/>
    <w:rPr>
      <w:rFonts w:ascii="宋体" w:eastAsia="宋体"/>
      <w:szCs w:val="24"/>
    </w:rPr>
  </w:style>
  <w:style w:type="paragraph" w:customStyle="1" w:styleId="521">
    <w:name w:val="HTML 预先格式化1"/>
    <w:basedOn w:val="1"/>
    <w:qFormat/>
    <w:uiPriority w:val="0"/>
    <w:pPr>
      <w:widowControl/>
      <w:spacing w:line="351" w:lineRule="atLeast"/>
      <w:ind w:firstLine="419"/>
      <w:jc w:val="left"/>
      <w:textAlignment w:val="baseline"/>
    </w:pPr>
    <w:rPr>
      <w:rFonts w:ascii="黑体" w:eastAsia="黑体"/>
      <w:color w:val="000000"/>
      <w:kern w:val="0"/>
      <w:sz w:val="20"/>
    </w:rPr>
  </w:style>
  <w:style w:type="paragraph" w:customStyle="1" w:styleId="522">
    <w:name w:val="HTML 预先格式化1234"/>
    <w:basedOn w:val="1"/>
    <w:qFormat/>
    <w:uiPriority w:val="0"/>
    <w:pPr>
      <w:widowControl/>
      <w:spacing w:line="351" w:lineRule="atLeast"/>
      <w:ind w:firstLine="419"/>
      <w:jc w:val="left"/>
      <w:textAlignment w:val="baseline"/>
    </w:pPr>
    <w:rPr>
      <w:rFonts w:ascii="黑体" w:eastAsia="黑体"/>
      <w:color w:val="000000"/>
      <w:kern w:val="0"/>
      <w:sz w:val="20"/>
    </w:rPr>
  </w:style>
  <w:style w:type="character" w:customStyle="1" w:styleId="523">
    <w:name w:val="Plain Text Char Char"/>
    <w:qFormat/>
    <w:uiPriority w:val="0"/>
    <w:rPr>
      <w:rFonts w:ascii="宋体" w:hAnsi="Courier New" w:cs="Courier New"/>
      <w:kern w:val="2"/>
      <w:sz w:val="21"/>
      <w:szCs w:val="21"/>
    </w:rPr>
  </w:style>
  <w:style w:type="paragraph" w:customStyle="1" w:styleId="524">
    <w:name w:val="样式 样式 (中文) 华文仿宋 四号 + 首行缩进:  1.92 字符"/>
    <w:basedOn w:val="1"/>
    <w:qFormat/>
    <w:uiPriority w:val="0"/>
    <w:pPr>
      <w:ind w:firstLine="200" w:firstLineChars="200"/>
    </w:pPr>
    <w:rPr>
      <w:rFonts w:eastAsia="仿宋_GB2312" w:cs="宋体"/>
    </w:rPr>
  </w:style>
  <w:style w:type="paragraph" w:customStyle="1" w:styleId="525">
    <w:name w:val="xl68"/>
    <w:basedOn w:val="1"/>
    <w:qFormat/>
    <w:uiPriority w:val="0"/>
    <w:pPr>
      <w:widowControl/>
      <w:shd w:val="clear" w:color="000000" w:fill="FFFF00"/>
      <w:spacing w:before="100" w:beforeAutospacing="1" w:after="100" w:afterAutospacing="1"/>
      <w:jc w:val="left"/>
    </w:pPr>
    <w:rPr>
      <w:rFonts w:ascii="宋体" w:hAnsi="宋体" w:eastAsia="宋体" w:cs="宋体"/>
      <w:color w:val="000000"/>
      <w:kern w:val="0"/>
      <w:sz w:val="16"/>
      <w:szCs w:val="16"/>
    </w:rPr>
  </w:style>
  <w:style w:type="paragraph" w:customStyle="1" w:styleId="526">
    <w:name w:val="正文（首行缩进）"/>
    <w:basedOn w:val="1"/>
    <w:qFormat/>
    <w:uiPriority w:val="0"/>
    <w:pPr>
      <w:autoSpaceDE w:val="0"/>
      <w:autoSpaceDN w:val="0"/>
      <w:adjustRightInd w:val="0"/>
      <w:spacing w:before="240" w:after="60"/>
      <w:ind w:firstLine="643" w:firstLineChars="200"/>
      <w:outlineLvl w:val="0"/>
    </w:pPr>
    <w:rPr>
      <w:rFonts w:ascii="Arial" w:hAnsi="Arial" w:eastAsia="宋体" w:cs="Arial"/>
      <w:kern w:val="0"/>
      <w:szCs w:val="32"/>
    </w:rPr>
  </w:style>
  <w:style w:type="character" w:customStyle="1" w:styleId="527">
    <w:name w:val="p15"/>
    <w:qFormat/>
    <w:uiPriority w:val="0"/>
    <w:rPr>
      <w:rFonts w:eastAsia="仿宋_GB2312"/>
      <w:kern w:val="2"/>
      <w:sz w:val="28"/>
      <w:szCs w:val="24"/>
      <w:lang w:val="en-US" w:eastAsia="zh-CN" w:bidi="ar-SA"/>
    </w:rPr>
  </w:style>
  <w:style w:type="paragraph" w:customStyle="1" w:styleId="528">
    <w:name w:val="样式 左侧:  0.74 厘米 底端: (单实线 自动设置  0.75 磅 行宽) 行距: 1.5 倍行距"/>
    <w:basedOn w:val="1"/>
    <w:qFormat/>
    <w:uiPriority w:val="0"/>
    <w:pPr>
      <w:spacing w:line="360" w:lineRule="auto"/>
      <w:ind w:firstLine="480" w:firstLineChars="200"/>
    </w:pPr>
    <w:rPr>
      <w:rFonts w:eastAsia="宋体"/>
      <w:szCs w:val="24"/>
    </w:rPr>
  </w:style>
  <w:style w:type="paragraph" w:customStyle="1" w:styleId="529">
    <w:name w:val="表格文字(中)"/>
    <w:basedOn w:val="1"/>
    <w:qFormat/>
    <w:uiPriority w:val="0"/>
    <w:pPr>
      <w:autoSpaceDE w:val="0"/>
      <w:autoSpaceDN w:val="0"/>
      <w:adjustRightInd w:val="0"/>
      <w:snapToGrid w:val="0"/>
    </w:pPr>
    <w:rPr>
      <w:rFonts w:eastAsia="仿宋_GB2312"/>
      <w:bCs/>
      <w:kern w:val="0"/>
      <w:sz w:val="21"/>
      <w:szCs w:val="21"/>
    </w:rPr>
  </w:style>
  <w:style w:type="paragraph" w:customStyle="1" w:styleId="530">
    <w:name w:val="表格文字(左)"/>
    <w:basedOn w:val="529"/>
    <w:qFormat/>
    <w:uiPriority w:val="0"/>
  </w:style>
  <w:style w:type="character" w:customStyle="1" w:styleId="531">
    <w:name w:val="p14h"/>
    <w:qFormat/>
    <w:uiPriority w:val="0"/>
    <w:rPr>
      <w:rFonts w:eastAsia="仿宋_GB2312"/>
      <w:kern w:val="2"/>
      <w:sz w:val="28"/>
      <w:szCs w:val="24"/>
      <w:lang w:val="en-US" w:eastAsia="zh-CN" w:bidi="ar-SA"/>
    </w:rPr>
  </w:style>
  <w:style w:type="character" w:customStyle="1" w:styleId="532">
    <w:name w:val="bz-content1"/>
    <w:qFormat/>
    <w:uiPriority w:val="0"/>
    <w:rPr>
      <w:rFonts w:eastAsia="仿宋_GB2312"/>
      <w:kern w:val="2"/>
      <w:sz w:val="28"/>
      <w:szCs w:val="24"/>
      <w:lang w:val="en-US" w:eastAsia="zh-CN" w:bidi="ar-SA"/>
    </w:rPr>
  </w:style>
  <w:style w:type="paragraph" w:customStyle="1" w:styleId="533">
    <w:name w:val="样式 正文4号首行缩 2 + 首行缩进:  2 字符"/>
    <w:basedOn w:val="1"/>
    <w:qFormat/>
    <w:uiPriority w:val="0"/>
    <w:pPr>
      <w:widowControl/>
      <w:snapToGrid w:val="0"/>
      <w:spacing w:line="360" w:lineRule="auto"/>
      <w:ind w:firstLine="200" w:firstLineChars="200"/>
    </w:pPr>
    <w:rPr>
      <w:rFonts w:eastAsia="宋体"/>
      <w:color w:val="000000"/>
    </w:rPr>
  </w:style>
  <w:style w:type="paragraph" w:customStyle="1" w:styleId="534">
    <w:name w:val="图表名"/>
    <w:basedOn w:val="34"/>
    <w:qFormat/>
    <w:uiPriority w:val="0"/>
    <w:pPr>
      <w:spacing w:after="0"/>
      <w:jc w:val="center"/>
    </w:pPr>
    <w:rPr>
      <w:rFonts w:eastAsia="黑体"/>
      <w:color w:val="000000"/>
      <w:sz w:val="24"/>
      <w:szCs w:val="32"/>
    </w:rPr>
  </w:style>
  <w:style w:type="paragraph" w:customStyle="1" w:styleId="535">
    <w:name w:val="流程内容"/>
    <w:basedOn w:val="1"/>
    <w:qFormat/>
    <w:uiPriority w:val="0"/>
    <w:pPr>
      <w:snapToGrid w:val="0"/>
      <w:jc w:val="center"/>
    </w:pPr>
    <w:rPr>
      <w:rFonts w:eastAsia="仿宋_GB2312"/>
      <w:kern w:val="0"/>
      <w:sz w:val="21"/>
      <w:szCs w:val="24"/>
    </w:rPr>
  </w:style>
  <w:style w:type="character" w:customStyle="1" w:styleId="536">
    <w:name w:val="javascript1"/>
    <w:qFormat/>
    <w:uiPriority w:val="0"/>
    <w:rPr>
      <w:rFonts w:hint="default" w:ascii="Tahoma" w:hAnsi="Tahoma" w:eastAsia="仿宋_GB2312" w:cs="Tahoma"/>
      <w:kern w:val="2"/>
      <w:sz w:val="18"/>
      <w:szCs w:val="18"/>
      <w:lang w:val="en-US" w:eastAsia="zh-CN" w:bidi="ar-SA"/>
    </w:rPr>
  </w:style>
  <w:style w:type="paragraph" w:customStyle="1" w:styleId="537">
    <w:name w:val="样式 标题 4 + (中文) 仿宋_GB2312"/>
    <w:basedOn w:val="6"/>
    <w:qFormat/>
    <w:uiPriority w:val="0"/>
    <w:pPr>
      <w:tabs>
        <w:tab w:val="left" w:pos="864"/>
      </w:tabs>
      <w:spacing w:before="156"/>
      <w:ind w:left="864" w:hanging="864"/>
      <w:jc w:val="left"/>
    </w:pPr>
    <w:rPr>
      <w:rFonts w:ascii="宋体" w:hAnsi="宋体" w:eastAsia="仿宋_GB2312"/>
      <w:b w:val="0"/>
      <w:szCs w:val="24"/>
    </w:rPr>
  </w:style>
  <w:style w:type="paragraph" w:customStyle="1" w:styleId="538">
    <w:name w:val="样式 标题 4 + 宋体"/>
    <w:basedOn w:val="6"/>
    <w:qFormat/>
    <w:uiPriority w:val="0"/>
    <w:pPr>
      <w:tabs>
        <w:tab w:val="left" w:pos="864"/>
      </w:tabs>
      <w:spacing w:before="156"/>
      <w:ind w:left="864" w:hanging="864"/>
      <w:jc w:val="left"/>
    </w:pPr>
    <w:rPr>
      <w:rFonts w:ascii="Arial" w:hAnsi="Arial"/>
      <w:b w:val="0"/>
      <w:szCs w:val="24"/>
    </w:rPr>
  </w:style>
  <w:style w:type="character" w:customStyle="1" w:styleId="539">
    <w:name w:val="样式 标题 4 + 宋体 Char"/>
    <w:qFormat/>
    <w:uiPriority w:val="0"/>
    <w:rPr>
      <w:rFonts w:ascii="Arial" w:hAnsi="Arial" w:eastAsia="宋体"/>
      <w:b/>
      <w:bCs/>
      <w:color w:val="000000"/>
      <w:kern w:val="2"/>
      <w:sz w:val="24"/>
      <w:szCs w:val="24"/>
      <w:lang w:val="en-US" w:eastAsia="zh-CN" w:bidi="ar-SA"/>
    </w:rPr>
  </w:style>
  <w:style w:type="paragraph" w:customStyle="1" w:styleId="540">
    <w:name w:val="样式 标题 4"/>
    <w:basedOn w:val="6"/>
    <w:qFormat/>
    <w:uiPriority w:val="0"/>
    <w:pPr>
      <w:tabs>
        <w:tab w:val="left" w:pos="864"/>
      </w:tabs>
      <w:spacing w:before="156"/>
      <w:ind w:left="864" w:hanging="864"/>
      <w:jc w:val="left"/>
    </w:pPr>
    <w:rPr>
      <w:rFonts w:ascii="宋体" w:hAnsi="宋体"/>
      <w:b w:val="0"/>
      <w:szCs w:val="24"/>
    </w:rPr>
  </w:style>
  <w:style w:type="paragraph" w:customStyle="1" w:styleId="541">
    <w:name w:val="样式 标题 2"/>
    <w:basedOn w:val="4"/>
    <w:qFormat/>
    <w:uiPriority w:val="0"/>
    <w:pPr>
      <w:keepNext w:val="0"/>
      <w:keepLines w:val="0"/>
      <w:autoSpaceDE w:val="0"/>
      <w:autoSpaceDN w:val="0"/>
      <w:adjustRightInd w:val="0"/>
      <w:spacing w:beforeLines="50" w:after="0" w:line="480" w:lineRule="auto"/>
      <w:jc w:val="left"/>
    </w:pPr>
    <w:rPr>
      <w:rFonts w:cs="宋体"/>
      <w:bCs w:val="0"/>
      <w:sz w:val="28"/>
      <w:szCs w:val="20"/>
      <w:lang w:val="en-US"/>
    </w:rPr>
  </w:style>
  <w:style w:type="character" w:customStyle="1" w:styleId="542">
    <w:name w:val="标题5"/>
    <w:qFormat/>
    <w:uiPriority w:val="0"/>
    <w:rPr>
      <w:rFonts w:eastAsia="仿宋_GB2312"/>
      <w:kern w:val="2"/>
      <w:sz w:val="28"/>
      <w:szCs w:val="24"/>
      <w:lang w:val="en-US" w:eastAsia="zh-CN" w:bidi="ar-SA"/>
    </w:rPr>
  </w:style>
  <w:style w:type="character" w:customStyle="1" w:styleId="543">
    <w:name w:val="t121"/>
    <w:qFormat/>
    <w:uiPriority w:val="0"/>
    <w:rPr>
      <w:rFonts w:hint="default" w:ascii="ˎ̥" w:hAnsi="ˎ̥" w:eastAsia="仿宋_GB2312"/>
      <w:color w:val="000000"/>
      <w:kern w:val="2"/>
      <w:sz w:val="18"/>
      <w:szCs w:val="18"/>
      <w:u w:val="none"/>
      <w:lang w:val="en-US" w:eastAsia="zh-CN" w:bidi="ar-SA"/>
    </w:rPr>
  </w:style>
  <w:style w:type="paragraph" w:customStyle="1" w:styleId="544">
    <w:name w:val="出版正文"/>
    <w:basedOn w:val="1"/>
    <w:qFormat/>
    <w:uiPriority w:val="0"/>
    <w:pPr>
      <w:ind w:firstLine="567" w:firstLineChars="200"/>
    </w:pPr>
    <w:rPr>
      <w:rFonts w:ascii="仿宋_GB2312" w:eastAsia="仿宋_GB2312"/>
    </w:rPr>
  </w:style>
  <w:style w:type="paragraph" w:customStyle="1" w:styleId="545">
    <w:name w:val="节"/>
    <w:basedOn w:val="21"/>
    <w:qFormat/>
    <w:uiPriority w:val="0"/>
    <w:pPr>
      <w:ind w:firstLine="0" w:firstLineChars="0"/>
      <w:jc w:val="center"/>
      <w:outlineLvl w:val="1"/>
    </w:pPr>
    <w:rPr>
      <w:rFonts w:ascii="黑体" w:hAnsi="Times New Roman" w:eastAsia="黑体"/>
      <w:sz w:val="32"/>
      <w:szCs w:val="20"/>
    </w:rPr>
  </w:style>
  <w:style w:type="character" w:customStyle="1" w:styleId="546">
    <w:name w:val="正文文字 Char Char"/>
    <w:qFormat/>
    <w:uiPriority w:val="0"/>
    <w:rPr>
      <w:rFonts w:eastAsia="宋体"/>
      <w:kern w:val="2"/>
      <w:sz w:val="21"/>
      <w:szCs w:val="24"/>
      <w:lang w:val="en-US" w:eastAsia="zh-CN" w:bidi="ar-SA"/>
    </w:rPr>
  </w:style>
  <w:style w:type="character" w:customStyle="1" w:styleId="547">
    <w:name w:val="CT Char"/>
    <w:qFormat/>
    <w:uiPriority w:val="0"/>
    <w:rPr>
      <w:rFonts w:ascii="宋体" w:hAnsi="宋体" w:eastAsia="宋体"/>
      <w:b/>
      <w:kern w:val="2"/>
      <w:sz w:val="28"/>
      <w:szCs w:val="30"/>
      <w:lang w:val="en-US" w:eastAsia="zh-CN" w:bidi="ar-SA"/>
    </w:rPr>
  </w:style>
  <w:style w:type="character" w:customStyle="1" w:styleId="548">
    <w:name w:val="样式 四号1"/>
    <w:qFormat/>
    <w:uiPriority w:val="0"/>
    <w:rPr>
      <w:rFonts w:ascii="Times New Roman" w:hAnsi="Times New Roman" w:eastAsia="宋体"/>
      <w:sz w:val="24"/>
      <w:szCs w:val="24"/>
      <w:vertAlign w:val="baseline"/>
    </w:rPr>
  </w:style>
  <w:style w:type="paragraph" w:customStyle="1" w:styleId="549">
    <w:name w:val="样式 四号 行距: 1.5 倍行距2"/>
    <w:basedOn w:val="1"/>
    <w:qFormat/>
    <w:uiPriority w:val="0"/>
    <w:pPr>
      <w:snapToGrid w:val="0"/>
      <w:spacing w:line="360" w:lineRule="auto"/>
      <w:ind w:firstLine="200" w:firstLineChars="200"/>
    </w:pPr>
    <w:rPr>
      <w:rFonts w:ascii="仿宋_GB2312" w:eastAsia="仿宋_GB2312" w:cs="宋体"/>
      <w:szCs w:val="24"/>
    </w:rPr>
  </w:style>
  <w:style w:type="character" w:customStyle="1" w:styleId="550">
    <w:name w:val="标题 32"/>
    <w:qFormat/>
    <w:uiPriority w:val="0"/>
    <w:rPr>
      <w:rFonts w:ascii="华文中宋" w:hAnsi="华文中宋"/>
      <w:sz w:val="30"/>
      <w:szCs w:val="30"/>
    </w:rPr>
  </w:style>
  <w:style w:type="character" w:customStyle="1" w:styleId="551">
    <w:name w:val="f14"/>
    <w:basedOn w:val="90"/>
    <w:qFormat/>
    <w:uiPriority w:val="0"/>
  </w:style>
  <w:style w:type="paragraph" w:customStyle="1" w:styleId="552">
    <w:name w:val="正文_怒江政策"/>
    <w:basedOn w:val="1"/>
    <w:qFormat/>
    <w:uiPriority w:val="0"/>
    <w:pPr>
      <w:spacing w:line="324" w:lineRule="auto"/>
      <w:ind w:firstLine="480" w:firstLineChars="200"/>
    </w:pPr>
    <w:rPr>
      <w:rFonts w:ascii="宋体" w:hAnsi="宋体" w:eastAsia="仿宋_GB2312"/>
      <w:szCs w:val="24"/>
    </w:rPr>
  </w:style>
  <w:style w:type="paragraph" w:customStyle="1" w:styleId="553">
    <w:name w:val="样式 样式 标题 2白鹤滩标题 2H22nd levelh22Header 2l2Titre2Head 2List... +"/>
    <w:basedOn w:val="1"/>
    <w:qFormat/>
    <w:uiPriority w:val="0"/>
    <w:pPr>
      <w:keepNext/>
      <w:keepLines/>
      <w:snapToGrid w:val="0"/>
      <w:spacing w:before="120" w:after="120" w:line="460" w:lineRule="exact"/>
      <w:outlineLvl w:val="1"/>
    </w:pPr>
    <w:rPr>
      <w:rFonts w:ascii="Arial" w:hAnsi="Arial" w:eastAsia="黑体" w:cs="宋体"/>
      <w:kern w:val="0"/>
      <w:sz w:val="32"/>
    </w:rPr>
  </w:style>
  <w:style w:type="paragraph" w:customStyle="1" w:styleId="554">
    <w:name w:val="表格文字"/>
    <w:basedOn w:val="1"/>
    <w:qFormat/>
    <w:uiPriority w:val="0"/>
    <w:pPr>
      <w:spacing w:line="240" w:lineRule="exact"/>
    </w:pPr>
    <w:rPr>
      <w:rFonts w:eastAsia="宋体"/>
      <w:sz w:val="18"/>
      <w:szCs w:val="24"/>
    </w:rPr>
  </w:style>
  <w:style w:type="paragraph" w:customStyle="1" w:styleId="555">
    <w:name w:val="正文 + 宋体"/>
    <w:basedOn w:val="1"/>
    <w:qFormat/>
    <w:uiPriority w:val="0"/>
    <w:pPr>
      <w:ind w:firstLine="420" w:firstLineChars="200"/>
    </w:pPr>
    <w:rPr>
      <w:rFonts w:ascii="宋体" w:hAnsi="宋体" w:eastAsia="宋体"/>
      <w:sz w:val="21"/>
      <w:szCs w:val="21"/>
    </w:rPr>
  </w:style>
  <w:style w:type="paragraph" w:customStyle="1" w:styleId="556">
    <w:name w:val="综合规划（一）标题"/>
    <w:basedOn w:val="6"/>
    <w:qFormat/>
    <w:uiPriority w:val="0"/>
    <w:pPr>
      <w:topLinePunct/>
      <w:spacing w:line="400" w:lineRule="exact"/>
      <w:ind w:firstLine="482" w:firstLineChars="200"/>
    </w:pPr>
    <w:rPr>
      <w:rFonts w:ascii="宋体" w:hAnsi="宋体"/>
      <w:b w:val="0"/>
    </w:rPr>
  </w:style>
  <w:style w:type="paragraph" w:customStyle="1" w:styleId="557">
    <w:name w:val="正文表名 崔"/>
    <w:basedOn w:val="1"/>
    <w:next w:val="1"/>
    <w:qFormat/>
    <w:uiPriority w:val="0"/>
    <w:pPr>
      <w:spacing w:before="60" w:after="60"/>
      <w:ind w:firstLine="560"/>
    </w:pPr>
    <w:rPr>
      <w:rFonts w:ascii="宋体" w:eastAsia="宋体"/>
      <w:b/>
      <w:bCs/>
      <w:szCs w:val="24"/>
    </w:rPr>
  </w:style>
  <w:style w:type="paragraph" w:customStyle="1" w:styleId="558">
    <w:name w:val="综合规划节标题"/>
    <w:basedOn w:val="4"/>
    <w:qFormat/>
    <w:uiPriority w:val="0"/>
    <w:pPr>
      <w:topLinePunct/>
      <w:spacing w:beforeLines="100" w:afterLines="100" w:line="240" w:lineRule="auto"/>
    </w:pPr>
    <w:rPr>
      <w:rFonts w:ascii="黑体" w:eastAsia="仿宋_GB2312"/>
      <w:b w:val="0"/>
      <w:bCs w:val="0"/>
      <w:sz w:val="28"/>
      <w:lang w:val="en-US"/>
    </w:rPr>
  </w:style>
  <w:style w:type="paragraph" w:customStyle="1" w:styleId="559">
    <w:name w:val="防洪规划一、标题"/>
    <w:basedOn w:val="5"/>
    <w:qFormat/>
    <w:uiPriority w:val="0"/>
    <w:pPr>
      <w:spacing w:beforeLines="50" w:afterLines="50" w:line="540" w:lineRule="exact"/>
      <w:jc w:val="left"/>
    </w:pPr>
    <w:rPr>
      <w:rFonts w:hAnsi="Arial" w:eastAsia="黑体"/>
      <w:sz w:val="28"/>
      <w:szCs w:val="28"/>
    </w:rPr>
  </w:style>
  <w:style w:type="paragraph" w:customStyle="1" w:styleId="560">
    <w:name w:val="标准-正文"/>
    <w:basedOn w:val="1"/>
    <w:qFormat/>
    <w:uiPriority w:val="0"/>
    <w:pPr>
      <w:spacing w:line="400" w:lineRule="exact"/>
      <w:ind w:firstLine="200" w:firstLineChars="200"/>
    </w:pPr>
    <w:rPr>
      <w:rFonts w:ascii="宋体" w:hAnsi="宋体" w:eastAsia="宋体"/>
      <w:szCs w:val="24"/>
    </w:rPr>
  </w:style>
  <w:style w:type="paragraph" w:customStyle="1" w:styleId="561">
    <w:name w:val="样式 标题 1 + Times New Roman"/>
    <w:basedOn w:val="1"/>
    <w:next w:val="1"/>
    <w:qFormat/>
    <w:uiPriority w:val="0"/>
    <w:pPr>
      <w:snapToGrid w:val="0"/>
      <w:spacing w:beforeLines="50" w:afterLines="50" w:line="240" w:lineRule="exact"/>
      <w:jc w:val="center"/>
    </w:pPr>
    <w:rPr>
      <w:rFonts w:ascii="黑体" w:eastAsia="黑体"/>
      <w:bCs/>
      <w:sz w:val="21"/>
      <w:szCs w:val="32"/>
    </w:rPr>
  </w:style>
  <w:style w:type="paragraph" w:customStyle="1" w:styleId="562">
    <w:name w:val="样式 标题 2Heading 2 Char + Times New Roman 四号"/>
    <w:basedOn w:val="1"/>
    <w:next w:val="1"/>
    <w:qFormat/>
    <w:uiPriority w:val="0"/>
    <w:pPr>
      <w:spacing w:afterLines="50"/>
    </w:pPr>
    <w:rPr>
      <w:rFonts w:eastAsia="宋体"/>
      <w:b/>
      <w:bCs/>
      <w:sz w:val="28"/>
      <w:szCs w:val="28"/>
    </w:rPr>
  </w:style>
  <w:style w:type="paragraph" w:customStyle="1" w:styleId="563">
    <w:name w:val="样式 样式 标题 2Heading 2 Char + Times New Roman 四号 +"/>
    <w:basedOn w:val="562"/>
    <w:qFormat/>
    <w:uiPriority w:val="0"/>
    <w:pPr>
      <w:outlineLvl w:val="1"/>
    </w:pPr>
    <w:rPr>
      <w:szCs w:val="20"/>
    </w:rPr>
  </w:style>
  <w:style w:type="paragraph" w:customStyle="1" w:styleId="564">
    <w:name w:val="样式 样式 样式 标题 2Heading 2 Char + Times New Roman 四号 + + 段后: 0.5 行"/>
    <w:basedOn w:val="563"/>
    <w:qFormat/>
    <w:uiPriority w:val="0"/>
    <w:rPr>
      <w:color w:val="0000FF"/>
      <w:szCs w:val="28"/>
    </w:rPr>
  </w:style>
  <w:style w:type="paragraph" w:customStyle="1" w:styleId="565">
    <w:name w:val="标题 11"/>
    <w:basedOn w:val="1"/>
    <w:next w:val="1"/>
    <w:qFormat/>
    <w:uiPriority w:val="0"/>
    <w:pPr>
      <w:spacing w:beforeLines="50" w:afterLines="50"/>
      <w:ind w:left="920" w:hanging="360"/>
      <w:outlineLvl w:val="0"/>
    </w:pPr>
    <w:rPr>
      <w:rFonts w:eastAsia="宋体"/>
      <w:b/>
      <w:bCs/>
      <w:color w:val="0000FF"/>
      <w:sz w:val="30"/>
      <w:szCs w:val="30"/>
      <w:lang w:eastAsia="fr-FR"/>
    </w:rPr>
  </w:style>
  <w:style w:type="paragraph" w:customStyle="1" w:styleId="566">
    <w:name w:val="样式 样式 样式 样式 标题 2Heading 2 Char + Times New Roman 四号 + + 段后: 0.5 ..."/>
    <w:basedOn w:val="1"/>
    <w:next w:val="1"/>
    <w:qFormat/>
    <w:uiPriority w:val="0"/>
    <w:pPr>
      <w:tabs>
        <w:tab w:val="left" w:pos="1376"/>
        <w:tab w:val="left" w:pos="2907"/>
      </w:tabs>
      <w:spacing w:after="50"/>
      <w:ind w:left="2907" w:hanging="420"/>
    </w:pPr>
    <w:rPr>
      <w:rFonts w:eastAsia="宋体"/>
      <w:sz w:val="21"/>
    </w:rPr>
  </w:style>
  <w:style w:type="paragraph" w:customStyle="1" w:styleId="567">
    <w:name w:val="标题 22"/>
    <w:basedOn w:val="4"/>
    <w:qFormat/>
    <w:uiPriority w:val="0"/>
    <w:pPr>
      <w:widowControl/>
      <w:spacing w:before="400" w:after="120" w:line="240" w:lineRule="auto"/>
    </w:pPr>
    <w:rPr>
      <w:rFonts w:eastAsia="宋体"/>
      <w:b w:val="0"/>
      <w:bCs w:val="0"/>
      <w:color w:val="0000FF"/>
      <w:sz w:val="28"/>
      <w:szCs w:val="20"/>
      <w:lang w:val="en-GB" w:eastAsia="fr-FR"/>
    </w:rPr>
  </w:style>
  <w:style w:type="paragraph" w:customStyle="1" w:styleId="568">
    <w:name w:val="样式 标题 2Heading 2 Char + Times New Roman"/>
    <w:basedOn w:val="4"/>
    <w:qFormat/>
    <w:uiPriority w:val="0"/>
    <w:pPr>
      <w:widowControl/>
      <w:spacing w:before="400" w:after="120" w:line="240" w:lineRule="auto"/>
      <w:ind w:left="1400" w:hanging="420"/>
    </w:pPr>
    <w:rPr>
      <w:rFonts w:eastAsia="宋体"/>
      <w:b w:val="0"/>
      <w:smallCaps/>
      <w:color w:val="0000FF"/>
      <w:sz w:val="28"/>
      <w:szCs w:val="28"/>
      <w:lang w:val="en-GB" w:eastAsia="fr-FR"/>
    </w:rPr>
  </w:style>
  <w:style w:type="paragraph" w:customStyle="1" w:styleId="569">
    <w:name w:val="样式 标题 11 + 段前: 0.5 行 段后: 0.5 行"/>
    <w:basedOn w:val="565"/>
    <w:qFormat/>
    <w:uiPriority w:val="0"/>
    <w:pPr>
      <w:keepNext/>
      <w:keepLines/>
      <w:pageBreakBefore/>
      <w:widowControl/>
      <w:ind w:left="0" w:firstLine="0"/>
    </w:pPr>
    <w:rPr>
      <w:szCs w:val="20"/>
    </w:rPr>
  </w:style>
  <w:style w:type="paragraph" w:customStyle="1" w:styleId="570">
    <w:name w:val="样式 标题 11 + 段前: 0.5 行 段后: 0.5 行1"/>
    <w:basedOn w:val="565"/>
    <w:qFormat/>
    <w:uiPriority w:val="0"/>
    <w:pPr>
      <w:keepNext/>
      <w:keepLines/>
      <w:pageBreakBefore/>
      <w:widowControl/>
      <w:ind w:left="0" w:firstLine="0"/>
    </w:pPr>
    <w:rPr>
      <w:szCs w:val="20"/>
    </w:rPr>
  </w:style>
  <w:style w:type="paragraph" w:customStyle="1" w:styleId="571">
    <w:name w:val="样式 标题 3 + (符号) Times New Roman 段前: 6 磅"/>
    <w:basedOn w:val="4"/>
    <w:qFormat/>
    <w:uiPriority w:val="0"/>
    <w:pPr>
      <w:widowControl/>
      <w:tabs>
        <w:tab w:val="left" w:pos="1407"/>
      </w:tabs>
      <w:spacing w:before="120" w:after="120" w:line="240" w:lineRule="auto"/>
      <w:ind w:left="1407" w:hanging="420"/>
      <w:outlineLvl w:val="2"/>
    </w:pPr>
    <w:rPr>
      <w:rFonts w:ascii="Arial Narrow" w:eastAsia="宋体"/>
      <w:b w:val="0"/>
      <w:smallCaps/>
      <w:color w:val="0000FF"/>
      <w:sz w:val="24"/>
      <w:szCs w:val="24"/>
      <w:lang w:val="en-GB" w:eastAsia="fr-FR"/>
    </w:rPr>
  </w:style>
  <w:style w:type="paragraph" w:customStyle="1" w:styleId="572">
    <w:name w:val="样式 标题 22"/>
    <w:basedOn w:val="1"/>
    <w:next w:val="1"/>
    <w:qFormat/>
    <w:uiPriority w:val="0"/>
    <w:rPr>
      <w:rFonts w:eastAsia="宋体"/>
      <w:b/>
      <w:bCs/>
      <w:caps/>
      <w:color w:val="0000FF"/>
      <w:sz w:val="28"/>
      <w:szCs w:val="28"/>
    </w:rPr>
  </w:style>
  <w:style w:type="paragraph" w:customStyle="1" w:styleId="573">
    <w:name w:val="样式  标题 11"/>
    <w:basedOn w:val="1"/>
    <w:next w:val="1"/>
    <w:qFormat/>
    <w:uiPriority w:val="0"/>
    <w:pPr>
      <w:tabs>
        <w:tab w:val="left" w:pos="425"/>
        <w:tab w:val="left" w:pos="1376"/>
      </w:tabs>
      <w:spacing w:before="120" w:after="120"/>
      <w:ind w:left="425" w:hanging="425"/>
      <w:outlineLvl w:val="0"/>
    </w:pPr>
    <w:rPr>
      <w:rFonts w:eastAsia="宋体"/>
      <w:b/>
      <w:color w:val="0000FF"/>
      <w:sz w:val="30"/>
      <w:szCs w:val="30"/>
    </w:rPr>
  </w:style>
  <w:style w:type="paragraph" w:customStyle="1" w:styleId="574">
    <w:name w:val="样式 标题 33"/>
    <w:basedOn w:val="1"/>
    <w:next w:val="1"/>
    <w:qFormat/>
    <w:uiPriority w:val="0"/>
    <w:pPr>
      <w:spacing w:before="120"/>
      <w:ind w:left="1820" w:hanging="420"/>
      <w:outlineLvl w:val="2"/>
    </w:pPr>
    <w:rPr>
      <w:rFonts w:eastAsia="宋体"/>
      <w:bCs/>
      <w:caps/>
      <w:sz w:val="21"/>
      <w:szCs w:val="24"/>
    </w:rPr>
  </w:style>
  <w:style w:type="paragraph" w:customStyle="1" w:styleId="575">
    <w:name w:val="样式 样式 标题 22 +"/>
    <w:basedOn w:val="572"/>
    <w:qFormat/>
    <w:uiPriority w:val="0"/>
    <w:pPr>
      <w:numPr>
        <w:ilvl w:val="1"/>
        <w:numId w:val="2"/>
      </w:numPr>
      <w:tabs>
        <w:tab w:val="left" w:pos="360"/>
      </w:tabs>
      <w:ind w:left="360" w:hanging="360" w:hangingChars="200"/>
    </w:pPr>
    <w:rPr>
      <w:kern w:val="0"/>
    </w:rPr>
  </w:style>
  <w:style w:type="paragraph" w:customStyle="1" w:styleId="576">
    <w:name w:val="样式 样式 样式 样式 样式 标题 2Heading 2 Char + Times New Roman 四号 + + 段后: 0..."/>
    <w:basedOn w:val="1"/>
    <w:next w:val="1"/>
    <w:qFormat/>
    <w:uiPriority w:val="0"/>
    <w:pPr>
      <w:tabs>
        <w:tab w:val="left" w:pos="840"/>
      </w:tabs>
      <w:ind w:left="840" w:hanging="420"/>
      <w:outlineLvl w:val="1"/>
    </w:pPr>
    <w:rPr>
      <w:rFonts w:eastAsia="宋体"/>
      <w:sz w:val="21"/>
      <w:szCs w:val="24"/>
    </w:rPr>
  </w:style>
  <w:style w:type="paragraph" w:customStyle="1" w:styleId="577">
    <w:name w:val="一级"/>
    <w:basedOn w:val="1"/>
    <w:next w:val="1"/>
    <w:qFormat/>
    <w:uiPriority w:val="0"/>
    <w:pPr>
      <w:tabs>
        <w:tab w:val="left" w:pos="1280"/>
      </w:tabs>
      <w:spacing w:beforeLines="50" w:afterLines="50"/>
      <w:jc w:val="center"/>
      <w:outlineLvl w:val="0"/>
    </w:pPr>
    <w:rPr>
      <w:rFonts w:eastAsia="宋体"/>
      <w:b/>
      <w:sz w:val="32"/>
      <w:szCs w:val="32"/>
    </w:rPr>
  </w:style>
  <w:style w:type="paragraph" w:customStyle="1" w:styleId="578">
    <w:name w:val="二级"/>
    <w:basedOn w:val="1"/>
    <w:next w:val="1"/>
    <w:qFormat/>
    <w:uiPriority w:val="0"/>
    <w:pPr>
      <w:spacing w:beforeLines="50" w:afterLines="50"/>
      <w:jc w:val="center"/>
      <w:outlineLvl w:val="1"/>
    </w:pPr>
    <w:rPr>
      <w:rFonts w:eastAsia="宋体"/>
      <w:b/>
      <w:sz w:val="28"/>
      <w:szCs w:val="28"/>
    </w:rPr>
  </w:style>
  <w:style w:type="paragraph" w:customStyle="1" w:styleId="579">
    <w:name w:val="三级"/>
    <w:basedOn w:val="1"/>
    <w:next w:val="1"/>
    <w:qFormat/>
    <w:uiPriority w:val="0"/>
    <w:pPr>
      <w:tabs>
        <w:tab w:val="left" w:pos="0"/>
        <w:tab w:val="left" w:pos="720"/>
      </w:tabs>
      <w:outlineLvl w:val="2"/>
    </w:pPr>
    <w:rPr>
      <w:rFonts w:eastAsia="宋体"/>
      <w:b/>
      <w:szCs w:val="24"/>
    </w:rPr>
  </w:style>
  <w:style w:type="paragraph" w:customStyle="1" w:styleId="580">
    <w:name w:val="四级"/>
    <w:basedOn w:val="1"/>
    <w:qFormat/>
    <w:uiPriority w:val="0"/>
    <w:pPr>
      <w:numPr>
        <w:ilvl w:val="1"/>
        <w:numId w:val="1"/>
      </w:numPr>
      <w:tabs>
        <w:tab w:val="clear" w:pos="576"/>
      </w:tabs>
      <w:spacing w:line="560" w:lineRule="exact"/>
      <w:ind w:left="0" w:firstLine="0"/>
      <w:outlineLvl w:val="3"/>
    </w:pPr>
    <w:rPr>
      <w:rFonts w:ascii="宋体" w:hAnsi="宋体" w:eastAsia="宋体"/>
      <w:b/>
      <w:color w:val="FF00FF"/>
      <w:sz w:val="28"/>
      <w:szCs w:val="28"/>
    </w:rPr>
  </w:style>
  <w:style w:type="paragraph" w:customStyle="1" w:styleId="581">
    <w:name w:val="zhengwen"/>
    <w:basedOn w:val="1"/>
    <w:qFormat/>
    <w:uiPriority w:val="0"/>
    <w:pPr>
      <w:numPr>
        <w:ilvl w:val="0"/>
        <w:numId w:val="3"/>
      </w:numPr>
      <w:spacing w:line="400" w:lineRule="exact"/>
      <w:ind w:left="200" w:leftChars="200" w:firstLine="0"/>
    </w:pPr>
    <w:rPr>
      <w:rFonts w:ascii="宋体" w:hAnsi="宋体" w:eastAsia="宋体"/>
      <w:szCs w:val="24"/>
    </w:rPr>
  </w:style>
  <w:style w:type="paragraph" w:customStyle="1" w:styleId="582">
    <w:name w:val="2b"/>
    <w:basedOn w:val="1"/>
    <w:qFormat/>
    <w:uiPriority w:val="0"/>
    <w:pPr>
      <w:ind w:firstLine="632" w:firstLineChars="200"/>
    </w:pPr>
    <w:rPr>
      <w:rFonts w:ascii="黑体" w:eastAsia="黑体"/>
      <w:sz w:val="32"/>
    </w:rPr>
  </w:style>
  <w:style w:type="paragraph" w:customStyle="1" w:styleId="583">
    <w:name w:val="Char Char Char Char Char Char1 Char"/>
    <w:basedOn w:val="1"/>
    <w:qFormat/>
    <w:uiPriority w:val="0"/>
    <w:pPr>
      <w:spacing w:line="560" w:lineRule="exact"/>
      <w:ind w:firstLine="200" w:firstLineChars="200"/>
    </w:pPr>
    <w:rPr>
      <w:rFonts w:ascii="仿宋_GB2312" w:eastAsia="仿宋_GB2312"/>
      <w:sz w:val="28"/>
      <w:szCs w:val="24"/>
    </w:rPr>
  </w:style>
  <w:style w:type="character" w:customStyle="1" w:styleId="584">
    <w:name w:val="样式 标题 1 Char + (中文) 黑体 非加粗 红色"/>
    <w:qFormat/>
    <w:uiPriority w:val="0"/>
    <w:rPr>
      <w:rFonts w:eastAsia="黑体"/>
      <w:b/>
      <w:bCs/>
      <w:color w:val="FF0000"/>
      <w:kern w:val="44"/>
      <w:sz w:val="44"/>
      <w:szCs w:val="44"/>
      <w:lang w:val="en-US" w:eastAsia="zh-CN" w:bidi="ar-SA"/>
    </w:rPr>
  </w:style>
  <w:style w:type="paragraph" w:customStyle="1" w:styleId="585">
    <w:name w:val="Char Char2 Char1"/>
    <w:basedOn w:val="1"/>
    <w:qFormat/>
    <w:uiPriority w:val="0"/>
    <w:rPr>
      <w:rFonts w:ascii="Tahoma" w:hAnsi="Tahoma" w:eastAsia="宋体"/>
    </w:rPr>
  </w:style>
  <w:style w:type="paragraph" w:customStyle="1" w:styleId="586">
    <w:name w:val="Char Char Char Char Char Char1 Char1 Char Char Char Char Char Char1"/>
    <w:basedOn w:val="1"/>
    <w:qFormat/>
    <w:uiPriority w:val="0"/>
    <w:rPr>
      <w:rFonts w:eastAsia="宋体"/>
      <w:sz w:val="21"/>
      <w:szCs w:val="24"/>
    </w:rPr>
  </w:style>
  <w:style w:type="paragraph" w:customStyle="1" w:styleId="587">
    <w:name w:val="Char1 Char Char Char1 Char Char Char Char Char Char1"/>
    <w:basedOn w:val="1"/>
    <w:qFormat/>
    <w:uiPriority w:val="0"/>
    <w:pPr>
      <w:spacing w:line="360" w:lineRule="auto"/>
      <w:ind w:firstLine="200" w:firstLineChars="200"/>
    </w:pPr>
    <w:rPr>
      <w:rFonts w:ascii="宋体" w:hAnsi="宋体" w:eastAsia="宋体" w:cs="宋体"/>
      <w:szCs w:val="24"/>
    </w:rPr>
  </w:style>
  <w:style w:type="paragraph" w:customStyle="1" w:styleId="588">
    <w:name w:val="Char Char Char Char Char Char Char Char Char Char Char Char1"/>
    <w:basedOn w:val="1"/>
    <w:qFormat/>
    <w:uiPriority w:val="0"/>
    <w:pPr>
      <w:widowControl/>
      <w:spacing w:after="160" w:line="240" w:lineRule="exact"/>
      <w:jc w:val="left"/>
    </w:pPr>
    <w:rPr>
      <w:rFonts w:ascii="Arial" w:hAnsi="Arial" w:eastAsia="Times New Roman" w:cs="Verdana"/>
      <w:b/>
      <w:kern w:val="0"/>
      <w:lang w:eastAsia="en-US"/>
    </w:rPr>
  </w:style>
  <w:style w:type="paragraph" w:customStyle="1" w:styleId="589">
    <w:name w:val="Char1 Char Char Char Char Char1 Char Char Char Char Char Char Char Char Char Char Char Char1 Char Char Char1 Char1"/>
    <w:basedOn w:val="1"/>
    <w:qFormat/>
    <w:uiPriority w:val="0"/>
    <w:rPr>
      <w:rFonts w:ascii="宋体" w:eastAsia="宋体"/>
      <w:szCs w:val="24"/>
    </w:rPr>
  </w:style>
  <w:style w:type="paragraph" w:customStyle="1" w:styleId="590">
    <w:name w:val="综合规划章标题"/>
    <w:basedOn w:val="3"/>
    <w:qFormat/>
    <w:uiPriority w:val="0"/>
    <w:pPr>
      <w:topLinePunct/>
      <w:spacing w:beforeLines="150" w:afterLines="100" w:line="240" w:lineRule="auto"/>
    </w:pPr>
    <w:rPr>
      <w:rFonts w:hAnsi="宋体"/>
      <w:bCs w:val="0"/>
      <w:lang w:val="en-US"/>
    </w:rPr>
  </w:style>
  <w:style w:type="character" w:customStyle="1" w:styleId="591">
    <w:name w:val="dash6b63_6587__char1"/>
    <w:qFormat/>
    <w:uiPriority w:val="0"/>
    <w:rPr>
      <w:rFonts w:hint="default" w:ascii="Times New Roman" w:hAnsi="Times New Roman" w:cs="Times New Roman"/>
      <w:sz w:val="24"/>
      <w:szCs w:val="24"/>
      <w:u w:val="none"/>
    </w:rPr>
  </w:style>
  <w:style w:type="paragraph" w:customStyle="1" w:styleId="592">
    <w:name w:val="dash6b63_6587"/>
    <w:basedOn w:val="1"/>
    <w:qFormat/>
    <w:uiPriority w:val="0"/>
    <w:pPr>
      <w:widowControl/>
      <w:spacing w:line="460" w:lineRule="atLeast"/>
      <w:ind w:firstLine="200"/>
    </w:pPr>
    <w:rPr>
      <w:rFonts w:eastAsia="宋体"/>
      <w:kern w:val="0"/>
      <w:szCs w:val="24"/>
    </w:rPr>
  </w:style>
  <w:style w:type="character" w:customStyle="1" w:styleId="593">
    <w:name w:val="样式4 Char2"/>
    <w:qFormat/>
    <w:locked/>
    <w:uiPriority w:val="0"/>
    <w:rPr>
      <w:rFonts w:eastAsia="华文中宋"/>
      <w:bCs/>
      <w:color w:val="000000"/>
      <w:kern w:val="2"/>
      <w:sz w:val="24"/>
      <w:szCs w:val="24"/>
      <w:lang w:val="en-US" w:eastAsia="zh-CN" w:bidi="ar-SA"/>
    </w:rPr>
  </w:style>
  <w:style w:type="character" w:customStyle="1" w:styleId="594">
    <w:name w:val="样式 标题 1 + 四号 Char1"/>
    <w:qFormat/>
    <w:uiPriority w:val="0"/>
    <w:rPr>
      <w:rFonts w:hAnsi="Arial" w:eastAsia="黑体"/>
      <w:b/>
      <w:kern w:val="44"/>
      <w:sz w:val="28"/>
      <w:lang w:val="en-US" w:eastAsia="zh-CN" w:bidi="ar-SA"/>
    </w:rPr>
  </w:style>
  <w:style w:type="paragraph" w:customStyle="1" w:styleId="595">
    <w:name w:val="样式4 Char Char"/>
    <w:basedOn w:val="50"/>
    <w:qFormat/>
    <w:uiPriority w:val="0"/>
    <w:pPr>
      <w:spacing w:beforeLines="50" w:afterLines="50"/>
      <w:ind w:left="0" w:leftChars="0"/>
    </w:pPr>
    <w:rPr>
      <w:rFonts w:ascii="Times New Roman" w:hAnsi="Times New Roman" w:eastAsia="华文中宋"/>
      <w:b/>
      <w:color w:val="000000"/>
      <w:sz w:val="28"/>
      <w:szCs w:val="28"/>
    </w:rPr>
  </w:style>
  <w:style w:type="character" w:customStyle="1" w:styleId="596">
    <w:name w:val="样式4 Char Char Char"/>
    <w:qFormat/>
    <w:uiPriority w:val="0"/>
    <w:rPr>
      <w:rFonts w:eastAsia="华文中宋"/>
      <w:b/>
      <w:color w:val="000000"/>
      <w:kern w:val="2"/>
      <w:sz w:val="28"/>
      <w:szCs w:val="28"/>
      <w:lang w:val="en-US" w:eastAsia="zh-CN" w:bidi="ar-SA"/>
    </w:rPr>
  </w:style>
  <w:style w:type="paragraph" w:customStyle="1" w:styleId="597">
    <w:name w:val="Char Char Char Char Char Char Char Char Char Char Char Char Char1"/>
    <w:basedOn w:val="1"/>
    <w:qFormat/>
    <w:uiPriority w:val="0"/>
    <w:pPr>
      <w:snapToGrid w:val="0"/>
      <w:spacing w:line="360" w:lineRule="auto"/>
    </w:pPr>
    <w:rPr>
      <w:rFonts w:eastAsia="宋体"/>
      <w:b/>
      <w:szCs w:val="24"/>
    </w:rPr>
  </w:style>
  <w:style w:type="paragraph" w:customStyle="1" w:styleId="598">
    <w:name w:val="样式 样式4 + (中文) 黑体 居中"/>
    <w:basedOn w:val="149"/>
    <w:qFormat/>
    <w:uiPriority w:val="0"/>
    <w:pPr>
      <w:tabs>
        <w:tab w:val="clear" w:pos="1980"/>
      </w:tabs>
      <w:spacing w:beforeLines="0" w:afterLines="0"/>
      <w:jc w:val="center"/>
    </w:pPr>
    <w:rPr>
      <w:rFonts w:ascii="Times New Roman" w:hAnsi="Times New Roman" w:eastAsia="黑体" w:cs="宋体"/>
      <w:color w:val="auto"/>
      <w:sz w:val="24"/>
    </w:rPr>
  </w:style>
  <w:style w:type="paragraph" w:customStyle="1" w:styleId="599">
    <w:name w:val="样式 样式16 + 居中 行距: 固定值 16 磅"/>
    <w:basedOn w:val="174"/>
    <w:qFormat/>
    <w:uiPriority w:val="0"/>
    <w:pPr>
      <w:tabs>
        <w:tab w:val="left" w:pos="1980"/>
      </w:tabs>
      <w:spacing w:line="320" w:lineRule="exact"/>
      <w:ind w:firstLine="0" w:firstLineChars="0"/>
      <w:jc w:val="center"/>
    </w:pPr>
    <w:rPr>
      <w:rFonts w:cs="宋体"/>
      <w:color w:val="000000"/>
      <w:szCs w:val="20"/>
    </w:rPr>
  </w:style>
  <w:style w:type="paragraph" w:customStyle="1" w:styleId="600">
    <w:name w:val="样式 标题 3CharChar1 CharChar1 Char CharSottoparagrafo3h33rd ..."/>
    <w:basedOn w:val="5"/>
    <w:qFormat/>
    <w:uiPriority w:val="0"/>
    <w:pPr>
      <w:spacing w:line="520" w:lineRule="exact"/>
    </w:pPr>
    <w:rPr>
      <w:rFonts w:eastAsia="黑体" w:cs="宋体"/>
      <w:color w:val="000000"/>
      <w:sz w:val="28"/>
      <w:szCs w:val="20"/>
    </w:rPr>
  </w:style>
  <w:style w:type="paragraph" w:customStyle="1" w:styleId="601">
    <w:name w:val="样式 标题 2 + Times New Roman 黑色"/>
    <w:basedOn w:val="4"/>
    <w:qFormat/>
    <w:uiPriority w:val="0"/>
    <w:pPr>
      <w:spacing w:beforeLines="50" w:afterLines="50" w:line="240" w:lineRule="auto"/>
    </w:pPr>
    <w:rPr>
      <w:rFonts w:eastAsia="华文中宋"/>
      <w:color w:val="000000"/>
      <w:lang w:val="en-US"/>
    </w:rPr>
  </w:style>
  <w:style w:type="paragraph" w:customStyle="1" w:styleId="602">
    <w:name w:val="样式 标题 1 + Times New Roman1"/>
    <w:basedOn w:val="3"/>
    <w:qFormat/>
    <w:uiPriority w:val="0"/>
    <w:pPr>
      <w:spacing w:before="400" w:after="400" w:line="520" w:lineRule="exact"/>
    </w:pPr>
    <w:rPr>
      <w:w w:val="90"/>
      <w:sz w:val="36"/>
      <w:lang w:val="en-US"/>
    </w:rPr>
  </w:style>
  <w:style w:type="character" w:customStyle="1" w:styleId="603">
    <w:name w:val="标题一 Char1"/>
    <w:qFormat/>
    <w:uiPriority w:val="0"/>
    <w:rPr>
      <w:rFonts w:ascii="Calibri" w:hAnsi="Calibri" w:eastAsia="宋体"/>
      <w:b/>
      <w:bCs/>
      <w:kern w:val="44"/>
      <w:sz w:val="44"/>
      <w:szCs w:val="44"/>
      <w:lang w:val="en-US" w:eastAsia="zh-CN" w:bidi="ar-SA"/>
    </w:rPr>
  </w:style>
  <w:style w:type="character" w:customStyle="1" w:styleId="604">
    <w:name w:val="Char Char21"/>
    <w:qFormat/>
    <w:uiPriority w:val="0"/>
    <w:rPr>
      <w:rFonts w:ascii="Calibri" w:hAnsi="Calibri"/>
      <w:kern w:val="2"/>
      <w:sz w:val="18"/>
      <w:szCs w:val="18"/>
    </w:rPr>
  </w:style>
  <w:style w:type="paragraph" w:customStyle="1" w:styleId="605">
    <w:name w:val="样式 样式 样式 样式 样式 仿宋_GB2312 四号 行距: 固定值 28 磅 + 首行缩进:  2 字符 + 首行缩进:  ..."/>
    <w:basedOn w:val="1"/>
    <w:qFormat/>
    <w:uiPriority w:val="0"/>
    <w:pPr>
      <w:spacing w:line="560" w:lineRule="exact"/>
      <w:ind w:firstLine="200" w:firstLineChars="200"/>
    </w:pPr>
    <w:rPr>
      <w:rFonts w:ascii="仿宋_GB2312" w:hAnsi="宋体" w:eastAsia="仿宋_GB2312" w:cs="宋体"/>
      <w:sz w:val="28"/>
    </w:rPr>
  </w:style>
  <w:style w:type="character" w:customStyle="1" w:styleId="606">
    <w:name w:val="Char Char26"/>
    <w:qFormat/>
    <w:uiPriority w:val="0"/>
    <w:rPr>
      <w:rFonts w:eastAsia="华文中宋"/>
      <w:b/>
      <w:bCs/>
      <w:kern w:val="2"/>
      <w:sz w:val="28"/>
      <w:szCs w:val="28"/>
    </w:rPr>
  </w:style>
  <w:style w:type="character" w:customStyle="1" w:styleId="607">
    <w:name w:val="Char Char24"/>
    <w:qFormat/>
    <w:uiPriority w:val="0"/>
    <w:rPr>
      <w:rFonts w:eastAsia="楷体_GB2312"/>
      <w:b/>
      <w:bCs/>
      <w:kern w:val="2"/>
      <w:sz w:val="24"/>
      <w:szCs w:val="24"/>
      <w:lang w:val="zh-CN" w:eastAsia="zh-CN"/>
    </w:rPr>
  </w:style>
  <w:style w:type="character" w:customStyle="1" w:styleId="608">
    <w:name w:val="第七层条 Char Char"/>
    <w:qFormat/>
    <w:uiPriority w:val="0"/>
    <w:rPr>
      <w:rFonts w:ascii="Arial" w:hAnsi="Arial" w:eastAsia="黑体"/>
      <w:kern w:val="2"/>
      <w:sz w:val="24"/>
      <w:szCs w:val="24"/>
      <w:lang w:val="zh-CN" w:eastAsia="zh-CN"/>
    </w:rPr>
  </w:style>
  <w:style w:type="character" w:customStyle="1" w:styleId="609">
    <w:name w:val="Char Char9"/>
    <w:qFormat/>
    <w:uiPriority w:val="0"/>
    <w:rPr>
      <w:rFonts w:ascii="Arial" w:hAnsi="Arial" w:eastAsia="黑体"/>
      <w:kern w:val="2"/>
      <w:sz w:val="21"/>
      <w:lang w:val="en-US" w:eastAsia="zh-CN" w:bidi="ar-SA"/>
    </w:rPr>
  </w:style>
  <w:style w:type="character" w:customStyle="1" w:styleId="610">
    <w:name w:val="正文文字缩进 Char Char Char1"/>
    <w:qFormat/>
    <w:uiPriority w:val="0"/>
    <w:rPr>
      <w:rFonts w:eastAsia="华文中宋"/>
      <w:sz w:val="24"/>
      <w:lang w:val="zh-CN" w:eastAsia="zh-CN"/>
    </w:rPr>
  </w:style>
  <w:style w:type="character" w:customStyle="1" w:styleId="611">
    <w:name w:val="正文文字缩进 3 Char Char Char Char Char Char Char Char Char Char Char Char Char Char Char Char Char Char Char Char Char Char Char Char Char Char Char Char Char Char Char Char Char Char Char Char Char Char1"/>
    <w:qFormat/>
    <w:uiPriority w:val="0"/>
    <w:rPr>
      <w:sz w:val="24"/>
      <w:szCs w:val="24"/>
    </w:rPr>
  </w:style>
  <w:style w:type="character" w:customStyle="1" w:styleId="612">
    <w:name w:val="Char Char25"/>
    <w:qFormat/>
    <w:uiPriority w:val="0"/>
    <w:rPr>
      <w:rFonts w:ascii="Arial" w:hAnsi="Arial" w:eastAsia="黑体"/>
      <w:b/>
      <w:bCs/>
      <w:kern w:val="2"/>
      <w:sz w:val="24"/>
      <w:szCs w:val="24"/>
    </w:rPr>
  </w:style>
  <w:style w:type="paragraph" w:customStyle="1" w:styleId="613">
    <w:name w:val="综合规划一、标题"/>
    <w:basedOn w:val="5"/>
    <w:qFormat/>
    <w:uiPriority w:val="0"/>
    <w:pPr>
      <w:keepNext w:val="0"/>
      <w:keepLines w:val="0"/>
      <w:spacing w:before="0" w:after="0" w:line="240" w:lineRule="auto"/>
      <w:ind w:firstLine="482"/>
    </w:pPr>
    <w:rPr>
      <w:rFonts w:ascii="宋体" w:hAnsi="宋体" w:eastAsia="宋体"/>
      <w:b w:val="0"/>
      <w:bCs/>
      <w:sz w:val="24"/>
      <w:szCs w:val="28"/>
    </w:rPr>
  </w:style>
  <w:style w:type="character" w:customStyle="1" w:styleId="614">
    <w:name w:val="Char Char19"/>
    <w:qFormat/>
    <w:uiPriority w:val="0"/>
    <w:rPr>
      <w:rFonts w:eastAsia="华文中宋"/>
      <w:kern w:val="2"/>
      <w:sz w:val="18"/>
      <w:szCs w:val="18"/>
    </w:rPr>
  </w:style>
  <w:style w:type="character" w:customStyle="1" w:styleId="615">
    <w:name w:val="标题 3 Char Char3"/>
    <w:qFormat/>
    <w:uiPriority w:val="0"/>
    <w:rPr>
      <w:rFonts w:ascii="Calibri" w:hAnsi="Calibri"/>
      <w:b/>
      <w:bCs/>
      <w:kern w:val="2"/>
      <w:sz w:val="32"/>
      <w:szCs w:val="32"/>
    </w:rPr>
  </w:style>
  <w:style w:type="character" w:customStyle="1" w:styleId="616">
    <w:name w:val="Char Char22"/>
    <w:qFormat/>
    <w:uiPriority w:val="0"/>
    <w:rPr>
      <w:rFonts w:ascii="Calibri" w:hAnsi="Calibri"/>
      <w:kern w:val="2"/>
      <w:sz w:val="21"/>
      <w:szCs w:val="22"/>
      <w:shd w:val="clear" w:color="auto" w:fill="000080"/>
    </w:rPr>
  </w:style>
  <w:style w:type="character" w:customStyle="1" w:styleId="617">
    <w:name w:val="Char Char18"/>
    <w:qFormat/>
    <w:uiPriority w:val="0"/>
    <w:rPr>
      <w:rFonts w:eastAsia="华文中宋"/>
      <w:kern w:val="2"/>
      <w:sz w:val="24"/>
    </w:rPr>
  </w:style>
  <w:style w:type="character" w:customStyle="1" w:styleId="618">
    <w:name w:val="Char Char17"/>
    <w:qFormat/>
    <w:uiPriority w:val="0"/>
    <w:rPr>
      <w:rFonts w:eastAsia="华文中宋"/>
      <w:b/>
      <w:bCs/>
      <w:kern w:val="2"/>
      <w:sz w:val="24"/>
    </w:rPr>
  </w:style>
  <w:style w:type="character" w:customStyle="1" w:styleId="619">
    <w:name w:val="Char Char20"/>
    <w:qFormat/>
    <w:uiPriority w:val="0"/>
    <w:rPr>
      <w:rFonts w:ascii="Calibri" w:hAnsi="Calibri"/>
      <w:kern w:val="2"/>
      <w:sz w:val="21"/>
      <w:szCs w:val="22"/>
    </w:rPr>
  </w:style>
  <w:style w:type="character" w:customStyle="1" w:styleId="620">
    <w:name w:val="Char Char16"/>
    <w:qFormat/>
    <w:uiPriority w:val="0"/>
    <w:rPr>
      <w:rFonts w:ascii="Calibri" w:hAnsi="Calibri"/>
      <w:kern w:val="2"/>
      <w:sz w:val="18"/>
      <w:szCs w:val="18"/>
    </w:rPr>
  </w:style>
  <w:style w:type="character" w:customStyle="1" w:styleId="621">
    <w:name w:val="正文文字 Char3"/>
    <w:qFormat/>
    <w:uiPriority w:val="0"/>
    <w:rPr>
      <w:kern w:val="2"/>
      <w:sz w:val="21"/>
      <w:szCs w:val="24"/>
    </w:rPr>
  </w:style>
  <w:style w:type="paragraph" w:customStyle="1" w:styleId="622">
    <w:name w:val="样式 样式 楷体_GB2312 四号 行距: 固定值 28 磅 + 首行缩进:  2 字符"/>
    <w:basedOn w:val="1"/>
    <w:qFormat/>
    <w:uiPriority w:val="0"/>
    <w:pPr>
      <w:spacing w:line="560" w:lineRule="exact"/>
      <w:ind w:firstLine="200" w:firstLineChars="200"/>
    </w:pPr>
    <w:rPr>
      <w:rFonts w:ascii="楷体_GB2312" w:eastAsia="楷体_GB2312" w:cs="宋体"/>
      <w:sz w:val="28"/>
    </w:rPr>
  </w:style>
  <w:style w:type="paragraph" w:customStyle="1" w:styleId="623">
    <w:name w:val="样式 楷体_GB2312 小五 居中 行距: 最小值 0 磅"/>
    <w:basedOn w:val="1"/>
    <w:qFormat/>
    <w:uiPriority w:val="0"/>
    <w:pPr>
      <w:spacing w:line="0" w:lineRule="atLeast"/>
      <w:jc w:val="center"/>
    </w:pPr>
    <w:rPr>
      <w:rFonts w:ascii="楷体_GB2312" w:hAnsi="宋体" w:eastAsia="楷体_GB2312" w:cs="宋体"/>
      <w:kern w:val="0"/>
      <w:sz w:val="21"/>
    </w:rPr>
  </w:style>
  <w:style w:type="paragraph" w:customStyle="1" w:styleId="624">
    <w:name w:val="样式 样式 样式 样式 样式 黑体 小四 行距: 固定值 28 磅 + 首行缩进:  1 字符 + 首行缩进:  1 字符 + ..."/>
    <w:basedOn w:val="1"/>
    <w:qFormat/>
    <w:uiPriority w:val="0"/>
    <w:pPr>
      <w:spacing w:after="60" w:line="560" w:lineRule="exact"/>
      <w:ind w:firstLine="100" w:firstLineChars="100"/>
    </w:pPr>
    <w:rPr>
      <w:rFonts w:ascii="黑体" w:hAnsi="宋体" w:eastAsia="黑体" w:cs="宋体"/>
    </w:rPr>
  </w:style>
  <w:style w:type="paragraph" w:customStyle="1" w:styleId="625">
    <w:name w:val="标题02"/>
    <w:basedOn w:val="4"/>
    <w:qFormat/>
    <w:uiPriority w:val="0"/>
    <w:pPr>
      <w:spacing w:before="120" w:after="120" w:line="560" w:lineRule="exact"/>
      <w:jc w:val="left"/>
    </w:pPr>
    <w:rPr>
      <w:rFonts w:cs="宋体"/>
      <w:b w:val="0"/>
      <w:bCs w:val="0"/>
      <w:szCs w:val="20"/>
      <w:lang w:val="en-US"/>
    </w:rPr>
  </w:style>
  <w:style w:type="paragraph" w:customStyle="1" w:styleId="626">
    <w:name w:val="修订1"/>
    <w:qFormat/>
    <w:uiPriority w:val="0"/>
    <w:rPr>
      <w:rFonts w:ascii="Calibri" w:hAnsi="Calibri" w:eastAsia="宋体" w:cs="Times New Roman"/>
      <w:kern w:val="2"/>
      <w:sz w:val="21"/>
      <w:szCs w:val="22"/>
      <w:lang w:val="en-US" w:eastAsia="zh-CN" w:bidi="ar-SA"/>
    </w:rPr>
  </w:style>
  <w:style w:type="paragraph" w:customStyle="1" w:styleId="627">
    <w:name w:val="Char Char Char Char Char Char Char Char Char Char1"/>
    <w:basedOn w:val="1"/>
    <w:qFormat/>
    <w:uiPriority w:val="0"/>
    <w:pPr>
      <w:spacing w:line="360" w:lineRule="auto"/>
      <w:ind w:firstLine="200" w:firstLineChars="200"/>
    </w:pPr>
    <w:rPr>
      <w:rFonts w:ascii="宋体" w:hAnsi="宋体" w:eastAsia="宋体" w:cs="宋体"/>
      <w:szCs w:val="24"/>
    </w:rPr>
  </w:style>
  <w:style w:type="paragraph" w:customStyle="1" w:styleId="628">
    <w:name w:val="Char Char Char1 Char Char Char Char Char Char Char Char Char Char Char Char Char Char Char Char Char Char Char Char Char Char Char Char Char Char Char Char Char Char Char Char Char Char1"/>
    <w:basedOn w:val="1"/>
    <w:qFormat/>
    <w:uiPriority w:val="0"/>
    <w:pPr>
      <w:snapToGrid w:val="0"/>
      <w:spacing w:line="440" w:lineRule="exact"/>
      <w:ind w:firstLine="200" w:firstLineChars="200"/>
    </w:pPr>
    <w:rPr>
      <w:rFonts w:eastAsia="宋体"/>
      <w:szCs w:val="24"/>
    </w:rPr>
  </w:style>
  <w:style w:type="paragraph" w:customStyle="1" w:styleId="629">
    <w:name w:val="Char Char Char Char Char Char Char1"/>
    <w:basedOn w:val="1"/>
    <w:qFormat/>
    <w:uiPriority w:val="0"/>
    <w:rPr>
      <w:rFonts w:eastAsia="宋体"/>
      <w:sz w:val="21"/>
      <w:szCs w:val="24"/>
    </w:rPr>
  </w:style>
  <w:style w:type="character" w:customStyle="1" w:styleId="630">
    <w:name w:val="标题51"/>
    <w:qFormat/>
    <w:uiPriority w:val="0"/>
    <w:rPr>
      <w:rFonts w:eastAsia="仿宋_GB2312"/>
      <w:kern w:val="2"/>
      <w:sz w:val="28"/>
      <w:szCs w:val="24"/>
      <w:lang w:val="en-US" w:eastAsia="zh-CN" w:bidi="ar-SA"/>
    </w:rPr>
  </w:style>
  <w:style w:type="paragraph" w:customStyle="1" w:styleId="631">
    <w:name w:val="Char Char Char Char Char Char1 Char1"/>
    <w:basedOn w:val="1"/>
    <w:qFormat/>
    <w:uiPriority w:val="0"/>
    <w:pPr>
      <w:spacing w:line="560" w:lineRule="exact"/>
      <w:ind w:firstLine="200" w:firstLineChars="200"/>
    </w:pPr>
    <w:rPr>
      <w:rFonts w:ascii="仿宋_GB2312" w:eastAsia="仿宋_GB2312"/>
      <w:sz w:val="28"/>
      <w:szCs w:val="24"/>
    </w:rPr>
  </w:style>
  <w:style w:type="character" w:customStyle="1" w:styleId="632">
    <w:name w:val="白鹤滩标题 4 Char1"/>
    <w:qFormat/>
    <w:uiPriority w:val="0"/>
    <w:rPr>
      <w:rFonts w:ascii="Arial" w:hAnsi="Arial" w:eastAsia="宋体"/>
      <w:bCs/>
      <w:kern w:val="2"/>
      <w:sz w:val="24"/>
      <w:szCs w:val="24"/>
      <w:lang w:val="en-US" w:eastAsia="zh-CN" w:bidi="ar-SA"/>
    </w:rPr>
  </w:style>
  <w:style w:type="character" w:customStyle="1" w:styleId="633">
    <w:name w:val="白鹤滩标题 4 Char2"/>
    <w:qFormat/>
    <w:uiPriority w:val="0"/>
    <w:rPr>
      <w:rFonts w:ascii="Arial" w:hAnsi="Arial" w:eastAsia="宋体"/>
      <w:bCs/>
      <w:kern w:val="2"/>
      <w:sz w:val="24"/>
      <w:szCs w:val="24"/>
      <w:lang w:val="en-US" w:eastAsia="zh-CN" w:bidi="ar-SA"/>
    </w:rPr>
  </w:style>
  <w:style w:type="paragraph" w:customStyle="1" w:styleId="634">
    <w:name w:val="正文小4"/>
    <w:qFormat/>
    <w:uiPriority w:val="0"/>
    <w:pPr>
      <w:spacing w:line="0" w:lineRule="atLeast"/>
      <w:jc w:val="center"/>
    </w:pPr>
    <w:rPr>
      <w:rFonts w:ascii="Times New Roman" w:hAnsi="Times New Roman" w:eastAsia="仿宋_GB2312" w:cs="Times New Roman"/>
      <w:color w:val="000000"/>
      <w:sz w:val="24"/>
      <w:lang w:val="en-US" w:eastAsia="zh-CN" w:bidi="ar-SA"/>
    </w:rPr>
  </w:style>
  <w:style w:type="paragraph" w:customStyle="1" w:styleId="635">
    <w:name w:val="列表5中"/>
    <w:basedOn w:val="1"/>
    <w:qFormat/>
    <w:uiPriority w:val="0"/>
    <w:pPr>
      <w:snapToGrid w:val="0"/>
      <w:spacing w:line="240" w:lineRule="exact"/>
      <w:jc w:val="center"/>
    </w:pPr>
    <w:rPr>
      <w:rFonts w:eastAsia="仿宋_GB2312"/>
      <w:sz w:val="20"/>
    </w:rPr>
  </w:style>
  <w:style w:type="paragraph" w:customStyle="1" w:styleId="636">
    <w:name w:val="正文文字5"/>
    <w:basedOn w:val="34"/>
    <w:qFormat/>
    <w:uiPriority w:val="0"/>
    <w:rPr>
      <w:rFonts w:ascii="Calibri" w:hAnsi="Calibri"/>
      <w:szCs w:val="22"/>
    </w:rPr>
  </w:style>
  <w:style w:type="paragraph" w:customStyle="1" w:styleId="637">
    <w:name w:val="列表5"/>
    <w:basedOn w:val="1"/>
    <w:qFormat/>
    <w:uiPriority w:val="0"/>
    <w:pPr>
      <w:snapToGrid w:val="0"/>
    </w:pPr>
    <w:rPr>
      <w:rFonts w:eastAsia="宋体"/>
      <w:sz w:val="21"/>
    </w:rPr>
  </w:style>
  <w:style w:type="paragraph" w:customStyle="1" w:styleId="638">
    <w:name w:val="仿宋小4"/>
    <w:basedOn w:val="1"/>
    <w:qFormat/>
    <w:uiPriority w:val="0"/>
    <w:pPr>
      <w:adjustRightInd w:val="0"/>
      <w:snapToGrid w:val="0"/>
      <w:spacing w:before="40" w:after="40" w:line="240" w:lineRule="exact"/>
      <w:textAlignment w:val="baseline"/>
    </w:pPr>
    <w:rPr>
      <w:rFonts w:ascii="仿宋_GB2312" w:eastAsia="仿宋_GB2312"/>
      <w:kern w:val="0"/>
    </w:rPr>
  </w:style>
  <w:style w:type="paragraph" w:customStyle="1" w:styleId="639">
    <w:name w:val="仿宋小5"/>
    <w:basedOn w:val="1"/>
    <w:qFormat/>
    <w:uiPriority w:val="0"/>
    <w:pPr>
      <w:adjustRightInd w:val="0"/>
      <w:snapToGrid w:val="0"/>
      <w:spacing w:before="40" w:after="40"/>
      <w:jc w:val="left"/>
      <w:textAlignment w:val="baseline"/>
    </w:pPr>
    <w:rPr>
      <w:rFonts w:ascii="仿宋_GB2312" w:eastAsia="仿宋_GB2312"/>
      <w:kern w:val="0"/>
      <w:sz w:val="18"/>
    </w:rPr>
  </w:style>
  <w:style w:type="paragraph" w:customStyle="1" w:styleId="640">
    <w:name w:val="正文文字小5居中"/>
    <w:basedOn w:val="1"/>
    <w:qFormat/>
    <w:uiPriority w:val="0"/>
    <w:pPr>
      <w:spacing w:line="0" w:lineRule="atLeast"/>
      <w:jc w:val="center"/>
    </w:pPr>
    <w:rPr>
      <w:rFonts w:eastAsia="仿宋_GB2312"/>
      <w:spacing w:val="-10"/>
      <w:sz w:val="18"/>
    </w:rPr>
  </w:style>
  <w:style w:type="paragraph" w:customStyle="1" w:styleId="641">
    <w:name w:val="Char Char Char Char Char Char1 Char Char Char Char Char Char Char Char Char Char1"/>
    <w:basedOn w:val="1"/>
    <w:qFormat/>
    <w:uiPriority w:val="0"/>
    <w:pPr>
      <w:spacing w:line="480" w:lineRule="exact"/>
      <w:ind w:firstLine="480" w:firstLineChars="200"/>
    </w:pPr>
    <w:rPr>
      <w:szCs w:val="21"/>
    </w:rPr>
  </w:style>
  <w:style w:type="character" w:customStyle="1" w:styleId="642">
    <w:name w:val="标题2 Char1"/>
    <w:qFormat/>
    <w:uiPriority w:val="0"/>
    <w:rPr>
      <w:rFonts w:ascii="Times New Roman" w:hAnsi="Times New Roman" w:eastAsia="华文中宋"/>
      <w:b/>
      <w:bCs/>
      <w:spacing w:val="6"/>
      <w:kern w:val="2"/>
      <w:sz w:val="32"/>
      <w:szCs w:val="32"/>
      <w:lang w:val="zh-CN" w:eastAsia="zh-CN"/>
    </w:rPr>
  </w:style>
  <w:style w:type="character" w:customStyle="1" w:styleId="643">
    <w:name w:val="标题 3 Char Char5"/>
    <w:qFormat/>
    <w:uiPriority w:val="0"/>
    <w:rPr>
      <w:rFonts w:ascii="Times New Roman" w:hAnsi="Times New Roman" w:eastAsia="华文中宋"/>
      <w:b/>
      <w:bCs/>
      <w:spacing w:val="6"/>
      <w:kern w:val="2"/>
      <w:sz w:val="28"/>
      <w:szCs w:val="30"/>
    </w:rPr>
  </w:style>
  <w:style w:type="paragraph" w:customStyle="1" w:styleId="644">
    <w:name w:val="Char Char Char1 Char Char Char Char Char Char Char Char Char Char Char Char Char Char Char Char Char Char Char"/>
    <w:basedOn w:val="1"/>
    <w:qFormat/>
    <w:uiPriority w:val="0"/>
    <w:rPr>
      <w:rFonts w:eastAsia="宋体"/>
      <w:sz w:val="21"/>
      <w:szCs w:val="24"/>
    </w:rPr>
  </w:style>
  <w:style w:type="paragraph" w:customStyle="1" w:styleId="645">
    <w:name w:val="样式 表头 + 段后: 0 磅"/>
    <w:basedOn w:val="1"/>
    <w:qFormat/>
    <w:uiPriority w:val="0"/>
    <w:pPr>
      <w:tabs>
        <w:tab w:val="left" w:pos="6930"/>
      </w:tabs>
      <w:spacing w:after="60" w:line="560" w:lineRule="exact"/>
      <w:ind w:firstLine="100" w:firstLineChars="100"/>
    </w:pPr>
    <w:rPr>
      <w:rFonts w:ascii="黑体" w:eastAsia="黑体" w:cs="宋体"/>
    </w:rPr>
  </w:style>
  <w:style w:type="paragraph" w:customStyle="1" w:styleId="646">
    <w:name w:val="样式 样式1 + 仿宋_GB2312 四号 两端对齐 首行缩进:  0.99 厘米 行距: 固定值 28 磅"/>
    <w:basedOn w:val="1"/>
    <w:qFormat/>
    <w:uiPriority w:val="0"/>
    <w:pPr>
      <w:tabs>
        <w:tab w:val="left" w:pos="640"/>
      </w:tabs>
      <w:spacing w:line="560" w:lineRule="exact"/>
      <w:ind w:firstLine="200" w:firstLineChars="200"/>
    </w:pPr>
    <w:rPr>
      <w:rFonts w:ascii="仿宋_GB2312" w:hAnsi="宋体" w:eastAsia="仿宋_GB2312" w:cs="宋体"/>
      <w:sz w:val="28"/>
    </w:rPr>
  </w:style>
  <w:style w:type="character" w:customStyle="1" w:styleId="647">
    <w:name w:val="样式 样式1 + 仿宋_GB2312 四号 两端对齐 首行缩进:  0.99 厘米 行距: 固定值 28 磅 Char"/>
    <w:qFormat/>
    <w:uiPriority w:val="0"/>
    <w:rPr>
      <w:rFonts w:ascii="仿宋_GB2312" w:hAnsi="宋体" w:eastAsia="仿宋_GB2312" w:cs="宋体"/>
      <w:kern w:val="2"/>
      <w:sz w:val="28"/>
      <w:lang w:val="en-US" w:eastAsia="zh-CN" w:bidi="ar-SA"/>
    </w:rPr>
  </w:style>
  <w:style w:type="paragraph" w:customStyle="1" w:styleId="648">
    <w:name w:val="样式 首行缩进:  2 字符3"/>
    <w:basedOn w:val="1"/>
    <w:qFormat/>
    <w:uiPriority w:val="0"/>
    <w:pPr>
      <w:spacing w:line="560" w:lineRule="exact"/>
      <w:ind w:firstLine="200" w:firstLineChars="200"/>
    </w:pPr>
    <w:rPr>
      <w:rFonts w:ascii="仿宋_GB2312" w:eastAsia="仿宋_GB2312" w:cs="宋体"/>
      <w:sz w:val="28"/>
    </w:rPr>
  </w:style>
  <w:style w:type="character" w:customStyle="1" w:styleId="649">
    <w:name w:val="样式 首行缩进:  2 字符3 Char"/>
    <w:qFormat/>
    <w:uiPriority w:val="0"/>
    <w:rPr>
      <w:rFonts w:ascii="仿宋_GB2312" w:eastAsia="仿宋_GB2312" w:cs="宋体"/>
      <w:kern w:val="2"/>
      <w:sz w:val="28"/>
      <w:lang w:val="en-US" w:eastAsia="zh-CN" w:bidi="ar-SA"/>
    </w:rPr>
  </w:style>
  <w:style w:type="paragraph" w:customStyle="1" w:styleId="650">
    <w:name w:val="样式 表名 + 首行缩进:  1 字符2"/>
    <w:basedOn w:val="1"/>
    <w:qFormat/>
    <w:uiPriority w:val="0"/>
    <w:pPr>
      <w:spacing w:after="60" w:line="560" w:lineRule="exact"/>
      <w:ind w:firstLine="100" w:firstLineChars="100"/>
    </w:pPr>
    <w:rPr>
      <w:rFonts w:ascii="黑体" w:eastAsia="黑体" w:cs="宋体"/>
    </w:rPr>
  </w:style>
  <w:style w:type="character" w:customStyle="1" w:styleId="651">
    <w:name w:val="标题一 Char6"/>
    <w:qFormat/>
    <w:uiPriority w:val="0"/>
    <w:rPr>
      <w:rFonts w:ascii="Times New Roman" w:hAnsi="Times New Roman" w:eastAsia="华文中宋"/>
      <w:b/>
      <w:bCs/>
      <w:kern w:val="44"/>
      <w:sz w:val="36"/>
      <w:szCs w:val="36"/>
      <w:lang w:val="zh-CN" w:eastAsia="zh-CN"/>
    </w:rPr>
  </w:style>
  <w:style w:type="character" w:customStyle="1" w:styleId="652">
    <w:name w:val="标题一 Char5"/>
    <w:qFormat/>
    <w:uiPriority w:val="0"/>
    <w:rPr>
      <w:rFonts w:ascii="华文中宋" w:hAnsi="华文中宋" w:eastAsia="华文中宋"/>
      <w:b/>
      <w:bCs/>
      <w:kern w:val="44"/>
      <w:sz w:val="32"/>
      <w:szCs w:val="44"/>
      <w:lang w:val="zh-CN" w:eastAsia="zh-CN" w:bidi="ar-SA"/>
    </w:rPr>
  </w:style>
  <w:style w:type="character" w:customStyle="1" w:styleId="653">
    <w:name w:val="正文文字 Char Char1"/>
    <w:qFormat/>
    <w:uiPriority w:val="0"/>
    <w:rPr>
      <w:rFonts w:eastAsia="宋体"/>
      <w:kern w:val="2"/>
      <w:sz w:val="21"/>
      <w:szCs w:val="24"/>
      <w:lang w:val="en-US" w:eastAsia="zh-CN" w:bidi="ar-SA"/>
    </w:rPr>
  </w:style>
  <w:style w:type="character" w:customStyle="1" w:styleId="654">
    <w:name w:val="Char Char34"/>
    <w:qFormat/>
    <w:uiPriority w:val="0"/>
    <w:rPr>
      <w:rFonts w:eastAsia="仿宋_GB2312"/>
      <w:kern w:val="2"/>
      <w:sz w:val="28"/>
      <w:lang w:val="en-US" w:eastAsia="zh-CN" w:bidi="ar-SA"/>
    </w:rPr>
  </w:style>
  <w:style w:type="character" w:customStyle="1" w:styleId="655">
    <w:name w:val="Char Char31"/>
    <w:qFormat/>
    <w:uiPriority w:val="0"/>
    <w:rPr>
      <w:rFonts w:eastAsia="宋体"/>
      <w:kern w:val="2"/>
      <w:sz w:val="21"/>
      <w:szCs w:val="24"/>
      <w:lang w:val="en-US" w:eastAsia="zh-CN" w:bidi="ar-SA"/>
    </w:rPr>
  </w:style>
  <w:style w:type="character" w:customStyle="1" w:styleId="656">
    <w:name w:val="标题一 Char4"/>
    <w:qFormat/>
    <w:uiPriority w:val="0"/>
    <w:rPr>
      <w:rFonts w:ascii="华文中宋" w:hAnsi="华文中宋" w:eastAsia="华文中宋"/>
      <w:b/>
      <w:bCs/>
      <w:kern w:val="44"/>
      <w:sz w:val="32"/>
      <w:szCs w:val="44"/>
      <w:lang w:val="zh-CN" w:eastAsia="zh-CN" w:bidi="ar-SA"/>
    </w:rPr>
  </w:style>
  <w:style w:type="paragraph" w:customStyle="1" w:styleId="657">
    <w:name w:val="样式11"/>
    <w:basedOn w:val="1"/>
    <w:qFormat/>
    <w:uiPriority w:val="0"/>
    <w:pPr>
      <w:spacing w:line="500" w:lineRule="exact"/>
      <w:ind w:firstLine="200" w:firstLineChars="200"/>
    </w:pPr>
    <w:rPr>
      <w:rFonts w:eastAsia="仿宋_GB2312"/>
      <w:spacing w:val="6"/>
      <w:kern w:val="0"/>
      <w:sz w:val="28"/>
      <w:szCs w:val="24"/>
    </w:rPr>
  </w:style>
  <w:style w:type="paragraph" w:customStyle="1" w:styleId="658">
    <w:name w:val="p0"/>
    <w:basedOn w:val="1"/>
    <w:qFormat/>
    <w:uiPriority w:val="0"/>
    <w:pPr>
      <w:widowControl/>
      <w:jc w:val="left"/>
    </w:pPr>
    <w:rPr>
      <w:rFonts w:eastAsia="宋体"/>
      <w:kern w:val="0"/>
      <w:sz w:val="20"/>
    </w:rPr>
  </w:style>
  <w:style w:type="character" w:customStyle="1" w:styleId="659">
    <w:name w:val="表号 Char Char"/>
    <w:qFormat/>
    <w:uiPriority w:val="0"/>
    <w:rPr>
      <w:rFonts w:ascii="CG Times" w:hAnsi="CG Times"/>
      <w:kern w:val="2"/>
      <w:sz w:val="21"/>
    </w:rPr>
  </w:style>
  <w:style w:type="character" w:customStyle="1" w:styleId="660">
    <w:name w:val="标题一 Char2"/>
    <w:qFormat/>
    <w:uiPriority w:val="0"/>
    <w:rPr>
      <w:rFonts w:ascii="华文中宋" w:hAnsi="华文中宋" w:eastAsia="华文中宋" w:cs="Times New Roman"/>
      <w:b/>
      <w:bCs/>
      <w:kern w:val="44"/>
      <w:sz w:val="32"/>
      <w:szCs w:val="44"/>
      <w:lang w:val="zh-CN" w:eastAsia="zh-CN"/>
    </w:rPr>
  </w:style>
  <w:style w:type="character" w:customStyle="1" w:styleId="661">
    <w:name w:val="款标题1.1.1.1 Char3"/>
    <w:qFormat/>
    <w:uiPriority w:val="0"/>
    <w:rPr>
      <w:rFonts w:ascii="黑体" w:eastAsia="黑体"/>
      <w:b/>
      <w:bCs/>
      <w:kern w:val="2"/>
      <w:sz w:val="24"/>
      <w:szCs w:val="28"/>
      <w:lang w:val="en-US" w:eastAsia="zh-CN" w:bidi="ar-SA"/>
    </w:rPr>
  </w:style>
  <w:style w:type="character" w:customStyle="1" w:styleId="662">
    <w:name w:val="标题 5 Char Char2"/>
    <w:qFormat/>
    <w:uiPriority w:val="0"/>
    <w:rPr>
      <w:rFonts w:eastAsia="华文中宋"/>
      <w:b/>
      <w:bCs/>
      <w:kern w:val="2"/>
      <w:sz w:val="28"/>
      <w:szCs w:val="28"/>
      <w:lang w:val="en-US" w:eastAsia="zh-CN" w:bidi="ar-SA"/>
    </w:rPr>
  </w:style>
  <w:style w:type="character" w:customStyle="1" w:styleId="663">
    <w:name w:val="Char Char46"/>
    <w:qFormat/>
    <w:uiPriority w:val="0"/>
    <w:rPr>
      <w:rFonts w:ascii="黑体" w:eastAsia="黑体"/>
      <w:b/>
      <w:bCs/>
      <w:kern w:val="2"/>
      <w:sz w:val="24"/>
      <w:szCs w:val="24"/>
      <w:lang w:val="zh-CN" w:eastAsia="zh-CN" w:bidi="ar-SA"/>
    </w:rPr>
  </w:style>
  <w:style w:type="character" w:customStyle="1" w:styleId="664">
    <w:name w:val="Char Char45"/>
    <w:qFormat/>
    <w:uiPriority w:val="0"/>
    <w:rPr>
      <w:rFonts w:eastAsia="楷体_GB2312"/>
      <w:b/>
      <w:bCs/>
      <w:kern w:val="2"/>
      <w:sz w:val="24"/>
      <w:szCs w:val="24"/>
      <w:lang w:val="zh-CN" w:eastAsia="zh-CN" w:bidi="ar-SA"/>
    </w:rPr>
  </w:style>
  <w:style w:type="character" w:customStyle="1" w:styleId="665">
    <w:name w:val="第七层条 Char Char2"/>
    <w:qFormat/>
    <w:uiPriority w:val="0"/>
    <w:rPr>
      <w:rFonts w:ascii="Arial" w:hAnsi="Arial" w:eastAsia="黑体"/>
      <w:kern w:val="2"/>
      <w:sz w:val="24"/>
      <w:szCs w:val="24"/>
      <w:lang w:val="zh-CN" w:eastAsia="zh-CN" w:bidi="ar-SA"/>
    </w:rPr>
  </w:style>
  <w:style w:type="character" w:customStyle="1" w:styleId="666">
    <w:name w:val="Char Char44"/>
    <w:qFormat/>
    <w:uiPriority w:val="0"/>
    <w:rPr>
      <w:rFonts w:ascii="Arial" w:hAnsi="Arial" w:eastAsia="黑体"/>
      <w:kern w:val="2"/>
      <w:sz w:val="21"/>
      <w:lang w:val="en-US" w:eastAsia="zh-CN" w:bidi="ar-SA"/>
    </w:rPr>
  </w:style>
  <w:style w:type="character" w:customStyle="1" w:styleId="667">
    <w:name w:val="正文文字缩进 Char Char Char3"/>
    <w:qFormat/>
    <w:uiPriority w:val="0"/>
    <w:rPr>
      <w:rFonts w:eastAsia="华文中宋"/>
      <w:sz w:val="24"/>
      <w:lang w:val="zh-CN" w:eastAsia="zh-CN" w:bidi="ar-SA"/>
    </w:rPr>
  </w:style>
  <w:style w:type="character" w:customStyle="1" w:styleId="668">
    <w:name w:val="Char Char43"/>
    <w:qFormat/>
    <w:uiPriority w:val="0"/>
    <w:rPr>
      <w:rFonts w:eastAsia="华文中宋"/>
      <w:kern w:val="2"/>
      <w:sz w:val="24"/>
      <w:lang w:val="en-US" w:eastAsia="zh-CN" w:bidi="ar-SA"/>
    </w:rPr>
  </w:style>
  <w:style w:type="character" w:customStyle="1" w:styleId="669">
    <w:name w:val="正文缩进2 Char2"/>
    <w:qFormat/>
    <w:uiPriority w:val="0"/>
    <w:rPr>
      <w:rFonts w:eastAsia="华文中宋"/>
      <w:kern w:val="2"/>
      <w:sz w:val="24"/>
      <w:lang w:val="en-US" w:eastAsia="zh-CN" w:bidi="ar-SA"/>
    </w:rPr>
  </w:style>
  <w:style w:type="character" w:customStyle="1" w:styleId="670">
    <w:name w:val="正文文字缩进 3 Char Char Char Char Char Char Char Char Char Char Char Char Char Char Char Char Char Char Char Char Char Char Char Char Char Char Char Char Char Char Char Char Char Char Char Char Char Char3"/>
    <w:qFormat/>
    <w:uiPriority w:val="0"/>
    <w:rPr>
      <w:rFonts w:eastAsia="华文中宋"/>
      <w:kern w:val="2"/>
      <w:sz w:val="16"/>
      <w:szCs w:val="16"/>
      <w:lang w:val="zh-CN" w:eastAsia="zh-CN" w:bidi="ar-SA"/>
    </w:rPr>
  </w:style>
  <w:style w:type="character" w:customStyle="1" w:styleId="671">
    <w:name w:val="纯文本 Char Char Char Char Char Char Char Char3"/>
    <w:qFormat/>
    <w:uiPriority w:val="0"/>
    <w:rPr>
      <w:rFonts w:ascii="宋体" w:hAnsi="ISOCT" w:eastAsia="宋体"/>
      <w:kern w:val="2"/>
      <w:sz w:val="21"/>
      <w:lang w:val="en-US" w:eastAsia="zh-CN" w:bidi="ar-SA"/>
    </w:rPr>
  </w:style>
  <w:style w:type="character" w:customStyle="1" w:styleId="672">
    <w:name w:val="样式 宋体 小四 黑色 Char Char3"/>
    <w:qFormat/>
    <w:uiPriority w:val="0"/>
    <w:rPr>
      <w:rFonts w:eastAsia="华文中宋"/>
      <w:kern w:val="2"/>
      <w:sz w:val="18"/>
      <w:szCs w:val="18"/>
      <w:lang w:val="en-US" w:eastAsia="zh-CN" w:bidi="ar-SA"/>
    </w:rPr>
  </w:style>
  <w:style w:type="character" w:customStyle="1" w:styleId="673">
    <w:name w:val="Char Char42"/>
    <w:qFormat/>
    <w:uiPriority w:val="0"/>
    <w:rPr>
      <w:rFonts w:eastAsia="华文中宋"/>
      <w:kern w:val="2"/>
      <w:sz w:val="18"/>
      <w:szCs w:val="18"/>
      <w:lang w:val="en-US" w:eastAsia="zh-CN" w:bidi="ar-SA"/>
    </w:rPr>
  </w:style>
  <w:style w:type="character" w:customStyle="1" w:styleId="674">
    <w:name w:val="Char Char41"/>
    <w:qFormat/>
    <w:uiPriority w:val="0"/>
    <w:rPr>
      <w:rFonts w:eastAsia="华文中宋"/>
      <w:kern w:val="2"/>
      <w:sz w:val="18"/>
      <w:szCs w:val="18"/>
      <w:lang w:val="en-US" w:eastAsia="zh-CN" w:bidi="ar-SA"/>
    </w:rPr>
  </w:style>
  <w:style w:type="character" w:customStyle="1" w:styleId="675">
    <w:name w:val="Char Char40"/>
    <w:qFormat/>
    <w:uiPriority w:val="0"/>
    <w:rPr>
      <w:rFonts w:eastAsia="华文中宋"/>
      <w:kern w:val="2"/>
      <w:sz w:val="24"/>
      <w:lang w:val="en-US" w:eastAsia="zh-CN" w:bidi="ar-SA"/>
    </w:rPr>
  </w:style>
  <w:style w:type="character" w:customStyle="1" w:styleId="676">
    <w:name w:val="Char Char39"/>
    <w:qFormat/>
    <w:uiPriority w:val="0"/>
    <w:rPr>
      <w:rFonts w:eastAsia="华文中宋"/>
      <w:b/>
      <w:bCs/>
      <w:kern w:val="2"/>
      <w:sz w:val="24"/>
      <w:lang w:val="en-US" w:eastAsia="zh-CN" w:bidi="ar-SA"/>
    </w:rPr>
  </w:style>
  <w:style w:type="character" w:customStyle="1" w:styleId="677">
    <w:name w:val="Char Char37"/>
    <w:qFormat/>
    <w:uiPriority w:val="0"/>
    <w:rPr>
      <w:rFonts w:ascii="Calibri" w:hAnsi="Calibri" w:eastAsia="宋体"/>
      <w:kern w:val="2"/>
      <w:sz w:val="21"/>
      <w:szCs w:val="22"/>
      <w:lang w:val="en-US" w:eastAsia="zh-CN" w:bidi="ar-SA"/>
    </w:rPr>
  </w:style>
  <w:style w:type="character" w:customStyle="1" w:styleId="678">
    <w:name w:val="Char Char36"/>
    <w:qFormat/>
    <w:uiPriority w:val="0"/>
    <w:rPr>
      <w:rFonts w:ascii="Calibri" w:hAnsi="Calibri" w:eastAsia="宋体"/>
      <w:kern w:val="2"/>
      <w:sz w:val="18"/>
      <w:szCs w:val="18"/>
      <w:lang w:val="en-US" w:eastAsia="zh-CN" w:bidi="ar-SA"/>
    </w:rPr>
  </w:style>
  <w:style w:type="character" w:customStyle="1" w:styleId="679">
    <w:name w:val="正文文字 Char Char Char2"/>
    <w:qFormat/>
    <w:uiPriority w:val="0"/>
    <w:rPr>
      <w:rFonts w:ascii="Times New Roman" w:hAnsi="Times New Roman" w:eastAsia="宋体" w:cs="Times New Roman"/>
      <w:szCs w:val="24"/>
    </w:rPr>
  </w:style>
  <w:style w:type="character" w:customStyle="1" w:styleId="680">
    <w:name w:val="Char Char38"/>
    <w:qFormat/>
    <w:uiPriority w:val="0"/>
    <w:rPr>
      <w:rFonts w:ascii="Times New Roman" w:hAnsi="Times New Roman" w:eastAsia="仿宋_GB2312" w:cs="Times New Roman"/>
      <w:sz w:val="28"/>
      <w:szCs w:val="20"/>
    </w:rPr>
  </w:style>
  <w:style w:type="character" w:customStyle="1" w:styleId="681">
    <w:name w:val="Char Char33"/>
    <w:qFormat/>
    <w:uiPriority w:val="0"/>
    <w:rPr>
      <w:rFonts w:ascii="Arial" w:hAnsi="Arial" w:eastAsia="宋体" w:cs="Arial"/>
      <w:b/>
      <w:bCs/>
      <w:kern w:val="2"/>
      <w:sz w:val="32"/>
      <w:szCs w:val="32"/>
      <w:lang w:val="en-US" w:eastAsia="zh-CN" w:bidi="ar-SA"/>
    </w:rPr>
  </w:style>
  <w:style w:type="character" w:customStyle="1" w:styleId="682">
    <w:name w:val="Char Char32"/>
    <w:qFormat/>
    <w:uiPriority w:val="0"/>
    <w:rPr>
      <w:rFonts w:eastAsia="宋体"/>
      <w:kern w:val="2"/>
      <w:sz w:val="24"/>
      <w:szCs w:val="24"/>
      <w:lang w:val="en-US" w:eastAsia="zh-CN" w:bidi="ar-SA"/>
    </w:rPr>
  </w:style>
  <w:style w:type="character" w:customStyle="1" w:styleId="683">
    <w:name w:val="Char Char35"/>
    <w:qFormat/>
    <w:uiPriority w:val="0"/>
    <w:rPr>
      <w:rFonts w:ascii="Times New Roman" w:hAnsi="Times New Roman" w:eastAsia="宋体" w:cs="Times New Roman"/>
      <w:szCs w:val="24"/>
    </w:rPr>
  </w:style>
  <w:style w:type="character" w:customStyle="1" w:styleId="684">
    <w:name w:val="Char Char30"/>
    <w:qFormat/>
    <w:uiPriority w:val="0"/>
    <w:rPr>
      <w:rFonts w:eastAsia="宋体"/>
      <w:kern w:val="2"/>
      <w:sz w:val="16"/>
      <w:szCs w:val="16"/>
      <w:lang w:val="en-US" w:eastAsia="zh-CN" w:bidi="ar-SA"/>
    </w:rPr>
  </w:style>
  <w:style w:type="character" w:customStyle="1" w:styleId="685">
    <w:name w:val="Char Char29"/>
    <w:qFormat/>
    <w:uiPriority w:val="0"/>
    <w:rPr>
      <w:rFonts w:eastAsia="宋体"/>
      <w:kern w:val="2"/>
      <w:sz w:val="21"/>
      <w:szCs w:val="24"/>
      <w:lang w:val="en-US" w:eastAsia="zh-CN" w:bidi="ar-SA"/>
    </w:rPr>
  </w:style>
  <w:style w:type="character" w:customStyle="1" w:styleId="686">
    <w:name w:val="Char Char28"/>
    <w:qFormat/>
    <w:uiPriority w:val="0"/>
    <w:rPr>
      <w:rFonts w:ascii="楷体_GB2312" w:eastAsia="楷体_GB2312"/>
      <w:i/>
      <w:iCs/>
      <w:sz w:val="28"/>
      <w:szCs w:val="24"/>
      <w:lang w:val="en-US" w:eastAsia="zh-CN" w:bidi="ar-SA"/>
    </w:rPr>
  </w:style>
  <w:style w:type="character" w:customStyle="1" w:styleId="687">
    <w:name w:val="Char Char27"/>
    <w:qFormat/>
    <w:uiPriority w:val="0"/>
    <w:rPr>
      <w:rFonts w:ascii="Courier New" w:hAnsi="Courier New" w:eastAsia="楷体_GB2312" w:cs="Courier New"/>
      <w:lang w:val="en-US" w:eastAsia="zh-CN" w:bidi="ar-SA"/>
    </w:rPr>
  </w:style>
  <w:style w:type="character" w:customStyle="1" w:styleId="688">
    <w:name w:val="Char Char23"/>
    <w:qFormat/>
    <w:uiPriority w:val="0"/>
    <w:rPr>
      <w:rFonts w:ascii="楷体_GB2312" w:eastAsia="楷体_GB2312"/>
      <w:sz w:val="28"/>
      <w:szCs w:val="24"/>
      <w:lang w:val="en-US" w:eastAsia="zh-CN" w:bidi="ar-SA"/>
    </w:rPr>
  </w:style>
  <w:style w:type="character" w:customStyle="1" w:styleId="689">
    <w:name w:val="Char Char15"/>
    <w:qFormat/>
    <w:uiPriority w:val="0"/>
    <w:rPr>
      <w:rFonts w:ascii="楷体_GB2312" w:eastAsia="楷体_GB2312"/>
      <w:sz w:val="28"/>
      <w:szCs w:val="24"/>
      <w:lang w:val="en-US" w:eastAsia="zh-CN" w:bidi="ar-SA"/>
    </w:rPr>
  </w:style>
  <w:style w:type="character" w:customStyle="1" w:styleId="690">
    <w:name w:val="Char Char14"/>
    <w:qFormat/>
    <w:uiPriority w:val="0"/>
    <w:rPr>
      <w:rFonts w:ascii="楷体_GB2312" w:eastAsia="楷体_GB2312"/>
      <w:sz w:val="28"/>
      <w:szCs w:val="24"/>
      <w:lang w:val="en-US" w:eastAsia="zh-CN" w:bidi="ar-SA"/>
    </w:rPr>
  </w:style>
  <w:style w:type="character" w:customStyle="1" w:styleId="691">
    <w:name w:val="Char Char13"/>
    <w:qFormat/>
    <w:uiPriority w:val="0"/>
    <w:rPr>
      <w:rFonts w:ascii="楷体_GB2312" w:eastAsia="楷体_GB2312"/>
      <w:sz w:val="28"/>
      <w:szCs w:val="24"/>
      <w:lang w:val="en-US" w:eastAsia="zh-CN" w:bidi="ar-SA"/>
    </w:rPr>
  </w:style>
  <w:style w:type="character" w:customStyle="1" w:styleId="692">
    <w:name w:val="标题 5 Char Char"/>
    <w:qFormat/>
    <w:uiPriority w:val="0"/>
    <w:rPr>
      <w:rFonts w:eastAsia="华文中宋"/>
      <w:b/>
      <w:bCs/>
      <w:kern w:val="2"/>
      <w:sz w:val="28"/>
      <w:szCs w:val="28"/>
    </w:rPr>
  </w:style>
  <w:style w:type="character" w:customStyle="1" w:styleId="693">
    <w:name w:val="水保正文文字1 Char Char"/>
    <w:qFormat/>
    <w:uiPriority w:val="0"/>
    <w:rPr>
      <w:rFonts w:eastAsia="华文中宋"/>
      <w:kern w:val="2"/>
      <w:sz w:val="24"/>
      <w:szCs w:val="24"/>
      <w:lang w:val="en-US" w:eastAsia="zh-CN" w:bidi="ar-SA"/>
    </w:rPr>
  </w:style>
  <w:style w:type="paragraph" w:customStyle="1" w:styleId="694">
    <w:name w:val="表头文字"/>
    <w:basedOn w:val="1"/>
    <w:next w:val="1"/>
    <w:qFormat/>
    <w:uiPriority w:val="0"/>
    <w:pPr>
      <w:adjustRightInd w:val="0"/>
      <w:snapToGrid w:val="0"/>
      <w:spacing w:before="120" w:line="300" w:lineRule="auto"/>
      <w:ind w:firstLine="482"/>
      <w:jc w:val="center"/>
    </w:pPr>
    <w:rPr>
      <w:rFonts w:eastAsia="黑体"/>
      <w:szCs w:val="24"/>
    </w:rPr>
  </w:style>
  <w:style w:type="character" w:customStyle="1" w:styleId="695">
    <w:name w:val="表头文字 Char"/>
    <w:qFormat/>
    <w:uiPriority w:val="0"/>
    <w:rPr>
      <w:rFonts w:eastAsia="黑体"/>
      <w:kern w:val="2"/>
      <w:sz w:val="24"/>
      <w:szCs w:val="24"/>
      <w:lang w:val="en-US" w:eastAsia="zh-CN" w:bidi="ar-SA"/>
    </w:rPr>
  </w:style>
  <w:style w:type="character" w:customStyle="1" w:styleId="696">
    <w:name w:val="表号文字 Char"/>
    <w:qFormat/>
    <w:uiPriority w:val="0"/>
    <w:rPr>
      <w:rFonts w:eastAsia="黑体"/>
      <w:kern w:val="2"/>
      <w:sz w:val="24"/>
      <w:szCs w:val="24"/>
      <w:lang w:val="en-US" w:eastAsia="zh-CN" w:bidi="ar-SA"/>
    </w:rPr>
  </w:style>
  <w:style w:type="character" w:customStyle="1" w:styleId="697">
    <w:name w:val="表格文字 Char"/>
    <w:qFormat/>
    <w:uiPriority w:val="0"/>
    <w:rPr>
      <w:rFonts w:eastAsia="宋体"/>
      <w:kern w:val="2"/>
      <w:sz w:val="18"/>
      <w:szCs w:val="24"/>
      <w:lang w:val="en-US" w:eastAsia="zh-CN" w:bidi="ar-SA"/>
    </w:rPr>
  </w:style>
  <w:style w:type="paragraph" w:customStyle="1" w:styleId="698">
    <w:name w:val="默认段落字体 Para Char Char"/>
    <w:basedOn w:val="1"/>
    <w:qFormat/>
    <w:uiPriority w:val="0"/>
    <w:pPr>
      <w:spacing w:line="540" w:lineRule="exact"/>
      <w:ind w:firstLine="482"/>
    </w:pPr>
    <w:rPr>
      <w:rFonts w:eastAsia="宋体"/>
      <w:sz w:val="21"/>
      <w:szCs w:val="24"/>
    </w:rPr>
  </w:style>
  <w:style w:type="character" w:customStyle="1" w:styleId="699">
    <w:name w:val="三级标题 Char"/>
    <w:qFormat/>
    <w:uiPriority w:val="0"/>
    <w:rPr>
      <w:rFonts w:eastAsia="黑体"/>
      <w:kern w:val="2"/>
      <w:sz w:val="28"/>
      <w:szCs w:val="24"/>
      <w:lang w:val="en-US" w:eastAsia="zh-CN" w:bidi="ar-SA"/>
    </w:rPr>
  </w:style>
  <w:style w:type="character" w:customStyle="1" w:styleId="700">
    <w:name w:val="四级标题 Char"/>
    <w:qFormat/>
    <w:uiPriority w:val="0"/>
    <w:rPr>
      <w:rFonts w:eastAsia="华文中宋"/>
      <w:kern w:val="2"/>
      <w:sz w:val="28"/>
      <w:szCs w:val="24"/>
      <w:lang w:val="en-US" w:eastAsia="zh-CN" w:bidi="ar-SA"/>
    </w:rPr>
  </w:style>
  <w:style w:type="character" w:customStyle="1" w:styleId="701">
    <w:name w:val="表名 Char Char"/>
    <w:qFormat/>
    <w:uiPriority w:val="0"/>
    <w:rPr>
      <w:rFonts w:ascii="Arial" w:hAnsi="Arial" w:eastAsia="黑体"/>
      <w:b/>
      <w:bCs/>
      <w:sz w:val="24"/>
      <w:lang w:val="en-US" w:eastAsia="zh-CN" w:bidi="ar-SA"/>
    </w:rPr>
  </w:style>
  <w:style w:type="paragraph" w:customStyle="1" w:styleId="702">
    <w:name w:val="样式 标题 2标题 21 Char标题 22标题 2 Char Char1 Char标题 21标题 21 Char1..."/>
    <w:basedOn w:val="4"/>
    <w:next w:val="1"/>
    <w:qFormat/>
    <w:uiPriority w:val="0"/>
    <w:pPr>
      <w:tabs>
        <w:tab w:val="left" w:pos="567"/>
      </w:tabs>
      <w:autoSpaceDN w:val="0"/>
      <w:adjustRightInd w:val="0"/>
      <w:snapToGrid w:val="0"/>
      <w:spacing w:before="160" w:after="160"/>
    </w:pPr>
    <w:rPr>
      <w:rFonts w:eastAsia="宋体" w:cs="宋体"/>
      <w:sz w:val="28"/>
      <w:szCs w:val="28"/>
      <w:lang w:val="en-US"/>
    </w:rPr>
  </w:style>
  <w:style w:type="character" w:customStyle="1" w:styleId="703">
    <w:name w:val="标题一 Char3"/>
    <w:qFormat/>
    <w:uiPriority w:val="0"/>
    <w:rPr>
      <w:rFonts w:ascii="华文中宋" w:hAnsi="华文中宋" w:eastAsia="华文中宋"/>
      <w:b/>
      <w:bCs/>
      <w:kern w:val="44"/>
      <w:sz w:val="32"/>
      <w:szCs w:val="44"/>
      <w:lang w:val="zh-CN" w:eastAsia="zh-CN" w:bidi="ar-SA"/>
    </w:rPr>
  </w:style>
  <w:style w:type="character" w:customStyle="1" w:styleId="704">
    <w:name w:val="正文缩进2 Char"/>
    <w:qFormat/>
    <w:uiPriority w:val="0"/>
    <w:rPr>
      <w:rFonts w:eastAsia="华文中宋"/>
      <w:kern w:val="2"/>
      <w:sz w:val="24"/>
      <w:lang w:val="en-US" w:eastAsia="zh-CN" w:bidi="ar-SA"/>
    </w:rPr>
  </w:style>
  <w:style w:type="paragraph" w:customStyle="1" w:styleId="705">
    <w:name w:val="Xie图文中"/>
    <w:qFormat/>
    <w:uiPriority w:val="0"/>
    <w:pPr>
      <w:widowControl w:val="0"/>
      <w:adjustRightInd w:val="0"/>
      <w:snapToGrid w:val="0"/>
      <w:spacing w:before="40" w:after="40"/>
      <w:jc w:val="center"/>
    </w:pPr>
    <w:rPr>
      <w:rFonts w:ascii="Times New Roman" w:hAnsi="Times New Roman" w:eastAsia="仿宋_GB2312" w:cs="Times New Roman"/>
      <w:snapToGrid w:val="0"/>
      <w:sz w:val="24"/>
      <w:lang w:val="en-US" w:eastAsia="zh-CN" w:bidi="ar-SA"/>
    </w:rPr>
  </w:style>
  <w:style w:type="paragraph" w:customStyle="1" w:styleId="706">
    <w:name w:val="表标题"/>
    <w:basedOn w:val="1"/>
    <w:next w:val="1"/>
    <w:qFormat/>
    <w:uiPriority w:val="0"/>
    <w:pPr>
      <w:tabs>
        <w:tab w:val="left" w:pos="525"/>
      </w:tabs>
      <w:spacing w:beforeLines="50" w:afterLines="50" w:line="400" w:lineRule="exact"/>
      <w:jc w:val="center"/>
    </w:pPr>
    <w:rPr>
      <w:rFonts w:eastAsia="黑体"/>
      <w:b/>
      <w:szCs w:val="21"/>
    </w:rPr>
  </w:style>
  <w:style w:type="paragraph" w:customStyle="1" w:styleId="707">
    <w:name w:val="样式 样式15 + 左侧:  -0.5 字符 右侧:  -0.5 字符"/>
    <w:basedOn w:val="1"/>
    <w:qFormat/>
    <w:uiPriority w:val="0"/>
    <w:pPr>
      <w:spacing w:line="300" w:lineRule="exact"/>
      <w:ind w:left="-120" w:leftChars="-50" w:right="-120" w:rightChars="-50"/>
      <w:jc w:val="center"/>
    </w:pPr>
    <w:rPr>
      <w:rFonts w:eastAsia="宋体"/>
      <w:color w:val="000000"/>
      <w:kern w:val="0"/>
      <w:sz w:val="21"/>
    </w:rPr>
  </w:style>
  <w:style w:type="character" w:customStyle="1" w:styleId="708">
    <w:name w:val="标题 5 Char Char1"/>
    <w:qFormat/>
    <w:uiPriority w:val="0"/>
    <w:rPr>
      <w:rFonts w:eastAsia="华文中宋"/>
      <w:b/>
      <w:bCs/>
      <w:kern w:val="2"/>
      <w:sz w:val="28"/>
      <w:szCs w:val="28"/>
      <w:lang w:val="en-US" w:eastAsia="zh-CN" w:bidi="ar-SA"/>
    </w:rPr>
  </w:style>
  <w:style w:type="character" w:customStyle="1" w:styleId="709">
    <w:name w:val="正文缩进2 Char1"/>
    <w:qFormat/>
    <w:uiPriority w:val="0"/>
    <w:rPr>
      <w:rFonts w:eastAsia="华文中宋"/>
      <w:kern w:val="2"/>
      <w:sz w:val="24"/>
      <w:lang w:val="en-US" w:eastAsia="zh-CN" w:bidi="ar-SA"/>
    </w:rPr>
  </w:style>
  <w:style w:type="character" w:customStyle="1" w:styleId="710">
    <w:name w:val="样式 宋体 小四 黑色 Char Char4"/>
    <w:qFormat/>
    <w:uiPriority w:val="0"/>
    <w:rPr>
      <w:rFonts w:ascii="Times New Roman" w:hAnsi="Times New Roman" w:eastAsia="华文中宋"/>
      <w:kern w:val="2"/>
      <w:sz w:val="18"/>
      <w:szCs w:val="18"/>
    </w:rPr>
  </w:style>
  <w:style w:type="paragraph" w:customStyle="1" w:styleId="711">
    <w:name w:val="长江表格正文"/>
    <w:basedOn w:val="1"/>
    <w:link w:val="712"/>
    <w:qFormat/>
    <w:uiPriority w:val="0"/>
    <w:pPr>
      <w:spacing w:line="240" w:lineRule="atLeast"/>
      <w:jc w:val="center"/>
    </w:pPr>
    <w:rPr>
      <w:rFonts w:ascii="楷体" w:hAnsi="楷体" w:eastAsia="楷体"/>
      <w:kern w:val="0"/>
      <w:sz w:val="20"/>
      <w:szCs w:val="21"/>
    </w:rPr>
  </w:style>
  <w:style w:type="character" w:customStyle="1" w:styleId="712">
    <w:name w:val="长江表格正文 字符"/>
    <w:link w:val="711"/>
    <w:qFormat/>
    <w:uiPriority w:val="0"/>
    <w:rPr>
      <w:rFonts w:ascii="楷体" w:hAnsi="楷体" w:eastAsia="楷体" w:cs="Times New Roman"/>
      <w:szCs w:val="21"/>
    </w:rPr>
  </w:style>
  <w:style w:type="paragraph" w:customStyle="1" w:styleId="713">
    <w:name w:val="长江正文"/>
    <w:basedOn w:val="1"/>
    <w:link w:val="714"/>
    <w:qFormat/>
    <w:uiPriority w:val="0"/>
    <w:pPr>
      <w:spacing w:line="560" w:lineRule="exact"/>
      <w:ind w:firstLine="560"/>
    </w:pPr>
    <w:rPr>
      <w:rFonts w:ascii="仿宋_GB2312" w:eastAsia="仿宋_GB2312"/>
      <w:kern w:val="0"/>
      <w:sz w:val="28"/>
      <w:szCs w:val="28"/>
    </w:rPr>
  </w:style>
  <w:style w:type="character" w:customStyle="1" w:styleId="714">
    <w:name w:val="长江正文 字符"/>
    <w:link w:val="713"/>
    <w:qFormat/>
    <w:uiPriority w:val="0"/>
    <w:rPr>
      <w:rFonts w:ascii="仿宋_GB2312" w:hAnsi="Times New Roman" w:eastAsia="仿宋_GB2312" w:cs="Times New Roman"/>
      <w:sz w:val="28"/>
      <w:szCs w:val="28"/>
    </w:rPr>
  </w:style>
  <w:style w:type="paragraph" w:customStyle="1" w:styleId="715">
    <w:name w:val="长江表头"/>
    <w:basedOn w:val="8"/>
    <w:next w:val="711"/>
    <w:link w:val="716"/>
    <w:qFormat/>
    <w:uiPriority w:val="0"/>
    <w:pPr>
      <w:numPr>
        <w:ilvl w:val="4"/>
        <w:numId w:val="4"/>
      </w:numPr>
      <w:spacing w:beforeLines="50" w:after="60" w:line="240" w:lineRule="auto"/>
    </w:pPr>
    <w:rPr>
      <w:rFonts w:hAnsi="宋体"/>
      <w:b w:val="0"/>
    </w:rPr>
  </w:style>
  <w:style w:type="character" w:customStyle="1" w:styleId="716">
    <w:name w:val="长江表头 字符"/>
    <w:link w:val="715"/>
    <w:qFormat/>
    <w:uiPriority w:val="0"/>
    <w:rPr>
      <w:rFonts w:ascii="黑体" w:hAnsi="宋体" w:eastAsia="黑体"/>
      <w:bCs/>
      <w:sz w:val="24"/>
      <w:szCs w:val="24"/>
      <w:lang w:val="zh-CN"/>
    </w:rPr>
  </w:style>
  <w:style w:type="paragraph" w:customStyle="1" w:styleId="717">
    <w:name w:val="4级标题"/>
    <w:basedOn w:val="1"/>
    <w:next w:val="713"/>
    <w:qFormat/>
    <w:uiPriority w:val="0"/>
    <w:pPr>
      <w:keepNext/>
      <w:keepLines/>
      <w:spacing w:line="560" w:lineRule="exact"/>
      <w:ind w:left="2495" w:hanging="1928"/>
      <w:jc w:val="left"/>
      <w:outlineLvl w:val="3"/>
    </w:pPr>
    <w:rPr>
      <w:rFonts w:ascii="Arial" w:hAnsi="Arial"/>
      <w:bCs/>
      <w:sz w:val="28"/>
      <w:szCs w:val="28"/>
    </w:rPr>
  </w:style>
  <w:style w:type="paragraph" w:customStyle="1" w:styleId="718">
    <w:name w:val="3级标题"/>
    <w:basedOn w:val="1"/>
    <w:next w:val="713"/>
    <w:qFormat/>
    <w:uiPriority w:val="0"/>
    <w:pPr>
      <w:keepNext/>
      <w:keepLines/>
      <w:spacing w:line="560" w:lineRule="exact"/>
      <w:ind w:left="3601" w:hanging="2608"/>
      <w:jc w:val="left"/>
      <w:outlineLvl w:val="2"/>
    </w:pPr>
    <w:rPr>
      <w:rFonts w:ascii="Arial" w:hAnsi="Arial"/>
      <w:sz w:val="28"/>
    </w:rPr>
  </w:style>
  <w:style w:type="paragraph" w:customStyle="1" w:styleId="719">
    <w:name w:val="2级标题"/>
    <w:basedOn w:val="1"/>
    <w:next w:val="718"/>
    <w:qFormat/>
    <w:uiPriority w:val="0"/>
    <w:pPr>
      <w:keepNext/>
      <w:keepLines/>
      <w:numPr>
        <w:ilvl w:val="1"/>
        <w:numId w:val="4"/>
      </w:numPr>
      <w:spacing w:before="120" w:after="120" w:line="560" w:lineRule="exact"/>
      <w:jc w:val="left"/>
      <w:outlineLvl w:val="1"/>
    </w:pPr>
    <w:rPr>
      <w:rFonts w:ascii="Arial" w:hAnsi="Arial" w:eastAsia="黑体"/>
      <w:sz w:val="32"/>
      <w:szCs w:val="32"/>
    </w:rPr>
  </w:style>
  <w:style w:type="paragraph" w:customStyle="1" w:styleId="720">
    <w:name w:val="1）半括号标题"/>
    <w:basedOn w:val="7"/>
    <w:next w:val="713"/>
    <w:qFormat/>
    <w:uiPriority w:val="0"/>
    <w:pPr>
      <w:numPr>
        <w:ilvl w:val="0"/>
        <w:numId w:val="5"/>
      </w:numPr>
      <w:spacing w:before="0" w:after="0" w:line="560" w:lineRule="exact"/>
      <w:jc w:val="left"/>
    </w:pPr>
    <w:rPr>
      <w:rFonts w:ascii="楷体_GB2312" w:eastAsia="楷体_GB2312"/>
      <w:b w:val="0"/>
    </w:rPr>
  </w:style>
  <w:style w:type="table" w:customStyle="1" w:styleId="721">
    <w:name w:val="网格型2"/>
    <w:basedOn w:val="88"/>
    <w:qFormat/>
    <w:uiPriority w:val="39"/>
    <w:rPr>
      <w:rFonts w:ascii="Calibri" w:hAnsi="Calibri"/>
    </w:rPr>
    <w:tblPr>
      <w:tblStyle w:val="8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22">
    <w:name w:val="1级标题"/>
    <w:basedOn w:val="1"/>
    <w:next w:val="719"/>
    <w:qFormat/>
    <w:uiPriority w:val="0"/>
    <w:pPr>
      <w:keepNext/>
      <w:keepLines/>
      <w:spacing w:before="240" w:after="240" w:line="560" w:lineRule="exact"/>
      <w:ind w:left="737" w:hanging="737"/>
      <w:jc w:val="left"/>
      <w:outlineLvl w:val="0"/>
    </w:pPr>
    <w:rPr>
      <w:rFonts w:ascii="Arial" w:hAnsi="Arial" w:eastAsia="黑体"/>
      <w:bCs/>
      <w:kern w:val="44"/>
      <w:sz w:val="36"/>
      <w:szCs w:val="36"/>
    </w:rPr>
  </w:style>
  <w:style w:type="paragraph" w:customStyle="1" w:styleId="723">
    <w:name w:val="长江图名"/>
    <w:basedOn w:val="8"/>
    <w:next w:val="713"/>
    <w:link w:val="724"/>
    <w:qFormat/>
    <w:uiPriority w:val="0"/>
    <w:pPr>
      <w:keepNext w:val="0"/>
      <w:keepLines w:val="0"/>
      <w:spacing w:line="240" w:lineRule="auto"/>
      <w:ind w:left="2213" w:firstLine="1474"/>
    </w:pPr>
    <w:rPr>
      <w:rFonts w:hAnsi="MS Reference Sans Serif"/>
      <w:b w:val="0"/>
      <w:kern w:val="2"/>
      <w:szCs w:val="16"/>
    </w:rPr>
  </w:style>
  <w:style w:type="character" w:customStyle="1" w:styleId="724">
    <w:name w:val="长江图名 字符"/>
    <w:link w:val="723"/>
    <w:qFormat/>
    <w:uiPriority w:val="0"/>
    <w:rPr>
      <w:rFonts w:ascii="黑体" w:hAnsi="MS Reference Sans Serif" w:eastAsia="黑体"/>
      <w:bCs/>
      <w:kern w:val="2"/>
      <w:sz w:val="24"/>
      <w:szCs w:val="16"/>
    </w:rPr>
  </w:style>
  <w:style w:type="character" w:customStyle="1" w:styleId="725">
    <w:name w:val="font51"/>
    <w:qFormat/>
    <w:uiPriority w:val="0"/>
    <w:rPr>
      <w:rFonts w:ascii="等线" w:hAnsi="等线" w:eastAsia="等线" w:cs="等线"/>
      <w:b/>
      <w:bCs/>
      <w:color w:val="000000"/>
      <w:sz w:val="18"/>
      <w:szCs w:val="18"/>
      <w:u w:val="none"/>
    </w:rPr>
  </w:style>
  <w:style w:type="character" w:customStyle="1" w:styleId="726">
    <w:name w:val="font61"/>
    <w:qFormat/>
    <w:uiPriority w:val="0"/>
    <w:rPr>
      <w:rFonts w:ascii="方正书宋简体" w:hAnsi="方正书宋简体" w:eastAsia="方正书宋简体" w:cs="方正书宋简体"/>
      <w:b/>
      <w:bCs/>
      <w:color w:val="000000"/>
      <w:sz w:val="18"/>
      <w:szCs w:val="18"/>
      <w:u w:val="none"/>
    </w:rPr>
  </w:style>
  <w:style w:type="character" w:customStyle="1" w:styleId="727">
    <w:name w:val="font31"/>
    <w:qFormat/>
    <w:uiPriority w:val="0"/>
    <w:rPr>
      <w:rFonts w:hint="default" w:ascii="Times New Roman" w:hAnsi="Times New Roman" w:cs="Times New Roman"/>
      <w:color w:val="000000"/>
      <w:sz w:val="18"/>
      <w:szCs w:val="18"/>
      <w:u w:val="none"/>
    </w:rPr>
  </w:style>
  <w:style w:type="character" w:customStyle="1" w:styleId="728">
    <w:name w:val="font41"/>
    <w:qFormat/>
    <w:uiPriority w:val="0"/>
    <w:rPr>
      <w:rFonts w:hint="default" w:ascii="Times New Roman" w:hAnsi="Times New Roman" w:cs="Times New Roman"/>
      <w:color w:val="000000"/>
      <w:sz w:val="18"/>
      <w:szCs w:val="18"/>
      <w:u w:val="none"/>
      <w:vertAlign w:val="superscript"/>
    </w:rPr>
  </w:style>
  <w:style w:type="character" w:customStyle="1" w:styleId="729">
    <w:name w:val="页脚 字符"/>
    <w:qFormat/>
    <w:uiPriority w:val="99"/>
  </w:style>
  <w:style w:type="character" w:customStyle="1" w:styleId="730">
    <w:name w:val="标题 3 字符"/>
    <w:qFormat/>
    <w:uiPriority w:val="0"/>
    <w:rPr>
      <w:rFonts w:ascii="Times New Roman" w:hAnsi="Times New Roman" w:eastAsia="仿宋_GB2312" w:cs="Times New Roman"/>
      <w:b/>
      <w:spacing w:val="6"/>
      <w:kern w:val="0"/>
      <w:sz w:val="30"/>
      <w:szCs w:val="30"/>
    </w:rPr>
  </w:style>
  <w:style w:type="paragraph" w:customStyle="1" w:styleId="731">
    <w:name w:val="长江图片"/>
    <w:basedOn w:val="1"/>
    <w:link w:val="732"/>
    <w:qFormat/>
    <w:uiPriority w:val="0"/>
    <w:pPr>
      <w:widowControl/>
      <w:jc w:val="center"/>
    </w:pPr>
    <w:rPr>
      <w:rFonts w:ascii="黑体" w:hAnsi="MS Reference Sans Serif" w:eastAsia="黑体"/>
      <w:sz w:val="21"/>
      <w:szCs w:val="16"/>
    </w:rPr>
  </w:style>
  <w:style w:type="character" w:customStyle="1" w:styleId="732">
    <w:name w:val="长江图片 字符"/>
    <w:link w:val="731"/>
    <w:qFormat/>
    <w:uiPriority w:val="0"/>
    <w:rPr>
      <w:rFonts w:ascii="黑体" w:hAnsi="MS Reference Sans Serif" w:eastAsia="黑体"/>
      <w:kern w:val="2"/>
      <w:sz w:val="21"/>
      <w:szCs w:val="16"/>
    </w:rPr>
  </w:style>
  <w:style w:type="character" w:customStyle="1" w:styleId="733">
    <w:name w:val="标题 321"/>
    <w:qFormat/>
    <w:uiPriority w:val="0"/>
    <w:rPr>
      <w:rFonts w:ascii="华文中宋" w:hAnsi="华文中宋"/>
      <w:sz w:val="30"/>
      <w:szCs w:val="30"/>
    </w:rPr>
  </w:style>
  <w:style w:type="character" w:customStyle="1" w:styleId="734">
    <w:name w:val="font21"/>
    <w:basedOn w:val="90"/>
    <w:uiPriority w:val="0"/>
    <w:rPr>
      <w:rFonts w:ascii="楷体" w:hAnsi="楷体" w:eastAsia="楷体" w:cs="楷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microsoft.com/office/2011/relationships/commentsExtended" Target="commentsExtended.xml"/><Relationship Id="rId39" Type="http://schemas.microsoft.com/office/2011/relationships/people" Target="people.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jpeg"/><Relationship Id="rId34" Type="http://schemas.openxmlformats.org/officeDocument/2006/relationships/image" Target="media/image1.jpeg"/><Relationship Id="rId33" Type="http://schemas.openxmlformats.org/officeDocument/2006/relationships/theme" Target="theme/theme1.xml"/><Relationship Id="rId32" Type="http://schemas.openxmlformats.org/officeDocument/2006/relationships/footer" Target="footer20.xml"/><Relationship Id="rId31" Type="http://schemas.openxmlformats.org/officeDocument/2006/relationships/footer" Target="footer19.xml"/><Relationship Id="rId30" Type="http://schemas.openxmlformats.org/officeDocument/2006/relationships/footer" Target="footer18.xml"/><Relationship Id="rId3" Type="http://schemas.openxmlformats.org/officeDocument/2006/relationships/comments" Target="comments.xml"/><Relationship Id="rId29" Type="http://schemas.openxmlformats.org/officeDocument/2006/relationships/header" Target="header8.xml"/><Relationship Id="rId28" Type="http://schemas.openxmlformats.org/officeDocument/2006/relationships/footer" Target="footer17.xml"/><Relationship Id="rId27" Type="http://schemas.openxmlformats.org/officeDocument/2006/relationships/footer" Target="footer16.xml"/><Relationship Id="rId26" Type="http://schemas.openxmlformats.org/officeDocument/2006/relationships/header" Target="header7.xml"/><Relationship Id="rId25" Type="http://schemas.openxmlformats.org/officeDocument/2006/relationships/header" Target="header6.xml"/><Relationship Id="rId24" Type="http://schemas.openxmlformats.org/officeDocument/2006/relationships/header" Target="header5.xml"/><Relationship Id="rId23" Type="http://schemas.openxmlformats.org/officeDocument/2006/relationships/footer" Target="footer15.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header" Target="header3.xml"/><Relationship Id="rId11" Type="http://schemas.openxmlformats.org/officeDocument/2006/relationships/header" Target="header2.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76</Pages>
  <Words>35376</Words>
  <Characters>40343</Characters>
  <Lines>456</Lines>
  <Paragraphs>128</Paragraphs>
  <TotalTime>0</TotalTime>
  <ScaleCrop>false</ScaleCrop>
  <LinksUpToDate>false</LinksUpToDate>
  <CharactersWithSpaces>42007</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2023-09-12T01:55:00Z</dcterms:created>
  <dc:creator>prkd</dc:creator>
  <cp:lastModifiedBy>谭艳</cp:lastModifiedBy>
  <cp:lastPrinted>2024-01-17T10:32:45Z</cp:lastPrinted>
  <dcterms:modified xsi:type="dcterms:W3CDTF">2024-01-23T15:03:39Z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90743E445751486BA256FACF0990FD6A_13</vt:lpwstr>
  </property>
</Properties>
</file>