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四川省河湖长制专家库</w:t>
      </w:r>
    </w:p>
    <w:p>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管理办法（试行）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第一章  总则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Style w:val="10"/>
          <w:rFonts w:hint="eastAsia" w:ascii="仿宋" w:hAnsi="仿宋" w:eastAsia="仿宋" w:cs="仿宋"/>
          <w:bCs/>
          <w:color w:val="333333"/>
          <w:sz w:val="32"/>
          <w:szCs w:val="32"/>
          <w:shd w:val="clear" w:color="auto" w:fill="FFFFFF"/>
          <w:lang w:val="en-US" w:eastAsia="zh-CN"/>
        </w:rPr>
        <w:t xml:space="preserve"> </w:t>
      </w:r>
      <w:r>
        <w:rPr>
          <w:rFonts w:hint="eastAsia" w:ascii="仿宋_GB2312" w:hAnsi="仿宋_GB2312" w:eastAsia="仿宋_GB2312" w:cs="仿宋_GB2312"/>
          <w:sz w:val="32"/>
          <w:szCs w:val="32"/>
        </w:rPr>
        <w:t>为深入贯彻落实党中央、国务院和省委、省政府关于全面推行河湖长制的决策部署，充分发挥专家人才在河湖保护中的决策咨询作用，切实保证评审咨询、督查考核等工作的科学性、公正性，建设造福人民的幸福河湖，特制定本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Style w:val="10"/>
          <w:rFonts w:hint="eastAsia" w:ascii="仿宋" w:hAnsi="仿宋" w:eastAsia="仿宋" w:cs="仿宋"/>
          <w:bCs/>
          <w:color w:val="333333"/>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四川省河湖长制专家库（以下简称专家库）是指四川省河长制办公室根据河湖长制工作需要建立并管理的专家库。专家库跨部门、跨专业、跨地区组建，实行河湖长制专家资源共享，满足全省河湖长制工作的需要。</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四川省河湖长制专家（以下简称专家）是指满足入库条件，并通过资格认定，纳入专家库管理的专家。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Style w:val="10"/>
          <w:rFonts w:hint="eastAsia" w:ascii="仿宋" w:hAnsi="仿宋" w:eastAsia="仿宋" w:cs="仿宋"/>
          <w:b w:val="0"/>
          <w:color w:val="333333"/>
          <w:sz w:val="32"/>
          <w:szCs w:val="32"/>
          <w:shd w:val="clear" w:color="auto" w:fill="FFFFFF"/>
          <w:lang w:val="en-US" w:eastAsia="zh-CN"/>
        </w:rPr>
        <w:t xml:space="preserve"> </w:t>
      </w:r>
      <w:r>
        <w:rPr>
          <w:rFonts w:hint="eastAsia" w:ascii="仿宋_GB2312" w:hAnsi="仿宋_GB2312" w:eastAsia="仿宋_GB2312" w:cs="仿宋_GB2312"/>
          <w:sz w:val="32"/>
          <w:szCs w:val="32"/>
        </w:rPr>
        <w:t>本办法适用于四川省</w:t>
      </w:r>
      <w:r>
        <w:rPr>
          <w:rFonts w:hint="eastAsia" w:ascii="仿宋_GB2312" w:hAnsi="仿宋_GB2312" w:eastAsia="仿宋_GB2312" w:cs="仿宋_GB2312"/>
          <w:sz w:val="32"/>
          <w:szCs w:val="32"/>
          <w:lang w:eastAsia="zh-CN"/>
        </w:rPr>
        <w:t>河湖长制</w:t>
      </w:r>
      <w:r>
        <w:rPr>
          <w:rFonts w:hint="eastAsia" w:ascii="仿宋_GB2312" w:hAnsi="仿宋_GB2312" w:eastAsia="仿宋_GB2312" w:cs="仿宋_GB2312"/>
          <w:sz w:val="32"/>
          <w:szCs w:val="32"/>
        </w:rPr>
        <w:t>专家的申请、认定和管理</w:t>
      </w:r>
      <w:r>
        <w:rPr>
          <w:rFonts w:hint="eastAsia" w:ascii="仿宋_GB2312" w:hAnsi="仿宋_GB2312" w:eastAsia="仿宋_GB2312" w:cs="仿宋_GB2312"/>
          <w:sz w:val="32"/>
          <w:szCs w:val="32"/>
          <w:lang w:eastAsia="zh-CN"/>
        </w:rPr>
        <w:t>，以及四川省河湖长制专家库的建设、使用和管理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第二章  职责分工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四川省河长制办公室设立四川省河湖长制专家库管理领导小组（以下简称专家库领导小组）</w:t>
      </w:r>
      <w:r>
        <w:rPr>
          <w:rFonts w:hint="eastAsia" w:ascii="仿宋_GB2312" w:hAnsi="仿宋_GB2312" w:eastAsia="仿宋_GB2312" w:cs="仿宋_GB2312"/>
          <w:sz w:val="32"/>
          <w:szCs w:val="32"/>
        </w:rPr>
        <w:t>统筹专家库</w:t>
      </w:r>
      <w:r>
        <w:rPr>
          <w:rFonts w:hint="eastAsia" w:ascii="仿宋_GB2312" w:hAnsi="仿宋_GB2312" w:eastAsia="仿宋_GB2312" w:cs="仿宋_GB2312"/>
          <w:sz w:val="32"/>
          <w:szCs w:val="32"/>
          <w:lang w:val="en-US" w:eastAsia="zh-CN"/>
        </w:rPr>
        <w:t>建设运行和专家使用管理工作。专家库领导小组设组长一名、副组长两名，组长由四川省河长制办公室副主任、四川省河湖保护和监管事务中心（四川省农村水电中心）主任担任，副组长由水利厅河湖管理保护处负责人和省河湖中心分管领导担任；成员由省河湖中心相关处室负责人担任。专家库领导小组下设办公室，办公室设在省河湖中心科技与信息处，具体承担专家的征集和专家库的日常管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第三章  专家入库</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 入库条件。</w:t>
      </w:r>
      <w:r>
        <w:rPr>
          <w:rFonts w:hint="eastAsia" w:ascii="仿宋_GB2312" w:hAnsi="仿宋_GB2312" w:eastAsia="仿宋_GB2312" w:cs="仿宋_GB2312"/>
          <w:sz w:val="32"/>
          <w:szCs w:val="32"/>
          <w:lang w:val="en-US" w:eastAsia="zh-CN"/>
        </w:rPr>
        <w:t>申请入库专家应当具备以下基本条件</w:t>
      </w:r>
      <w:r>
        <w:rPr>
          <w:rFonts w:hint="eastAsia" w:ascii="仿宋_GB2312" w:hAnsi="仿宋_GB2312" w:eastAsia="仿宋_GB2312" w:cs="仿宋_GB2312"/>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政治立场坚定，遵纪守法，作风正派，公正廉洁，具有良好的职业道德。</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eastAsia="zh-CN"/>
        </w:rPr>
        <w:t>河湖长制</w:t>
      </w:r>
      <w:r>
        <w:rPr>
          <w:rFonts w:hint="eastAsia" w:ascii="仿宋_GB2312" w:hAnsi="仿宋_GB2312" w:eastAsia="仿宋_GB2312" w:cs="仿宋_GB2312"/>
          <w:sz w:val="32"/>
          <w:szCs w:val="32"/>
        </w:rPr>
        <w:t>法律、法规、规章及有关政策规定</w:t>
      </w:r>
      <w:r>
        <w:rPr>
          <w:rFonts w:hint="eastAsia" w:ascii="仿宋_GB2312" w:hAnsi="仿宋_GB2312" w:eastAsia="仿宋_GB2312" w:cs="仿宋_GB2312"/>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具有河湖长制相关领域高级技术职称，5年以上相关工作经历；或具有河湖长制相关领域中级技术职称，10年以上相关工作经历。对业务能力特别突出、实践经验特别丰富、急需紧缺的专家，可适当放宽条件限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身体健康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能够胜任工作要求，年龄</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本人能以独立身份参与相关评审咨询和督查考核等工作，</w:t>
      </w:r>
      <w:r>
        <w:rPr>
          <w:rFonts w:hint="eastAsia" w:ascii="仿宋_GB2312" w:hAnsi="仿宋_GB2312" w:eastAsia="仿宋_GB2312" w:cs="仿宋_GB2312"/>
          <w:sz w:val="32"/>
          <w:szCs w:val="32"/>
        </w:rPr>
        <w:t>能够认真、客观、公正、诚实、廉洁地履行职责</w:t>
      </w:r>
      <w:r>
        <w:rPr>
          <w:rFonts w:hint="eastAsia" w:ascii="仿宋_GB2312" w:hAnsi="仿宋_GB2312" w:eastAsia="仿宋_GB2312" w:cs="仿宋_GB2312"/>
          <w:sz w:val="32"/>
          <w:szCs w:val="32"/>
          <w:lang w:val="en-US" w:eastAsia="zh-CN"/>
        </w:rPr>
        <w:t>且自愿遵守本办法各项规定</w:t>
      </w:r>
      <w:r>
        <w:rPr>
          <w:rFonts w:hint="eastAsia" w:ascii="仿宋_GB2312" w:hAnsi="仿宋_GB2312" w:eastAsia="仿宋_GB2312" w:cs="仿宋_GB2312"/>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符合法律、法规规定的其他条件</w:t>
      </w:r>
      <w:r>
        <w:rPr>
          <w:rFonts w:hint="eastAsia" w:ascii="仿宋_GB2312" w:hAnsi="仿宋_GB2312" w:eastAsia="仿宋_GB2312" w:cs="仿宋_GB2312"/>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第六条 入库流程。</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（一）发布公告。</w:t>
      </w:r>
      <w:r>
        <w:rPr>
          <w:rFonts w:hint="eastAsia" w:ascii="仿宋_GB2312" w:hAnsi="仿宋_GB2312" w:eastAsia="仿宋_GB2312" w:cs="仿宋_GB2312"/>
          <w:sz w:val="32"/>
          <w:szCs w:val="32"/>
          <w:lang w:val="en-US" w:eastAsia="zh-CN"/>
        </w:rPr>
        <w:t>四川省河长制办公室发布征集公告。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（二）入库申请。</w:t>
      </w:r>
      <w:r>
        <w:rPr>
          <w:rFonts w:hint="eastAsia" w:ascii="仿宋_GB2312" w:hAnsi="仿宋_GB2312" w:eastAsia="仿宋_GB2312" w:cs="仿宋_GB2312"/>
          <w:sz w:val="32"/>
          <w:szCs w:val="32"/>
          <w:lang w:val="en-US" w:eastAsia="zh-CN"/>
        </w:rPr>
        <w:t>符合入库条件的专家采取</w:t>
      </w:r>
      <w:r>
        <w:rPr>
          <w:rFonts w:hint="eastAsia" w:ascii="仿宋_GB2312" w:hAnsi="仿宋_GB2312" w:eastAsia="仿宋_GB2312" w:cs="仿宋_GB2312"/>
          <w:b/>
          <w:bCs/>
          <w:sz w:val="32"/>
          <w:szCs w:val="32"/>
          <w:lang w:val="en-US" w:eastAsia="zh-CN"/>
        </w:rPr>
        <w:t>单位推荐、专家自荐、定向邀请</w:t>
      </w:r>
      <w:r>
        <w:rPr>
          <w:rFonts w:hint="eastAsia" w:ascii="仿宋_GB2312" w:hAnsi="仿宋_GB2312" w:eastAsia="仿宋_GB2312" w:cs="仿宋_GB2312"/>
          <w:sz w:val="32"/>
          <w:szCs w:val="32"/>
          <w:lang w:val="en-US" w:eastAsia="zh-CN"/>
        </w:rPr>
        <w:t>三种方式申请入库；单位推荐专家由所在单位或主管部门推荐，专家自荐需征得所在单位同意，定向邀请专家由省河长制办公室邀请；申请专家通过四川省河湖长制信息化平台专家库管理系统线上申请，在线提交《四川省河湖长制专家库专家申报表》及相关证明材料(见附件1)申请入库，申请人须对提供材料的真实性、合法性负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（三）资格审查。</w:t>
      </w:r>
      <w:bookmarkStart w:id="0" w:name="_GoBack"/>
      <w:r>
        <w:rPr>
          <w:rFonts w:hint="eastAsia" w:ascii="仿宋_GB2312" w:hAnsi="仿宋_GB2312" w:eastAsia="仿宋_GB2312" w:cs="仿宋_GB2312"/>
          <w:b/>
          <w:bCs/>
          <w:sz w:val="32"/>
          <w:szCs w:val="32"/>
          <w:lang w:val="en-US" w:eastAsia="zh-CN"/>
        </w:rPr>
        <w:t>省直部门推荐的</w:t>
      </w:r>
      <w:r>
        <w:rPr>
          <w:rFonts w:hint="eastAsia" w:ascii="仿宋_GB2312" w:hAnsi="仿宋_GB2312" w:eastAsia="仿宋_GB2312" w:cs="仿宋_GB2312"/>
          <w:sz w:val="32"/>
          <w:szCs w:val="32"/>
          <w:lang w:val="en-US" w:eastAsia="zh-CN"/>
        </w:rPr>
        <w:t>专家申请材料由</w:t>
      </w:r>
      <w:r>
        <w:rPr>
          <w:rFonts w:hint="eastAsia" w:ascii="仿宋_GB2312" w:hAnsi="仿宋_GB2312" w:eastAsia="仿宋_GB2312" w:cs="仿宋_GB2312"/>
          <w:b/>
          <w:bCs/>
          <w:sz w:val="32"/>
          <w:szCs w:val="32"/>
          <w:lang w:val="en-US" w:eastAsia="zh-CN"/>
        </w:rPr>
        <w:t>专家库领导小组办公室进行审核；</w:t>
      </w:r>
      <w:r>
        <w:rPr>
          <w:rFonts w:hint="eastAsia" w:ascii="仿宋_GB2312" w:hAnsi="仿宋_GB2312" w:eastAsia="仿宋_GB2312" w:cs="仿宋_GB2312"/>
          <w:sz w:val="32"/>
          <w:szCs w:val="32"/>
          <w:lang w:val="en-US" w:eastAsia="zh-CN"/>
        </w:rPr>
        <w:t>其他专家的申请材料，</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b/>
          <w:bCs/>
          <w:sz w:val="32"/>
          <w:szCs w:val="32"/>
          <w:lang w:val="en-US" w:eastAsia="zh-CN"/>
        </w:rPr>
        <w:t>专家常驻地的市河长制办公室组织预审后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b/>
          <w:bCs/>
          <w:sz w:val="32"/>
          <w:szCs w:val="32"/>
          <w:lang w:val="en-US" w:eastAsia="zh-CN"/>
        </w:rPr>
        <w:t>专家库领导小组办公室审核</w:t>
      </w:r>
      <w:r>
        <w:rPr>
          <w:rFonts w:hint="eastAsia" w:ascii="仿宋_GB2312" w:hAnsi="仿宋_GB2312" w:eastAsia="仿宋_GB2312" w:cs="仿宋_GB2312"/>
          <w:sz w:val="32"/>
          <w:szCs w:val="32"/>
          <w:lang w:val="en-US" w:eastAsia="zh-CN"/>
        </w:rPr>
        <w:t>，统一提交</w:t>
      </w:r>
      <w:r>
        <w:rPr>
          <w:rFonts w:hint="eastAsia" w:ascii="仿宋_GB2312" w:hAnsi="仿宋_GB2312" w:eastAsia="仿宋_GB2312" w:cs="仿宋_GB2312"/>
          <w:b/>
          <w:bCs/>
          <w:sz w:val="32"/>
          <w:szCs w:val="32"/>
          <w:lang w:val="en-US" w:eastAsia="zh-CN"/>
        </w:rPr>
        <w:t>专家库领导小组进行资格认定</w:t>
      </w:r>
      <w:r>
        <w:rPr>
          <w:rFonts w:hint="eastAsia" w:ascii="仿宋_GB2312" w:hAnsi="仿宋_GB2312" w:eastAsia="仿宋_GB2312" w:cs="仿宋_GB2312"/>
          <w:sz w:val="32"/>
          <w:szCs w:val="32"/>
          <w:lang w:val="en-US" w:eastAsia="zh-CN"/>
        </w:rPr>
        <w:t>。</w:t>
      </w:r>
    </w:p>
    <w:bookmarkEnd w:id="0"/>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（四）考试入库。</w:t>
      </w:r>
      <w:r>
        <w:rPr>
          <w:rFonts w:hint="eastAsia" w:ascii="仿宋_GB2312" w:hAnsi="仿宋_GB2312" w:eastAsia="仿宋_GB2312" w:cs="仿宋_GB2312"/>
          <w:sz w:val="32"/>
          <w:szCs w:val="32"/>
          <w:lang w:val="en-US" w:eastAsia="zh-CN"/>
        </w:rPr>
        <w:t>审核通过人员需参加四川省河长制办公室组织的考试，考试合格，统一编码入库，进行统一管理,每期三年。专家库成员应当积极了解学习河湖长制相关政策，不断提高政治素质和业务工作能力。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第四章  专家库管理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 分类管理。</w:t>
      </w:r>
      <w:r>
        <w:rPr>
          <w:rFonts w:hint="eastAsia" w:ascii="仿宋_GB2312" w:hAnsi="仿宋_GB2312" w:eastAsia="仿宋_GB2312" w:cs="仿宋_GB2312"/>
          <w:sz w:val="32"/>
          <w:szCs w:val="32"/>
          <w:lang w:val="en-US" w:eastAsia="zh-CN"/>
        </w:rPr>
        <w:t>专家库专家分为河湖长制领域</w:t>
      </w:r>
      <w:r>
        <w:rPr>
          <w:rFonts w:hint="eastAsia" w:ascii="仿宋_GB2312" w:hAnsi="仿宋_GB2312" w:eastAsia="仿宋_GB2312" w:cs="仿宋_GB2312"/>
          <w:b/>
          <w:bCs/>
          <w:sz w:val="32"/>
          <w:szCs w:val="32"/>
          <w:lang w:val="en-US" w:eastAsia="zh-CN"/>
        </w:rPr>
        <w:t>评审咨询类、督查考核类</w:t>
      </w:r>
      <w:r>
        <w:rPr>
          <w:rFonts w:hint="eastAsia" w:ascii="仿宋_GB2312" w:hAnsi="仿宋_GB2312" w:eastAsia="仿宋_GB2312" w:cs="仿宋_GB2312"/>
          <w:sz w:val="32"/>
          <w:szCs w:val="32"/>
          <w:lang w:val="en-US" w:eastAsia="zh-CN"/>
        </w:rPr>
        <w:t>两类，可申报两类。专家同时按照专业领域和工作方向细分管理，可申报多个工作方向。</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 信息化管理。</w:t>
      </w:r>
      <w:r>
        <w:rPr>
          <w:rFonts w:hint="eastAsia" w:ascii="仿宋_GB2312" w:hAnsi="仿宋_GB2312" w:eastAsia="仿宋_GB2312" w:cs="仿宋_GB2312"/>
          <w:sz w:val="32"/>
          <w:szCs w:val="32"/>
          <w:lang w:val="en-US" w:eastAsia="zh-CN"/>
        </w:rPr>
        <w:t>专家库管理主要依托专家库管理系统，对库内专家实行编码管理，办理数字证书,用于身份识别和电子签名。专家入库、专家管理、专家选取、专家考核等均在线上平台进行。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 动态管理。</w:t>
      </w:r>
      <w:r>
        <w:rPr>
          <w:rFonts w:hint="eastAsia" w:ascii="仿宋_GB2312" w:hAnsi="仿宋_GB2312" w:eastAsia="仿宋_GB2312" w:cs="仿宋_GB2312"/>
          <w:sz w:val="32"/>
          <w:szCs w:val="32"/>
          <w:lang w:val="en-US" w:eastAsia="zh-CN"/>
        </w:rPr>
        <w:t>专家库按期更新、定期审查，专家库领导小组根据考核结果、监督管理情况及工作需要调整更新专家库。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第五章  专家库使用及响应</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 专家库使用方式。</w:t>
      </w:r>
      <w:r>
        <w:rPr>
          <w:rFonts w:hint="eastAsia" w:ascii="仿宋_GB2312" w:hAnsi="仿宋_GB2312" w:eastAsia="仿宋_GB2312" w:cs="仿宋_GB2312"/>
          <w:sz w:val="32"/>
          <w:szCs w:val="32"/>
          <w:lang w:val="en-US" w:eastAsia="zh-CN"/>
        </w:rPr>
        <w:t>根据相关规定和工作实际，</w:t>
      </w:r>
      <w:r>
        <w:rPr>
          <w:rFonts w:hint="eastAsia" w:ascii="仿宋_GB2312" w:hAnsi="仿宋_GB2312" w:eastAsia="仿宋_GB2312" w:cs="仿宋_GB2312"/>
          <w:sz w:val="32"/>
          <w:szCs w:val="32"/>
        </w:rPr>
        <w:t>四川省</w:t>
      </w:r>
      <w:r>
        <w:rPr>
          <w:rFonts w:hint="eastAsia" w:ascii="仿宋_GB2312" w:hAnsi="仿宋_GB2312" w:eastAsia="仿宋_GB2312" w:cs="仿宋_GB2312"/>
          <w:sz w:val="32"/>
          <w:szCs w:val="32"/>
          <w:lang w:val="en-US" w:eastAsia="zh-CN"/>
        </w:rPr>
        <w:t>各级河湖长制相关工作中，需</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参与评审咨询和督查考核等工作时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由各级河长制办公室按照区域性、专业性、规范性和公平性的原则，进行线上</w:t>
      </w:r>
      <w:r>
        <w:rPr>
          <w:rFonts w:hint="eastAsia" w:ascii="仿宋_GB2312" w:hAnsi="仿宋_GB2312" w:eastAsia="仿宋_GB2312" w:cs="仿宋_GB2312"/>
          <w:b/>
          <w:bCs/>
          <w:sz w:val="32"/>
          <w:szCs w:val="32"/>
          <w:lang w:val="en-US" w:eastAsia="zh-CN"/>
        </w:rPr>
        <w:t>随机抽取；</w:t>
      </w:r>
      <w:r>
        <w:rPr>
          <w:rFonts w:hint="eastAsia" w:ascii="仿宋_GB2312" w:hAnsi="仿宋_GB2312" w:eastAsia="仿宋_GB2312" w:cs="仿宋_GB2312"/>
          <w:sz w:val="32"/>
          <w:szCs w:val="32"/>
          <w:lang w:val="en-US" w:eastAsia="zh-CN"/>
        </w:rPr>
        <w:t>因随机抽取方式不能满足评审咨询或督查考核等工作需要的，可对专家进行</w:t>
      </w:r>
      <w:r>
        <w:rPr>
          <w:rFonts w:hint="eastAsia" w:ascii="仿宋_GB2312" w:hAnsi="仿宋_GB2312" w:eastAsia="仿宋_GB2312" w:cs="仿宋_GB2312"/>
          <w:b/>
          <w:bCs/>
          <w:sz w:val="32"/>
          <w:szCs w:val="32"/>
          <w:lang w:val="en-US" w:eastAsia="zh-CN"/>
        </w:rPr>
        <w:t>针对性选取，</w:t>
      </w:r>
      <w:r>
        <w:rPr>
          <w:rFonts w:hint="eastAsia" w:ascii="仿宋_GB2312" w:hAnsi="仿宋_GB2312" w:eastAsia="仿宋_GB2312" w:cs="仿宋_GB2312"/>
          <w:sz w:val="32"/>
          <w:szCs w:val="32"/>
          <w:lang w:val="en-US" w:eastAsia="zh-CN"/>
        </w:rPr>
        <w:t>并报专家库领导小组办公室备案；对技术复杂、专业性很强的重大工作,专家库内暂无合适专家的，经专家库领导小组同意,可以自行选定库外专家。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 专家响应情况。</w:t>
      </w:r>
      <w:r>
        <w:rPr>
          <w:rFonts w:hint="eastAsia" w:ascii="仿宋_GB2312" w:hAnsi="仿宋_GB2312" w:eastAsia="仿宋_GB2312" w:cs="仿宋_GB2312"/>
          <w:sz w:val="32"/>
          <w:szCs w:val="32"/>
          <w:lang w:val="en-US" w:eastAsia="zh-CN"/>
        </w:rPr>
        <w:t>专家响应情况作为对专家考评、动态管理的重要依据。除特殊情况外，专家使用单位（部门）原则上应在评审咨询和督查考核等工作开始前2个工作日进行专家随机抽取，专家应在收到通知后进行回复。一年内拒绝参加河湖长制工作次数超过三次的且无正当理由的,自动出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第六章  专家权利和义务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 专家权利。</w:t>
      </w:r>
      <w:r>
        <w:rPr>
          <w:rFonts w:hint="eastAsia" w:ascii="仿宋_GB2312" w:hAnsi="仿宋_GB2312" w:eastAsia="仿宋_GB2312" w:cs="仿宋_GB2312"/>
          <w:sz w:val="32"/>
          <w:szCs w:val="32"/>
          <w:lang w:val="en-US" w:eastAsia="zh-CN"/>
        </w:rPr>
        <w:t>在评审咨询和督查考核等工作中，专家享有查阅资料、独立开展评审并发表专家意见，按规定获得相应评审劳务报酬，抵制、检举、揭发评审咨询和督查考核等工作中违规违纪违法行为，以及法律法规规定的其他权利。</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 专家义务。</w:t>
      </w:r>
      <w:r>
        <w:rPr>
          <w:rFonts w:hint="eastAsia" w:ascii="仿宋_GB2312" w:hAnsi="仿宋_GB2312" w:eastAsia="仿宋_GB2312" w:cs="仿宋_GB2312"/>
          <w:sz w:val="32"/>
          <w:szCs w:val="32"/>
          <w:lang w:val="en-US" w:eastAsia="zh-CN"/>
        </w:rPr>
        <w:t>在评审咨询和督查考核等工作中，专家负有严格遵守法律法规，坚持原则、客观公正地按时按要求完成受托任务，加强学习、及时掌握行业动向、完善知识储备，自觉遵守工作纪律、保密制度、回避制度和监督管理制度，不得私下联络利益方，不得索取或接受不正当的财物或利益，不得以专家库专家名义为自身或者其他第三方谋取不正当利益等义务,以及其他应履行的义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 专家咨询费。</w:t>
      </w:r>
      <w:r>
        <w:rPr>
          <w:rFonts w:hint="eastAsia" w:ascii="仿宋_GB2312" w:hAnsi="仿宋_GB2312" w:eastAsia="仿宋_GB2312" w:cs="仿宋_GB2312"/>
          <w:sz w:val="32"/>
          <w:szCs w:val="32"/>
          <w:lang w:val="en-US" w:eastAsia="zh-CN"/>
        </w:rPr>
        <w:t>专家使用单位（部门）应当按照国家有关规定支付专家咨询费，并按相关规定申报纳税。因工作需要，需专家赴异地工作的，由此产生的专家交通费、住宿费等按照财务有关规定报销。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第七章  专家库监督及考核</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第十五条 监督管理。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（一）纪委监督。</w:t>
      </w:r>
      <w:r>
        <w:rPr>
          <w:rFonts w:hint="eastAsia" w:ascii="仿宋_GB2312" w:hAnsi="仿宋_GB2312" w:eastAsia="仿宋_GB2312" w:cs="仿宋_GB2312"/>
          <w:sz w:val="32"/>
          <w:szCs w:val="32"/>
          <w:lang w:val="en-US" w:eastAsia="zh-CN"/>
        </w:rPr>
        <w:t>专家抽取、评审等过程在系统内全程留痕，做到可查询、可追溯，接受使用单位（部门）纪委监督。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（二）过程监督。</w:t>
      </w:r>
      <w:r>
        <w:rPr>
          <w:rFonts w:hint="eastAsia" w:ascii="仿宋_GB2312" w:hAnsi="仿宋_GB2312" w:eastAsia="仿宋_GB2312" w:cs="仿宋_GB2312"/>
          <w:sz w:val="32"/>
          <w:szCs w:val="32"/>
          <w:lang w:val="en-US" w:eastAsia="zh-CN"/>
        </w:rPr>
        <w:t>使用单位（部门）负责专家履职过程监督。专家报到时，对照专家抽取登记表验明专家身份；工作中发现的违规违纪违法问题线索应及时反馈专家库领导小组办公室。</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（三）社会监督。</w:t>
      </w:r>
      <w:r>
        <w:rPr>
          <w:rFonts w:hint="eastAsia" w:ascii="仿宋_GB2312" w:hAnsi="仿宋_GB2312" w:eastAsia="仿宋_GB2312" w:cs="仿宋_GB2312"/>
          <w:sz w:val="32"/>
          <w:szCs w:val="32"/>
          <w:lang w:val="en-US" w:eastAsia="zh-CN"/>
        </w:rPr>
        <w:t>专家库领导小组办公室设立投诉、举报信箱，接收专家使用过程中的各类问题线索举报。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库领导小组办公室在收到线索举报后，立即停止涉事专家使用，并会同有关单位（部门），开展专家履职过程中问题线索的调查，对涉嫌违纪违法问题按有关规定移交有关部门进行处理，核实情况属实，移除专家库；核实情况不属实，对专家重新启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第十六条 专家考核。</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（一）日常考核。</w:t>
      </w:r>
      <w:r>
        <w:rPr>
          <w:rFonts w:hint="eastAsia" w:ascii="仿宋_GB2312" w:hAnsi="仿宋_GB2312" w:eastAsia="仿宋_GB2312" w:cs="仿宋_GB2312"/>
          <w:sz w:val="32"/>
          <w:szCs w:val="32"/>
          <w:lang w:val="en-US" w:eastAsia="zh-CN"/>
        </w:rPr>
        <w:t>专家使用单位（部门）应在工作结束5个工作日内，对专家参与工作情况进行线上考核，考核内容主要为本次工作履职情况和专家响应情况。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（二）任期考核。</w:t>
      </w:r>
      <w:r>
        <w:rPr>
          <w:rFonts w:hint="eastAsia" w:ascii="仿宋_GB2312" w:hAnsi="仿宋_GB2312" w:eastAsia="仿宋_GB2312" w:cs="仿宋_GB2312"/>
          <w:sz w:val="32"/>
          <w:szCs w:val="32"/>
          <w:lang w:val="en-US" w:eastAsia="zh-CN"/>
        </w:rPr>
        <w:t>专家库领导小组办公室根据使用单位（部门）的日常考核和监督管理情况，对任期内参与河湖长制相关工作的专家进行任期考核，考核结果报专家库领导小组审定，考核等级分为</w:t>
      </w:r>
      <w:r>
        <w:rPr>
          <w:rFonts w:hint="eastAsia" w:ascii="仿宋_GB2312" w:hAnsi="仿宋_GB2312" w:eastAsia="仿宋_GB2312" w:cs="仿宋_GB2312"/>
          <w:b/>
          <w:bCs/>
          <w:sz w:val="32"/>
          <w:szCs w:val="32"/>
          <w:lang w:val="en-US" w:eastAsia="zh-CN"/>
        </w:rPr>
        <w:t>优秀、良好、及格、不及格</w:t>
      </w:r>
      <w:r>
        <w:rPr>
          <w:rFonts w:hint="eastAsia" w:ascii="仿宋_GB2312" w:hAnsi="仿宋_GB2312" w:eastAsia="仿宋_GB2312" w:cs="仿宋_GB2312"/>
          <w:sz w:val="32"/>
          <w:szCs w:val="32"/>
          <w:lang w:val="en-US" w:eastAsia="zh-CN"/>
        </w:rPr>
        <w:t>四个级别。对任期内工作业绩突出的专家，四川省河长制办公室可予以表扬；对考核等级为不及格的专家移除专家库。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 w:val="0"/>
          <w:bCs w:val="0"/>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第八章  附则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本办法自发布之日起施行，《四川省河湖长制暗访督查专家管理办法》（川河长制办函〔2021〕104号）即行废止。暗访督查在库专家，须按照本办法规定重新填报信息入库。</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本办法由省河长制办公室负责解释。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 w:hAnsi="仿宋" w:eastAsia="仿宋" w:cs="仿宋"/>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附件:四川省河湖长制专家库专家入库申报表</w:t>
      </w:r>
    </w:p>
    <w:p>
      <w:pPr>
        <w:rPr>
          <w:rFonts w:hint="eastAsia" w:ascii="仿宋" w:hAnsi="仿宋" w:eastAsia="仿宋" w:cs="仿宋"/>
        </w:rPr>
      </w:pPr>
      <w:r>
        <w:rPr>
          <w:rFonts w:hint="eastAsia" w:ascii="仿宋" w:hAnsi="仿宋" w:eastAsia="仿宋" w:cs="仿宋"/>
        </w:rPr>
        <w:br w:type="page"/>
      </w:r>
    </w:p>
    <w:p>
      <w:pPr>
        <w:spacing w:before="101" w:line="230" w:lineRule="auto"/>
        <w:ind w:left="30"/>
        <w:rPr>
          <w:rFonts w:ascii="黑体" w:hAnsi="黑体" w:eastAsia="黑体" w:cs="黑体"/>
          <w:sz w:val="31"/>
          <w:szCs w:val="31"/>
        </w:rPr>
      </w:pPr>
      <w:r>
        <w:rPr>
          <w:rFonts w:ascii="黑体" w:hAnsi="黑体" w:eastAsia="黑体" w:cs="黑体"/>
          <w:spacing w:val="-6"/>
          <w:sz w:val="31"/>
          <w:szCs w:val="31"/>
        </w:rPr>
        <w:t>附件</w:t>
      </w:r>
    </w:p>
    <w:p>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四川省河湖长制专家库</w:t>
      </w:r>
    </w:p>
    <w:p>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专家入库申报表</w:t>
      </w:r>
    </w:p>
    <w:p/>
    <w:p>
      <w:pPr>
        <w:spacing w:line="209" w:lineRule="exact"/>
      </w:pPr>
    </w:p>
    <w:tbl>
      <w:tblPr>
        <w:tblStyle w:val="19"/>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1299"/>
        <w:gridCol w:w="458"/>
        <w:gridCol w:w="275"/>
        <w:gridCol w:w="1149"/>
        <w:gridCol w:w="1160"/>
        <w:gridCol w:w="1624"/>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1097" w:type="dxa"/>
            <w:vAlign w:val="top"/>
          </w:tcPr>
          <w:p>
            <w:pPr>
              <w:spacing w:before="89" w:line="218" w:lineRule="auto"/>
              <w:ind w:left="114"/>
              <w:rPr>
                <w:rFonts w:ascii="黑体" w:hAnsi="黑体" w:eastAsia="黑体" w:cs="黑体"/>
                <w:sz w:val="22"/>
                <w:szCs w:val="22"/>
              </w:rPr>
            </w:pPr>
            <w:r>
              <w:rPr>
                <w:rFonts w:ascii="黑体" w:hAnsi="黑体" w:eastAsia="黑体" w:cs="黑体"/>
                <w:spacing w:val="1"/>
                <w:sz w:val="22"/>
                <w:szCs w:val="22"/>
              </w:rPr>
              <w:t>姓</w:t>
            </w:r>
            <w:r>
              <w:rPr>
                <w:rFonts w:ascii="黑体" w:hAnsi="黑体" w:eastAsia="黑体" w:cs="黑体"/>
                <w:sz w:val="22"/>
                <w:szCs w:val="22"/>
              </w:rPr>
              <w:t xml:space="preserve">    名</w:t>
            </w:r>
          </w:p>
        </w:tc>
        <w:tc>
          <w:tcPr>
            <w:tcW w:w="1299" w:type="dxa"/>
            <w:vAlign w:val="top"/>
          </w:tcPr>
          <w:p>
            <w:pPr>
              <w:rPr>
                <w:rFonts w:ascii="Arial"/>
                <w:sz w:val="21"/>
              </w:rPr>
            </w:pPr>
          </w:p>
        </w:tc>
        <w:tc>
          <w:tcPr>
            <w:tcW w:w="733" w:type="dxa"/>
            <w:gridSpan w:val="2"/>
            <w:vAlign w:val="top"/>
          </w:tcPr>
          <w:p>
            <w:pPr>
              <w:spacing w:before="89" w:line="218" w:lineRule="auto"/>
              <w:ind w:left="97"/>
              <w:rPr>
                <w:rFonts w:ascii="黑体" w:hAnsi="黑体" w:eastAsia="黑体" w:cs="黑体"/>
                <w:sz w:val="22"/>
                <w:szCs w:val="22"/>
              </w:rPr>
            </w:pPr>
            <w:r>
              <w:rPr>
                <w:rFonts w:ascii="黑体" w:hAnsi="黑体" w:eastAsia="黑体" w:cs="黑体"/>
                <w:spacing w:val="-1"/>
                <w:sz w:val="22"/>
                <w:szCs w:val="22"/>
              </w:rPr>
              <w:t xml:space="preserve">性 </w:t>
            </w:r>
            <w:r>
              <w:rPr>
                <w:rFonts w:ascii="黑体" w:hAnsi="黑体" w:eastAsia="黑体" w:cs="黑体"/>
                <w:sz w:val="22"/>
                <w:szCs w:val="22"/>
              </w:rPr>
              <w:t>别</w:t>
            </w:r>
          </w:p>
        </w:tc>
        <w:tc>
          <w:tcPr>
            <w:tcW w:w="1149" w:type="dxa"/>
            <w:vAlign w:val="top"/>
          </w:tcPr>
          <w:p>
            <w:pPr>
              <w:rPr>
                <w:rFonts w:ascii="Arial"/>
                <w:sz w:val="21"/>
              </w:rPr>
            </w:pPr>
          </w:p>
        </w:tc>
        <w:tc>
          <w:tcPr>
            <w:tcW w:w="1160" w:type="dxa"/>
            <w:vAlign w:val="top"/>
          </w:tcPr>
          <w:p>
            <w:pPr>
              <w:spacing w:before="89" w:line="218" w:lineRule="auto"/>
              <w:ind w:left="160"/>
              <w:rPr>
                <w:rFonts w:hint="default" w:ascii="黑体" w:hAnsi="黑体" w:eastAsia="黑体" w:cs="黑体"/>
                <w:sz w:val="22"/>
                <w:szCs w:val="22"/>
                <w:lang w:val="en-US" w:eastAsia="zh-CN"/>
              </w:rPr>
            </w:pPr>
            <w:r>
              <w:rPr>
                <w:rFonts w:hint="eastAsia" w:ascii="黑体" w:hAnsi="黑体" w:eastAsia="黑体" w:cs="黑体"/>
                <w:sz w:val="22"/>
                <w:szCs w:val="22"/>
                <w:lang w:val="en-US" w:eastAsia="zh-CN"/>
              </w:rPr>
              <w:t>民    族</w:t>
            </w:r>
          </w:p>
        </w:tc>
        <w:tc>
          <w:tcPr>
            <w:tcW w:w="1624" w:type="dxa"/>
            <w:vAlign w:val="top"/>
          </w:tcPr>
          <w:p>
            <w:pPr>
              <w:rPr>
                <w:rFonts w:ascii="Arial"/>
                <w:sz w:val="21"/>
              </w:rPr>
            </w:pPr>
          </w:p>
        </w:tc>
        <w:tc>
          <w:tcPr>
            <w:tcW w:w="1776" w:type="dxa"/>
            <w:vMerge w:val="restart"/>
            <w:tcBorders>
              <w:bottom w:val="nil"/>
            </w:tcBorders>
            <w:vAlign w:val="top"/>
          </w:tcPr>
          <w:p>
            <w:pPr>
              <w:spacing w:line="280" w:lineRule="auto"/>
              <w:rPr>
                <w:rFonts w:ascii="Arial"/>
                <w:sz w:val="21"/>
              </w:rPr>
            </w:pPr>
          </w:p>
          <w:p>
            <w:pPr>
              <w:spacing w:line="281" w:lineRule="auto"/>
              <w:rPr>
                <w:rFonts w:ascii="Arial"/>
                <w:sz w:val="21"/>
              </w:rPr>
            </w:pPr>
          </w:p>
          <w:p>
            <w:pPr>
              <w:spacing w:before="71" w:line="223" w:lineRule="auto"/>
              <w:ind w:left="234"/>
              <w:rPr>
                <w:rFonts w:ascii="黑体" w:hAnsi="黑体" w:eastAsia="黑体" w:cs="黑体"/>
                <w:sz w:val="22"/>
                <w:szCs w:val="22"/>
              </w:rPr>
            </w:pPr>
            <w:r>
              <w:rPr>
                <w:rFonts w:ascii="黑体" w:hAnsi="黑体" w:eastAsia="黑体" w:cs="黑体"/>
                <w:spacing w:val="-2"/>
                <w:sz w:val="22"/>
                <w:szCs w:val="22"/>
              </w:rPr>
              <w:t>本人</w:t>
            </w:r>
            <w:r>
              <w:rPr>
                <w:rFonts w:ascii="黑体" w:hAnsi="黑体" w:eastAsia="黑体" w:cs="黑体"/>
                <w:spacing w:val="-1"/>
                <w:sz w:val="22"/>
                <w:szCs w:val="22"/>
              </w:rPr>
              <w:t>二寸照片</w:t>
            </w:r>
          </w:p>
          <w:p>
            <w:pPr>
              <w:spacing w:line="338" w:lineRule="auto"/>
              <w:rPr>
                <w:rFonts w:ascii="Arial"/>
                <w:sz w:val="21"/>
              </w:rPr>
            </w:pPr>
          </w:p>
          <w:p>
            <w:pPr>
              <w:spacing w:before="72" w:line="299" w:lineRule="auto"/>
              <w:ind w:left="341" w:right="170" w:hanging="256"/>
              <w:rPr>
                <w:rFonts w:ascii="黑体" w:hAnsi="黑体" w:eastAsia="黑体" w:cs="黑体"/>
                <w:sz w:val="22"/>
                <w:szCs w:val="22"/>
              </w:rPr>
            </w:pPr>
            <w:r>
              <w:rPr>
                <w:rFonts w:ascii="黑体" w:hAnsi="黑体" w:eastAsia="黑体" w:cs="黑体"/>
                <w:spacing w:val="12"/>
                <w:sz w:val="22"/>
                <w:szCs w:val="22"/>
              </w:rPr>
              <w:t>(注：电子版也</w:t>
            </w:r>
            <w:r>
              <w:rPr>
                <w:rFonts w:ascii="黑体" w:hAnsi="黑体" w:eastAsia="黑体" w:cs="黑体"/>
                <w:sz w:val="22"/>
                <w:szCs w:val="22"/>
              </w:rPr>
              <w:t xml:space="preserve"> </w:t>
            </w:r>
            <w:r>
              <w:rPr>
                <w:rFonts w:ascii="黑体" w:hAnsi="黑体" w:eastAsia="黑体" w:cs="黑体"/>
                <w:spacing w:val="-2"/>
                <w:sz w:val="22"/>
                <w:szCs w:val="22"/>
              </w:rPr>
              <w:t>要</w:t>
            </w:r>
            <w:r>
              <w:rPr>
                <w:rFonts w:ascii="黑体" w:hAnsi="黑体" w:eastAsia="黑体" w:cs="黑体"/>
                <w:spacing w:val="-1"/>
                <w:sz w:val="22"/>
                <w:szCs w:val="22"/>
              </w:rPr>
              <w:t>有照片)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097" w:type="dxa"/>
            <w:vAlign w:val="top"/>
          </w:tcPr>
          <w:p>
            <w:pPr>
              <w:spacing w:before="82" w:line="220" w:lineRule="auto"/>
              <w:ind w:left="129"/>
              <w:rPr>
                <w:rFonts w:ascii="黑体" w:hAnsi="黑体" w:eastAsia="黑体" w:cs="黑体"/>
                <w:sz w:val="22"/>
                <w:szCs w:val="22"/>
              </w:rPr>
            </w:pPr>
            <w:r>
              <w:rPr>
                <w:rFonts w:ascii="黑体" w:hAnsi="黑体" w:eastAsia="黑体" w:cs="黑体"/>
                <w:spacing w:val="-8"/>
                <w:sz w:val="22"/>
                <w:szCs w:val="22"/>
              </w:rPr>
              <w:t>出</w:t>
            </w:r>
            <w:r>
              <w:rPr>
                <w:rFonts w:ascii="黑体" w:hAnsi="黑体" w:eastAsia="黑体" w:cs="黑体"/>
                <w:spacing w:val="-5"/>
                <w:sz w:val="22"/>
                <w:szCs w:val="22"/>
              </w:rPr>
              <w:t>生日期</w:t>
            </w:r>
          </w:p>
        </w:tc>
        <w:tc>
          <w:tcPr>
            <w:tcW w:w="1299" w:type="dxa"/>
            <w:vAlign w:val="top"/>
          </w:tcPr>
          <w:p>
            <w:pPr>
              <w:rPr>
                <w:rFonts w:ascii="Arial"/>
                <w:sz w:val="21"/>
              </w:rPr>
            </w:pPr>
          </w:p>
        </w:tc>
        <w:tc>
          <w:tcPr>
            <w:tcW w:w="733" w:type="dxa"/>
            <w:gridSpan w:val="2"/>
            <w:vAlign w:val="top"/>
          </w:tcPr>
          <w:p>
            <w:pPr>
              <w:spacing w:before="82" w:line="220" w:lineRule="auto"/>
              <w:ind w:left="97"/>
              <w:rPr>
                <w:rFonts w:ascii="黑体" w:hAnsi="黑体" w:eastAsia="黑体" w:cs="黑体"/>
                <w:sz w:val="22"/>
                <w:szCs w:val="22"/>
              </w:rPr>
            </w:pPr>
            <w:r>
              <w:rPr>
                <w:rFonts w:ascii="黑体" w:hAnsi="黑体" w:eastAsia="黑体" w:cs="黑体"/>
                <w:spacing w:val="-1"/>
                <w:sz w:val="22"/>
                <w:szCs w:val="22"/>
              </w:rPr>
              <w:t xml:space="preserve">年 </w:t>
            </w:r>
            <w:r>
              <w:rPr>
                <w:rFonts w:ascii="黑体" w:hAnsi="黑体" w:eastAsia="黑体" w:cs="黑体"/>
                <w:sz w:val="22"/>
                <w:szCs w:val="22"/>
              </w:rPr>
              <w:t>龄</w:t>
            </w:r>
          </w:p>
        </w:tc>
        <w:tc>
          <w:tcPr>
            <w:tcW w:w="1149" w:type="dxa"/>
            <w:vAlign w:val="top"/>
          </w:tcPr>
          <w:p>
            <w:pPr>
              <w:rPr>
                <w:rFonts w:ascii="Arial"/>
                <w:sz w:val="21"/>
              </w:rPr>
            </w:pPr>
          </w:p>
        </w:tc>
        <w:tc>
          <w:tcPr>
            <w:tcW w:w="1160" w:type="dxa"/>
            <w:vAlign w:val="top"/>
          </w:tcPr>
          <w:p>
            <w:pPr>
              <w:spacing w:before="82" w:line="220" w:lineRule="auto"/>
              <w:ind w:left="147"/>
              <w:rPr>
                <w:rFonts w:ascii="黑体" w:hAnsi="黑体" w:eastAsia="黑体" w:cs="黑体"/>
                <w:sz w:val="22"/>
                <w:szCs w:val="22"/>
              </w:rPr>
            </w:pPr>
            <w:r>
              <w:rPr>
                <w:rFonts w:ascii="黑体" w:hAnsi="黑体" w:eastAsia="黑体" w:cs="黑体"/>
                <w:spacing w:val="-2"/>
                <w:sz w:val="22"/>
                <w:szCs w:val="22"/>
              </w:rPr>
              <w:t>技术职称</w:t>
            </w:r>
          </w:p>
        </w:tc>
        <w:tc>
          <w:tcPr>
            <w:tcW w:w="1624" w:type="dxa"/>
            <w:vAlign w:val="top"/>
          </w:tcPr>
          <w:p>
            <w:pPr>
              <w:rPr>
                <w:rFonts w:ascii="Arial"/>
                <w:sz w:val="21"/>
              </w:rPr>
            </w:pPr>
          </w:p>
        </w:tc>
        <w:tc>
          <w:tcPr>
            <w:tcW w:w="177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1097" w:type="dxa"/>
            <w:vAlign w:val="top"/>
          </w:tcPr>
          <w:p>
            <w:pPr>
              <w:spacing w:before="103" w:line="222" w:lineRule="auto"/>
              <w:ind w:left="115"/>
              <w:rPr>
                <w:rFonts w:ascii="黑体" w:hAnsi="黑体" w:eastAsia="黑体" w:cs="黑体"/>
                <w:sz w:val="22"/>
                <w:szCs w:val="22"/>
              </w:rPr>
            </w:pPr>
            <w:r>
              <w:rPr>
                <w:rFonts w:ascii="黑体" w:hAnsi="黑体" w:eastAsia="黑体" w:cs="黑体"/>
                <w:spacing w:val="-3"/>
                <w:sz w:val="22"/>
                <w:szCs w:val="22"/>
              </w:rPr>
              <w:t>工</w:t>
            </w:r>
            <w:r>
              <w:rPr>
                <w:rFonts w:ascii="黑体" w:hAnsi="黑体" w:eastAsia="黑体" w:cs="黑体"/>
                <w:spacing w:val="-2"/>
                <w:sz w:val="22"/>
                <w:szCs w:val="22"/>
              </w:rPr>
              <w:t>作单位</w:t>
            </w:r>
          </w:p>
        </w:tc>
        <w:tc>
          <w:tcPr>
            <w:tcW w:w="3181" w:type="dxa"/>
            <w:gridSpan w:val="4"/>
            <w:vAlign w:val="top"/>
          </w:tcPr>
          <w:p>
            <w:pPr>
              <w:rPr>
                <w:rFonts w:ascii="Arial"/>
                <w:sz w:val="21"/>
              </w:rPr>
            </w:pPr>
          </w:p>
        </w:tc>
        <w:tc>
          <w:tcPr>
            <w:tcW w:w="1160" w:type="dxa"/>
            <w:vAlign w:val="top"/>
          </w:tcPr>
          <w:p>
            <w:pPr>
              <w:spacing w:before="102" w:line="222" w:lineRule="auto"/>
              <w:ind w:left="147"/>
              <w:rPr>
                <w:rFonts w:ascii="黑体" w:hAnsi="黑体" w:eastAsia="黑体" w:cs="黑体"/>
                <w:sz w:val="22"/>
                <w:szCs w:val="22"/>
              </w:rPr>
            </w:pPr>
            <w:r>
              <w:rPr>
                <w:rFonts w:ascii="黑体" w:hAnsi="黑体" w:eastAsia="黑体" w:cs="黑体"/>
                <w:spacing w:val="-2"/>
                <w:sz w:val="22"/>
                <w:szCs w:val="22"/>
              </w:rPr>
              <w:t>行政职务</w:t>
            </w:r>
          </w:p>
        </w:tc>
        <w:tc>
          <w:tcPr>
            <w:tcW w:w="1624" w:type="dxa"/>
            <w:vAlign w:val="top"/>
          </w:tcPr>
          <w:p>
            <w:pPr>
              <w:rPr>
                <w:rFonts w:ascii="Arial"/>
                <w:sz w:val="21"/>
              </w:rPr>
            </w:pPr>
          </w:p>
        </w:tc>
        <w:tc>
          <w:tcPr>
            <w:tcW w:w="177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097" w:type="dxa"/>
            <w:vAlign w:val="top"/>
          </w:tcPr>
          <w:p>
            <w:pPr>
              <w:spacing w:before="85" w:line="251" w:lineRule="auto"/>
              <w:ind w:left="334" w:right="105" w:hanging="211"/>
              <w:rPr>
                <w:rFonts w:ascii="黑体" w:hAnsi="黑体" w:eastAsia="黑体" w:cs="黑体"/>
                <w:sz w:val="22"/>
                <w:szCs w:val="22"/>
              </w:rPr>
            </w:pPr>
            <w:r>
              <w:rPr>
                <w:rFonts w:ascii="黑体" w:hAnsi="黑体" w:eastAsia="黑体" w:cs="黑体"/>
                <w:spacing w:val="-5"/>
                <w:sz w:val="22"/>
                <w:szCs w:val="22"/>
              </w:rPr>
              <w:t>常</w:t>
            </w:r>
            <w:r>
              <w:rPr>
                <w:rFonts w:ascii="黑体" w:hAnsi="黑体" w:eastAsia="黑体" w:cs="黑体"/>
                <w:spacing w:val="-4"/>
                <w:sz w:val="22"/>
                <w:szCs w:val="22"/>
              </w:rPr>
              <w:t>驻工作</w:t>
            </w:r>
            <w:r>
              <w:rPr>
                <w:rFonts w:ascii="黑体" w:hAnsi="黑体" w:eastAsia="黑体" w:cs="黑体"/>
                <w:sz w:val="22"/>
                <w:szCs w:val="22"/>
              </w:rPr>
              <w:t xml:space="preserve"> </w:t>
            </w:r>
            <w:r>
              <w:rPr>
                <w:rFonts w:ascii="黑体" w:hAnsi="黑体" w:eastAsia="黑体" w:cs="黑体"/>
                <w:spacing w:val="-3"/>
                <w:sz w:val="22"/>
                <w:szCs w:val="22"/>
              </w:rPr>
              <w:t>城市</w:t>
            </w:r>
          </w:p>
        </w:tc>
        <w:tc>
          <w:tcPr>
            <w:tcW w:w="3181" w:type="dxa"/>
            <w:gridSpan w:val="4"/>
            <w:vAlign w:val="center"/>
          </w:tcPr>
          <w:p>
            <w:pPr>
              <w:jc w:val="center"/>
              <w:rPr>
                <w:rFonts w:hint="default" w:ascii="Arial" w:eastAsiaTheme="minorEastAsia"/>
                <w:sz w:val="21"/>
                <w:lang w:val="en-US" w:eastAsia="zh-CN"/>
              </w:rPr>
            </w:pPr>
            <w:r>
              <w:rPr>
                <w:rFonts w:hint="eastAsia" w:ascii="黑体" w:hAnsi="黑体" w:eastAsia="黑体" w:cs="黑体"/>
                <w:spacing w:val="-2"/>
                <w:sz w:val="22"/>
                <w:szCs w:val="22"/>
                <w:lang w:val="en-US" w:eastAsia="zh-CN"/>
              </w:rPr>
              <w:t>省/市/县</w:t>
            </w:r>
          </w:p>
        </w:tc>
        <w:tc>
          <w:tcPr>
            <w:tcW w:w="1160" w:type="dxa"/>
            <w:vAlign w:val="top"/>
          </w:tcPr>
          <w:p>
            <w:pPr>
              <w:spacing w:before="253" w:line="222" w:lineRule="auto"/>
              <w:ind w:left="36"/>
              <w:jc w:val="center"/>
              <w:rPr>
                <w:rFonts w:hint="default" w:ascii="黑体" w:hAnsi="黑体" w:eastAsia="黑体" w:cs="黑体"/>
                <w:sz w:val="22"/>
                <w:szCs w:val="22"/>
                <w:lang w:val="en-US" w:eastAsia="zh-CN"/>
              </w:rPr>
            </w:pPr>
            <w:r>
              <w:rPr>
                <w:rFonts w:ascii="黑体" w:hAnsi="黑体" w:eastAsia="黑体" w:cs="黑体"/>
                <w:spacing w:val="-2"/>
                <w:sz w:val="22"/>
                <w:szCs w:val="22"/>
              </w:rPr>
              <w:t>现从</w:t>
            </w:r>
            <w:r>
              <w:rPr>
                <w:rFonts w:ascii="黑体" w:hAnsi="黑体" w:eastAsia="黑体" w:cs="黑体"/>
                <w:spacing w:val="-1"/>
                <w:sz w:val="22"/>
                <w:szCs w:val="22"/>
              </w:rPr>
              <w:t>事专业</w:t>
            </w:r>
            <w:r>
              <w:rPr>
                <w:rFonts w:hint="eastAsia" w:ascii="黑体" w:hAnsi="黑体" w:eastAsia="黑体" w:cs="黑体"/>
                <w:spacing w:val="-1"/>
                <w:sz w:val="22"/>
                <w:szCs w:val="22"/>
                <w:lang w:val="en-US" w:eastAsia="zh-CN"/>
              </w:rPr>
              <w:t>和工作方向</w:t>
            </w:r>
          </w:p>
        </w:tc>
        <w:tc>
          <w:tcPr>
            <w:tcW w:w="1624" w:type="dxa"/>
            <w:vAlign w:val="top"/>
          </w:tcPr>
          <w:p>
            <w:pPr>
              <w:rPr>
                <w:rFonts w:ascii="Arial"/>
                <w:sz w:val="21"/>
              </w:rPr>
            </w:pPr>
          </w:p>
        </w:tc>
        <w:tc>
          <w:tcPr>
            <w:tcW w:w="177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97" w:type="dxa"/>
            <w:vAlign w:val="top"/>
          </w:tcPr>
          <w:p>
            <w:pPr>
              <w:spacing w:before="254" w:line="222" w:lineRule="auto"/>
              <w:ind w:left="121"/>
              <w:rPr>
                <w:rFonts w:ascii="黑体" w:hAnsi="黑体" w:eastAsia="黑体" w:cs="黑体"/>
                <w:sz w:val="22"/>
                <w:szCs w:val="22"/>
              </w:rPr>
            </w:pPr>
            <w:r>
              <w:rPr>
                <w:rFonts w:ascii="黑体" w:hAnsi="黑体" w:eastAsia="黑体" w:cs="黑体"/>
                <w:spacing w:val="-6"/>
                <w:sz w:val="22"/>
                <w:szCs w:val="22"/>
              </w:rPr>
              <w:t>学</w:t>
            </w:r>
            <w:r>
              <w:rPr>
                <w:rFonts w:ascii="黑体" w:hAnsi="黑体" w:eastAsia="黑体" w:cs="黑体"/>
                <w:spacing w:val="-3"/>
                <w:sz w:val="22"/>
                <w:szCs w:val="22"/>
              </w:rPr>
              <w:t>历学位</w:t>
            </w:r>
          </w:p>
        </w:tc>
        <w:tc>
          <w:tcPr>
            <w:tcW w:w="3181" w:type="dxa"/>
            <w:gridSpan w:val="4"/>
            <w:vAlign w:val="top"/>
          </w:tcPr>
          <w:p>
            <w:pPr>
              <w:rPr>
                <w:rFonts w:ascii="Arial"/>
                <w:sz w:val="21"/>
              </w:rPr>
            </w:pPr>
          </w:p>
        </w:tc>
        <w:tc>
          <w:tcPr>
            <w:tcW w:w="1160" w:type="dxa"/>
            <w:vAlign w:val="top"/>
          </w:tcPr>
          <w:p>
            <w:pPr>
              <w:spacing w:before="85" w:line="251" w:lineRule="auto"/>
              <w:ind w:left="151" w:right="135" w:firstLine="1"/>
              <w:rPr>
                <w:rFonts w:ascii="黑体" w:hAnsi="黑体" w:eastAsia="黑体" w:cs="黑体"/>
                <w:sz w:val="22"/>
                <w:szCs w:val="22"/>
              </w:rPr>
            </w:pPr>
            <w:r>
              <w:rPr>
                <w:rFonts w:ascii="黑体" w:hAnsi="黑体" w:eastAsia="黑体" w:cs="黑体"/>
                <w:spacing w:val="-5"/>
                <w:sz w:val="22"/>
                <w:szCs w:val="22"/>
              </w:rPr>
              <w:t>最</w:t>
            </w:r>
            <w:r>
              <w:rPr>
                <w:rFonts w:ascii="黑体" w:hAnsi="黑体" w:eastAsia="黑体" w:cs="黑体"/>
                <w:spacing w:val="-3"/>
                <w:sz w:val="22"/>
                <w:szCs w:val="22"/>
              </w:rPr>
              <w:t>高学历</w:t>
            </w:r>
            <w:r>
              <w:rPr>
                <w:rFonts w:ascii="黑体" w:hAnsi="黑体" w:eastAsia="黑体" w:cs="黑体"/>
                <w:sz w:val="22"/>
                <w:szCs w:val="22"/>
              </w:rPr>
              <w:t xml:space="preserve"> </w:t>
            </w:r>
            <w:r>
              <w:rPr>
                <w:rFonts w:ascii="黑体" w:hAnsi="黑体" w:eastAsia="黑体" w:cs="黑体"/>
                <w:spacing w:val="-4"/>
                <w:sz w:val="22"/>
                <w:szCs w:val="22"/>
              </w:rPr>
              <w:t>专</w:t>
            </w:r>
            <w:r>
              <w:rPr>
                <w:rFonts w:ascii="黑体" w:hAnsi="黑体" w:eastAsia="黑体" w:cs="黑体"/>
                <w:spacing w:val="-3"/>
                <w:sz w:val="22"/>
                <w:szCs w:val="22"/>
              </w:rPr>
              <w:t>业名称</w:t>
            </w:r>
          </w:p>
        </w:tc>
        <w:tc>
          <w:tcPr>
            <w:tcW w:w="1624" w:type="dxa"/>
            <w:vAlign w:val="top"/>
          </w:tcPr>
          <w:p>
            <w:pPr>
              <w:rPr>
                <w:rFonts w:ascii="Arial"/>
                <w:sz w:val="21"/>
              </w:rPr>
            </w:pPr>
          </w:p>
        </w:tc>
        <w:tc>
          <w:tcPr>
            <w:tcW w:w="17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097" w:type="dxa"/>
            <w:vAlign w:val="top"/>
          </w:tcPr>
          <w:p>
            <w:pPr>
              <w:spacing w:before="140" w:line="223" w:lineRule="auto"/>
              <w:ind w:left="118"/>
              <w:rPr>
                <w:rFonts w:ascii="黑体" w:hAnsi="黑体" w:eastAsia="黑体" w:cs="黑体"/>
                <w:sz w:val="22"/>
                <w:szCs w:val="22"/>
              </w:rPr>
            </w:pPr>
            <w:r>
              <w:rPr>
                <w:rFonts w:ascii="黑体" w:hAnsi="黑体" w:eastAsia="黑体" w:cs="黑体"/>
                <w:spacing w:val="-4"/>
                <w:sz w:val="22"/>
                <w:szCs w:val="22"/>
              </w:rPr>
              <w:t>毕业</w:t>
            </w:r>
            <w:r>
              <w:rPr>
                <w:rFonts w:ascii="黑体" w:hAnsi="黑体" w:eastAsia="黑体" w:cs="黑体"/>
                <w:spacing w:val="-2"/>
                <w:sz w:val="22"/>
                <w:szCs w:val="22"/>
              </w:rPr>
              <w:t>院校</w:t>
            </w:r>
          </w:p>
        </w:tc>
        <w:tc>
          <w:tcPr>
            <w:tcW w:w="3181" w:type="dxa"/>
            <w:gridSpan w:val="4"/>
            <w:vAlign w:val="top"/>
          </w:tcPr>
          <w:p>
            <w:pPr>
              <w:rPr>
                <w:rFonts w:ascii="Arial"/>
                <w:sz w:val="21"/>
              </w:rPr>
            </w:pPr>
          </w:p>
        </w:tc>
        <w:tc>
          <w:tcPr>
            <w:tcW w:w="1160" w:type="dxa"/>
            <w:vAlign w:val="top"/>
          </w:tcPr>
          <w:p>
            <w:pPr>
              <w:spacing w:before="139" w:line="222" w:lineRule="auto"/>
              <w:ind w:left="148"/>
              <w:rPr>
                <w:rFonts w:ascii="黑体" w:hAnsi="黑体" w:eastAsia="黑体" w:cs="黑体"/>
                <w:sz w:val="22"/>
                <w:szCs w:val="22"/>
              </w:rPr>
            </w:pPr>
            <w:r>
              <w:rPr>
                <w:rFonts w:ascii="黑体" w:hAnsi="黑体" w:eastAsia="黑体" w:cs="黑体"/>
                <w:spacing w:val="-4"/>
                <w:sz w:val="22"/>
                <w:szCs w:val="22"/>
              </w:rPr>
              <w:t>办</w:t>
            </w:r>
            <w:r>
              <w:rPr>
                <w:rFonts w:ascii="黑体" w:hAnsi="黑体" w:eastAsia="黑体" w:cs="黑体"/>
                <w:spacing w:val="-2"/>
                <w:sz w:val="22"/>
                <w:szCs w:val="22"/>
              </w:rPr>
              <w:t>公电话</w:t>
            </w:r>
          </w:p>
        </w:tc>
        <w:tc>
          <w:tcPr>
            <w:tcW w:w="340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097" w:type="dxa"/>
            <w:vAlign w:val="top"/>
          </w:tcPr>
          <w:p>
            <w:pPr>
              <w:spacing w:before="124" w:line="222" w:lineRule="auto"/>
              <w:ind w:left="115"/>
              <w:rPr>
                <w:rFonts w:ascii="黑体" w:hAnsi="黑体" w:eastAsia="黑体" w:cs="黑体"/>
                <w:sz w:val="22"/>
                <w:szCs w:val="22"/>
              </w:rPr>
            </w:pPr>
            <w:r>
              <w:rPr>
                <w:rFonts w:ascii="黑体" w:hAnsi="黑体" w:eastAsia="黑体" w:cs="黑体"/>
                <w:spacing w:val="-3"/>
                <w:sz w:val="22"/>
                <w:szCs w:val="22"/>
              </w:rPr>
              <w:t>移</w:t>
            </w:r>
            <w:r>
              <w:rPr>
                <w:rFonts w:ascii="黑体" w:hAnsi="黑体" w:eastAsia="黑体" w:cs="黑体"/>
                <w:spacing w:val="-2"/>
                <w:sz w:val="22"/>
                <w:szCs w:val="22"/>
              </w:rPr>
              <w:t>动电话</w:t>
            </w:r>
          </w:p>
        </w:tc>
        <w:tc>
          <w:tcPr>
            <w:tcW w:w="3181" w:type="dxa"/>
            <w:gridSpan w:val="4"/>
            <w:vAlign w:val="top"/>
          </w:tcPr>
          <w:p>
            <w:pPr>
              <w:rPr>
                <w:rFonts w:ascii="Arial"/>
                <w:sz w:val="21"/>
              </w:rPr>
            </w:pPr>
          </w:p>
        </w:tc>
        <w:tc>
          <w:tcPr>
            <w:tcW w:w="1160" w:type="dxa"/>
            <w:vAlign w:val="top"/>
          </w:tcPr>
          <w:p>
            <w:pPr>
              <w:spacing w:before="124" w:line="222" w:lineRule="auto"/>
              <w:ind w:left="145"/>
              <w:rPr>
                <w:rFonts w:ascii="黑体" w:hAnsi="黑体" w:eastAsia="黑体" w:cs="黑体"/>
                <w:sz w:val="22"/>
                <w:szCs w:val="22"/>
              </w:rPr>
            </w:pPr>
            <w:r>
              <w:rPr>
                <w:rFonts w:ascii="黑体" w:hAnsi="黑体" w:eastAsia="黑体" w:cs="黑体"/>
                <w:spacing w:val="-2"/>
                <w:sz w:val="22"/>
                <w:szCs w:val="22"/>
              </w:rPr>
              <w:t>传真</w:t>
            </w:r>
            <w:r>
              <w:rPr>
                <w:rFonts w:ascii="黑体" w:hAnsi="黑体" w:eastAsia="黑体" w:cs="黑体"/>
                <w:spacing w:val="-1"/>
                <w:sz w:val="22"/>
                <w:szCs w:val="22"/>
              </w:rPr>
              <w:t>号码</w:t>
            </w:r>
          </w:p>
        </w:tc>
        <w:tc>
          <w:tcPr>
            <w:tcW w:w="340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097" w:type="dxa"/>
            <w:vAlign w:val="top"/>
          </w:tcPr>
          <w:p>
            <w:pPr>
              <w:spacing w:before="84" w:line="290" w:lineRule="exact"/>
              <w:ind w:left="252"/>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E-mail</w:t>
            </w:r>
          </w:p>
        </w:tc>
        <w:tc>
          <w:tcPr>
            <w:tcW w:w="3181" w:type="dxa"/>
            <w:gridSpan w:val="4"/>
            <w:vAlign w:val="top"/>
          </w:tcPr>
          <w:p>
            <w:pPr>
              <w:rPr>
                <w:rFonts w:ascii="Arial"/>
                <w:sz w:val="21"/>
              </w:rPr>
            </w:pPr>
          </w:p>
        </w:tc>
        <w:tc>
          <w:tcPr>
            <w:tcW w:w="1160" w:type="dxa"/>
            <w:vAlign w:val="top"/>
          </w:tcPr>
          <w:p>
            <w:pPr>
              <w:spacing w:before="116" w:line="222" w:lineRule="auto"/>
              <w:ind w:left="40"/>
              <w:rPr>
                <w:rFonts w:ascii="黑体" w:hAnsi="黑体" w:eastAsia="黑体" w:cs="黑体"/>
                <w:sz w:val="22"/>
                <w:szCs w:val="22"/>
              </w:rPr>
            </w:pPr>
            <w:r>
              <w:rPr>
                <w:rFonts w:ascii="黑体" w:hAnsi="黑体" w:eastAsia="黑体" w:cs="黑体"/>
                <w:spacing w:val="-3"/>
                <w:sz w:val="22"/>
                <w:szCs w:val="22"/>
              </w:rPr>
              <w:t>身</w:t>
            </w:r>
            <w:r>
              <w:rPr>
                <w:rFonts w:ascii="黑体" w:hAnsi="黑体" w:eastAsia="黑体" w:cs="黑体"/>
                <w:spacing w:val="-2"/>
                <w:sz w:val="22"/>
                <w:szCs w:val="22"/>
              </w:rPr>
              <w:t>份证号码</w:t>
            </w:r>
          </w:p>
        </w:tc>
        <w:tc>
          <w:tcPr>
            <w:tcW w:w="340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097" w:type="dxa"/>
            <w:vAlign w:val="top"/>
          </w:tcPr>
          <w:p>
            <w:pPr>
              <w:spacing w:before="111" w:line="223" w:lineRule="auto"/>
              <w:ind w:left="112"/>
              <w:rPr>
                <w:rFonts w:ascii="黑体" w:hAnsi="黑体" w:eastAsia="黑体" w:cs="黑体"/>
                <w:sz w:val="22"/>
                <w:szCs w:val="22"/>
              </w:rPr>
            </w:pPr>
            <w:r>
              <w:rPr>
                <w:rFonts w:ascii="黑体" w:hAnsi="黑体" w:eastAsia="黑体" w:cs="黑体"/>
                <w:spacing w:val="-2"/>
                <w:sz w:val="22"/>
                <w:szCs w:val="22"/>
              </w:rPr>
              <w:t>通讯</w:t>
            </w:r>
            <w:r>
              <w:rPr>
                <w:rFonts w:ascii="黑体" w:hAnsi="黑体" w:eastAsia="黑体" w:cs="黑体"/>
                <w:spacing w:val="-1"/>
                <w:sz w:val="22"/>
                <w:szCs w:val="22"/>
              </w:rPr>
              <w:t>地址</w:t>
            </w:r>
          </w:p>
        </w:tc>
        <w:tc>
          <w:tcPr>
            <w:tcW w:w="3181" w:type="dxa"/>
            <w:gridSpan w:val="4"/>
            <w:vAlign w:val="top"/>
          </w:tcPr>
          <w:p>
            <w:pPr>
              <w:rPr>
                <w:rFonts w:ascii="Arial"/>
                <w:sz w:val="21"/>
              </w:rPr>
            </w:pPr>
          </w:p>
        </w:tc>
        <w:tc>
          <w:tcPr>
            <w:tcW w:w="1160" w:type="dxa"/>
            <w:vAlign w:val="top"/>
          </w:tcPr>
          <w:p>
            <w:pPr>
              <w:spacing w:before="111" w:line="222" w:lineRule="auto"/>
              <w:ind w:left="158"/>
              <w:rPr>
                <w:rFonts w:ascii="黑体" w:hAnsi="黑体" w:eastAsia="黑体" w:cs="黑体"/>
                <w:sz w:val="22"/>
                <w:szCs w:val="22"/>
              </w:rPr>
            </w:pPr>
            <w:r>
              <w:rPr>
                <w:rFonts w:ascii="黑体" w:hAnsi="黑体" w:eastAsia="黑体" w:cs="黑体"/>
                <w:spacing w:val="-7"/>
                <w:sz w:val="22"/>
                <w:szCs w:val="22"/>
              </w:rPr>
              <w:t>邮</w:t>
            </w:r>
            <w:r>
              <w:rPr>
                <w:rFonts w:ascii="黑体" w:hAnsi="黑体" w:eastAsia="黑体" w:cs="黑体"/>
                <w:spacing w:val="-4"/>
                <w:sz w:val="22"/>
                <w:szCs w:val="22"/>
              </w:rPr>
              <w:t>政编码</w:t>
            </w:r>
          </w:p>
        </w:tc>
        <w:tc>
          <w:tcPr>
            <w:tcW w:w="340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1097" w:type="dxa"/>
            <w:vAlign w:val="top"/>
          </w:tcPr>
          <w:p>
            <w:pPr>
              <w:spacing w:before="181" w:line="222" w:lineRule="auto"/>
              <w:ind w:left="119"/>
              <w:rPr>
                <w:rFonts w:ascii="黑体" w:hAnsi="黑体" w:eastAsia="黑体" w:cs="黑体"/>
                <w:sz w:val="22"/>
                <w:szCs w:val="22"/>
              </w:rPr>
            </w:pPr>
            <w:r>
              <w:rPr>
                <w:rFonts w:ascii="黑体" w:hAnsi="黑体" w:eastAsia="黑体" w:cs="黑体"/>
                <w:spacing w:val="-4"/>
                <w:sz w:val="22"/>
                <w:szCs w:val="22"/>
              </w:rPr>
              <w:t>专</w:t>
            </w:r>
            <w:r>
              <w:rPr>
                <w:rFonts w:ascii="黑体" w:hAnsi="黑体" w:eastAsia="黑体" w:cs="黑体"/>
                <w:spacing w:val="-3"/>
                <w:sz w:val="22"/>
                <w:szCs w:val="22"/>
              </w:rPr>
              <w:t>家类别</w:t>
            </w:r>
          </w:p>
        </w:tc>
        <w:tc>
          <w:tcPr>
            <w:tcW w:w="7741" w:type="dxa"/>
            <w:gridSpan w:val="7"/>
            <w:vAlign w:val="top"/>
          </w:tcPr>
          <w:p>
            <w:pPr>
              <w:spacing w:before="157" w:line="237" w:lineRule="auto"/>
              <w:ind w:left="34"/>
              <w:rPr>
                <w:rFonts w:ascii="黑体" w:hAnsi="黑体" w:eastAsia="黑体" w:cs="黑体"/>
                <w:sz w:val="22"/>
                <w:szCs w:val="22"/>
              </w:rPr>
            </w:pP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评审咨询</w:t>
            </w:r>
            <w:r>
              <w:rPr>
                <w:rFonts w:hint="eastAsia" w:ascii="黑体" w:hAnsi="黑体" w:eastAsia="黑体" w:cs="黑体"/>
                <w:spacing w:val="6"/>
                <w:sz w:val="22"/>
                <w:szCs w:val="22"/>
              </w:rPr>
              <w:t>类</w:t>
            </w:r>
            <w:r>
              <w:rPr>
                <w:rFonts w:ascii="黑体" w:hAnsi="黑体" w:eastAsia="黑体" w:cs="黑体"/>
                <w:spacing w:val="6"/>
                <w:sz w:val="22"/>
                <w:szCs w:val="22"/>
              </w:rPr>
              <w:t xml:space="preserve">    </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督查考核</w:t>
            </w:r>
            <w:r>
              <w:rPr>
                <w:rFonts w:hint="eastAsia" w:ascii="黑体" w:hAnsi="黑体" w:eastAsia="黑体" w:cs="黑体"/>
                <w:spacing w:val="6"/>
                <w:sz w:val="22"/>
                <w:szCs w:val="22"/>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1097" w:type="dxa"/>
            <w:vMerge w:val="restart"/>
            <w:vAlign w:val="center"/>
          </w:tcPr>
          <w:p>
            <w:pPr>
              <w:spacing w:before="72" w:line="223" w:lineRule="auto"/>
              <w:ind w:left="119"/>
              <w:rPr>
                <w:rFonts w:ascii="黑体" w:hAnsi="黑体" w:eastAsia="黑体" w:cs="黑体"/>
                <w:spacing w:val="-4"/>
                <w:sz w:val="22"/>
                <w:szCs w:val="22"/>
              </w:rPr>
            </w:pPr>
            <w:r>
              <w:rPr>
                <w:rFonts w:ascii="黑体" w:hAnsi="黑体" w:eastAsia="黑体" w:cs="黑体"/>
                <w:spacing w:val="-4"/>
                <w:sz w:val="22"/>
                <w:szCs w:val="22"/>
              </w:rPr>
              <w:t>专</w:t>
            </w:r>
          </w:p>
          <w:p>
            <w:pPr>
              <w:spacing w:before="72" w:line="223" w:lineRule="auto"/>
              <w:ind w:left="119"/>
              <w:rPr>
                <w:rFonts w:ascii="黑体" w:hAnsi="黑体" w:eastAsia="黑体" w:cs="黑体"/>
                <w:spacing w:val="-3"/>
                <w:sz w:val="22"/>
                <w:szCs w:val="22"/>
              </w:rPr>
            </w:pPr>
            <w:r>
              <w:rPr>
                <w:rFonts w:ascii="黑体" w:hAnsi="黑体" w:eastAsia="黑体" w:cs="黑体"/>
                <w:spacing w:val="-3"/>
                <w:sz w:val="22"/>
                <w:szCs w:val="22"/>
              </w:rPr>
              <w:t>业</w:t>
            </w:r>
          </w:p>
          <w:p>
            <w:pPr>
              <w:spacing w:before="72" w:line="223" w:lineRule="auto"/>
              <w:ind w:left="119"/>
              <w:rPr>
                <w:rFonts w:ascii="黑体" w:hAnsi="黑体" w:eastAsia="黑体" w:cs="黑体"/>
                <w:spacing w:val="-3"/>
                <w:sz w:val="22"/>
                <w:szCs w:val="22"/>
              </w:rPr>
            </w:pPr>
            <w:r>
              <w:rPr>
                <w:rFonts w:ascii="黑体" w:hAnsi="黑体" w:eastAsia="黑体" w:cs="黑体"/>
                <w:spacing w:val="-3"/>
                <w:sz w:val="22"/>
                <w:szCs w:val="22"/>
              </w:rPr>
              <w:t>领</w:t>
            </w:r>
          </w:p>
          <w:p>
            <w:pPr>
              <w:spacing w:before="72" w:line="223" w:lineRule="auto"/>
              <w:ind w:left="119"/>
              <w:rPr>
                <w:rFonts w:ascii="黑体" w:hAnsi="黑体" w:eastAsia="黑体" w:cs="黑体"/>
                <w:spacing w:val="-3"/>
                <w:sz w:val="22"/>
                <w:szCs w:val="22"/>
              </w:rPr>
            </w:pPr>
            <w:r>
              <w:rPr>
                <w:rFonts w:ascii="黑体" w:hAnsi="黑体" w:eastAsia="黑体" w:cs="黑体"/>
                <w:spacing w:val="-3"/>
                <w:sz w:val="22"/>
                <w:szCs w:val="22"/>
              </w:rPr>
              <w:t>域</w:t>
            </w:r>
          </w:p>
          <w:p>
            <w:pPr>
              <w:spacing w:before="72" w:line="223" w:lineRule="auto"/>
              <w:ind w:left="119"/>
              <w:rPr>
                <w:rFonts w:hint="eastAsia" w:ascii="黑体" w:hAnsi="黑体" w:eastAsia="黑体" w:cs="黑体"/>
                <w:spacing w:val="-3"/>
                <w:sz w:val="22"/>
                <w:szCs w:val="22"/>
                <w:lang w:val="en-US" w:eastAsia="zh-CN"/>
              </w:rPr>
            </w:pPr>
            <w:r>
              <w:rPr>
                <w:rFonts w:hint="eastAsia" w:ascii="黑体" w:hAnsi="黑体" w:eastAsia="黑体" w:cs="黑体"/>
                <w:spacing w:val="-3"/>
                <w:sz w:val="22"/>
                <w:szCs w:val="22"/>
                <w:lang w:val="en-US" w:eastAsia="zh-CN"/>
              </w:rPr>
              <w:t>/</w:t>
            </w:r>
          </w:p>
          <w:p>
            <w:pPr>
              <w:spacing w:before="72" w:line="223" w:lineRule="auto"/>
              <w:ind w:left="119"/>
              <w:rPr>
                <w:rFonts w:hint="eastAsia" w:ascii="黑体" w:hAnsi="黑体" w:eastAsia="黑体" w:cs="黑体"/>
                <w:spacing w:val="-3"/>
                <w:sz w:val="22"/>
                <w:szCs w:val="22"/>
                <w:lang w:val="en-US" w:eastAsia="zh-CN"/>
              </w:rPr>
            </w:pPr>
            <w:r>
              <w:rPr>
                <w:rFonts w:hint="eastAsia" w:ascii="黑体" w:hAnsi="黑体" w:eastAsia="黑体" w:cs="黑体"/>
                <w:spacing w:val="-3"/>
                <w:sz w:val="22"/>
                <w:szCs w:val="22"/>
                <w:lang w:val="en-US" w:eastAsia="zh-CN"/>
              </w:rPr>
              <w:t>工</w:t>
            </w:r>
          </w:p>
          <w:p>
            <w:pPr>
              <w:spacing w:before="72" w:line="223" w:lineRule="auto"/>
              <w:ind w:left="119"/>
              <w:rPr>
                <w:rFonts w:hint="eastAsia" w:ascii="黑体" w:hAnsi="黑体" w:eastAsia="黑体" w:cs="黑体"/>
                <w:spacing w:val="-3"/>
                <w:sz w:val="22"/>
                <w:szCs w:val="22"/>
                <w:lang w:val="en-US" w:eastAsia="zh-CN"/>
              </w:rPr>
            </w:pPr>
            <w:r>
              <w:rPr>
                <w:rFonts w:hint="eastAsia" w:ascii="黑体" w:hAnsi="黑体" w:eastAsia="黑体" w:cs="黑体"/>
                <w:spacing w:val="-3"/>
                <w:sz w:val="22"/>
                <w:szCs w:val="22"/>
                <w:lang w:val="en-US" w:eastAsia="zh-CN"/>
              </w:rPr>
              <w:t>作</w:t>
            </w:r>
          </w:p>
          <w:p>
            <w:pPr>
              <w:spacing w:before="72" w:line="223" w:lineRule="auto"/>
              <w:ind w:left="119"/>
              <w:rPr>
                <w:rFonts w:hint="eastAsia" w:ascii="黑体" w:hAnsi="黑体" w:eastAsia="黑体" w:cs="黑体"/>
                <w:spacing w:val="-3"/>
                <w:sz w:val="22"/>
                <w:szCs w:val="22"/>
                <w:lang w:val="en-US" w:eastAsia="zh-CN"/>
              </w:rPr>
            </w:pPr>
            <w:r>
              <w:rPr>
                <w:rFonts w:hint="eastAsia" w:ascii="黑体" w:hAnsi="黑体" w:eastAsia="黑体" w:cs="黑体"/>
                <w:spacing w:val="-3"/>
                <w:sz w:val="22"/>
                <w:szCs w:val="22"/>
                <w:lang w:val="en-US" w:eastAsia="zh-CN"/>
              </w:rPr>
              <w:t>方</w:t>
            </w:r>
          </w:p>
          <w:p>
            <w:pPr>
              <w:spacing w:before="72" w:line="223" w:lineRule="auto"/>
              <w:ind w:left="119"/>
              <w:rPr>
                <w:rFonts w:hint="default" w:ascii="黑体" w:hAnsi="黑体" w:eastAsia="黑体" w:cs="黑体"/>
                <w:sz w:val="22"/>
                <w:szCs w:val="22"/>
                <w:lang w:val="en-US" w:eastAsia="zh-CN"/>
              </w:rPr>
            </w:pPr>
            <w:r>
              <w:rPr>
                <w:rFonts w:hint="eastAsia" w:ascii="黑体" w:hAnsi="黑体" w:eastAsia="黑体" w:cs="黑体"/>
                <w:spacing w:val="-3"/>
                <w:sz w:val="22"/>
                <w:szCs w:val="22"/>
                <w:lang w:val="en-US" w:eastAsia="zh-CN"/>
              </w:rPr>
              <w:t>向</w:t>
            </w:r>
          </w:p>
        </w:tc>
        <w:tc>
          <w:tcPr>
            <w:tcW w:w="1757" w:type="dxa"/>
            <w:gridSpan w:val="2"/>
            <w:vAlign w:val="top"/>
          </w:tcPr>
          <w:p>
            <w:pPr>
              <w:spacing w:before="72" w:line="222" w:lineRule="auto"/>
              <w:ind w:left="48"/>
              <w:rPr>
                <w:rFonts w:hint="default" w:ascii="黑体" w:hAnsi="黑体" w:eastAsia="黑体" w:cs="黑体"/>
                <w:sz w:val="22"/>
                <w:szCs w:val="22"/>
                <w:lang w:val="en-US" w:eastAsia="zh-CN"/>
              </w:rPr>
            </w:pPr>
            <w:r>
              <w:rPr>
                <w:rFonts w:hint="eastAsia" w:ascii="黑体" w:hAnsi="黑体" w:eastAsia="黑体" w:cs="黑体"/>
                <w:spacing w:val="6"/>
                <w:sz w:val="22"/>
                <w:szCs w:val="22"/>
                <w:lang w:val="en-US" w:eastAsia="zh-CN"/>
              </w:rPr>
              <w:t>水资源保护</w:t>
            </w:r>
          </w:p>
        </w:tc>
        <w:tc>
          <w:tcPr>
            <w:tcW w:w="5984" w:type="dxa"/>
            <w:gridSpan w:val="5"/>
            <w:vAlign w:val="top"/>
          </w:tcPr>
          <w:p>
            <w:pPr>
              <w:spacing w:before="57" w:line="237" w:lineRule="auto"/>
              <w:ind w:left="37"/>
              <w:rPr>
                <w:rFonts w:hint="default" w:ascii="黑体" w:hAnsi="黑体" w:eastAsia="黑体" w:cs="黑体"/>
                <w:sz w:val="22"/>
                <w:szCs w:val="22"/>
                <w:lang w:val="en-US" w:eastAsia="zh-CN"/>
              </w:rPr>
            </w:pP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水资源管理、</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水文水资源、</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生态流量、</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入河排污口管理、</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取水口管理、</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水域岸线管控</w:t>
            </w:r>
          </w:p>
        </w:tc>
        <w:tc>
          <w:tcPr>
            <w:tcW w:w="5984" w:type="dxa"/>
            <w:gridSpan w:val="5"/>
            <w:vAlign w:val="top"/>
          </w:tcPr>
          <w:p>
            <w:pPr>
              <w:spacing w:before="57" w:line="237" w:lineRule="auto"/>
              <w:ind w:left="37"/>
              <w:rPr>
                <w:rFonts w:hint="default" w:ascii="黑体" w:hAnsi="黑体" w:eastAsia="黑体" w:cs="黑体"/>
                <w:spacing w:val="6"/>
                <w:sz w:val="22"/>
                <w:szCs w:val="22"/>
                <w:lang w:val="en-US" w:eastAsia="zh-CN"/>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清“四乱”、</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妨碍河道行洪突出问题、</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河道管理范围划定、</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水域岸线规划、</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测绘地质、</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采砂管理、</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河道清淤疏浚、</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水污染防治</w:t>
            </w:r>
          </w:p>
        </w:tc>
        <w:tc>
          <w:tcPr>
            <w:tcW w:w="5984" w:type="dxa"/>
            <w:gridSpan w:val="5"/>
            <w:vAlign w:val="top"/>
          </w:tcPr>
          <w:p>
            <w:pPr>
              <w:spacing w:before="57" w:line="237" w:lineRule="auto"/>
              <w:ind w:left="37"/>
              <w:rPr>
                <w:rFonts w:hint="default" w:ascii="黑体" w:hAnsi="黑体" w:eastAsia="黑体" w:cs="黑体"/>
                <w:spacing w:val="6"/>
                <w:sz w:val="22"/>
                <w:szCs w:val="22"/>
                <w:lang w:val="en-US" w:eastAsia="zh-CN"/>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工业水污染、</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城镇水污染、</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rPr>
              <w:t>沿岸生活污水和生活垃圾治理</w:t>
            </w:r>
            <w:r>
              <w:rPr>
                <w:rFonts w:hint="eastAsia" w:ascii="黑体" w:hAnsi="黑体" w:eastAsia="黑体" w:cs="黑体"/>
                <w:spacing w:val="6"/>
                <w:sz w:val="22"/>
                <w:szCs w:val="22"/>
                <w:lang w:val="en-US" w:eastAsia="zh-CN"/>
              </w:rPr>
              <w:t>、</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农业面源污染、</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船舶及</w:t>
            </w:r>
            <w:r>
              <w:rPr>
                <w:rFonts w:hint="eastAsia" w:ascii="黑体" w:hAnsi="黑体" w:eastAsia="黑体" w:cs="黑体"/>
                <w:spacing w:val="6"/>
                <w:sz w:val="22"/>
                <w:szCs w:val="22"/>
              </w:rPr>
              <w:t>港口码头污染防治</w:t>
            </w:r>
            <w:r>
              <w:rPr>
                <w:rFonts w:hint="eastAsia" w:ascii="黑体" w:hAnsi="黑体" w:eastAsia="黑体" w:cs="黑体"/>
                <w:spacing w:val="6"/>
                <w:sz w:val="22"/>
                <w:szCs w:val="22"/>
                <w:lang w:val="en-US" w:eastAsia="zh-CN"/>
              </w:rPr>
              <w:t>、</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水环境治理</w:t>
            </w:r>
          </w:p>
        </w:tc>
        <w:tc>
          <w:tcPr>
            <w:tcW w:w="5984" w:type="dxa"/>
            <w:gridSpan w:val="5"/>
            <w:vAlign w:val="top"/>
          </w:tcPr>
          <w:p>
            <w:pPr>
              <w:spacing w:before="57" w:line="237" w:lineRule="auto"/>
              <w:ind w:left="37"/>
              <w:rPr>
                <w:rFonts w:hint="default" w:ascii="黑体" w:hAnsi="黑体" w:eastAsia="黑体" w:cs="黑体"/>
                <w:spacing w:val="6"/>
                <w:sz w:val="22"/>
                <w:szCs w:val="22"/>
                <w:lang w:val="en-US" w:eastAsia="zh-CN"/>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地表水水质、</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饮用水水源地保护、</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黑臭水体治理、</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水库水质、</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农村水环境、</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水生态修复</w:t>
            </w:r>
          </w:p>
        </w:tc>
        <w:tc>
          <w:tcPr>
            <w:tcW w:w="5984" w:type="dxa"/>
            <w:gridSpan w:val="5"/>
            <w:vAlign w:val="top"/>
          </w:tcPr>
          <w:p>
            <w:pPr>
              <w:spacing w:before="57" w:line="237" w:lineRule="auto"/>
              <w:ind w:left="37"/>
              <w:rPr>
                <w:rFonts w:hint="default" w:ascii="黑体" w:hAnsi="黑体" w:eastAsia="黑体" w:cs="黑体"/>
                <w:spacing w:val="6"/>
                <w:sz w:val="22"/>
                <w:szCs w:val="22"/>
                <w:lang w:val="en-US" w:eastAsia="zh-CN"/>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湿地保护、</w:t>
            </w:r>
            <w:r>
              <w:rPr>
                <w:rFonts w:hint="eastAsia" w:ascii="黑体" w:hAnsi="黑体" w:eastAsia="黑体" w:cs="黑体"/>
                <w:spacing w:val="6"/>
                <w:sz w:val="22"/>
                <w:szCs w:val="22"/>
              </w:rPr>
              <w:t>□</w:t>
            </w:r>
            <w:r>
              <w:rPr>
                <w:rFonts w:hint="eastAsia" w:ascii="黑体" w:hAnsi="黑体" w:eastAsia="黑体" w:cs="黑体"/>
                <w:spacing w:val="6"/>
                <w:sz w:val="22"/>
                <w:szCs w:val="22"/>
                <w:lang w:val="en-US" w:eastAsia="zh-CN"/>
              </w:rPr>
              <w:t>绿色小水电示范创建、</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生态红线管理、</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水土保持、</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水系连通、</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河渠沿岸造林绿化、</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水源涵养区管理保护、</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rPr>
              <w:t>长江流域禁捕禁渔</w:t>
            </w:r>
            <w:r>
              <w:rPr>
                <w:rFonts w:hint="eastAsia" w:ascii="黑体" w:hAnsi="黑体" w:eastAsia="黑体" w:cs="黑体"/>
                <w:spacing w:val="6"/>
                <w:sz w:val="22"/>
                <w:szCs w:val="22"/>
                <w:lang w:val="en-US" w:eastAsia="zh-CN"/>
              </w:rPr>
              <w:t>、</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水生（水生生物、水产养殖、捕捞学、渔业资源等）、</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水利工程管理</w:t>
            </w:r>
          </w:p>
        </w:tc>
        <w:tc>
          <w:tcPr>
            <w:tcW w:w="5984" w:type="dxa"/>
            <w:gridSpan w:val="5"/>
            <w:vAlign w:val="top"/>
          </w:tcPr>
          <w:p>
            <w:pPr>
              <w:spacing w:before="57" w:line="237" w:lineRule="auto"/>
              <w:ind w:left="37"/>
              <w:rPr>
                <w:rFonts w:hint="default" w:ascii="黑体" w:hAnsi="黑体" w:eastAsia="黑体" w:cs="黑体"/>
                <w:spacing w:val="6"/>
                <w:sz w:val="22"/>
                <w:szCs w:val="22"/>
                <w:lang w:val="en-US"/>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水利工程建设、</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堤防水闸运行管理、</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水电站安全生产管理、</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水库除险加固、</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水文化与水经济</w:t>
            </w:r>
          </w:p>
        </w:tc>
        <w:tc>
          <w:tcPr>
            <w:tcW w:w="5984" w:type="dxa"/>
            <w:gridSpan w:val="5"/>
            <w:vAlign w:val="top"/>
          </w:tcPr>
          <w:p>
            <w:pPr>
              <w:spacing w:before="57" w:line="237" w:lineRule="auto"/>
              <w:ind w:left="37"/>
              <w:rPr>
                <w:rFonts w:hint="eastAsia" w:ascii="黑体" w:hAnsi="黑体" w:eastAsia="黑体" w:cs="黑体"/>
                <w:spacing w:val="6"/>
                <w:sz w:val="22"/>
                <w:szCs w:val="22"/>
                <w:lang w:val="en-US" w:eastAsia="zh-CN"/>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水文化保护与利用、</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区域经济、</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人口、资源与环境经济、</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生态价值转化、</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生态补偿、</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工程造价、</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7" w:type="dxa"/>
            <w:vMerge w:val="continue"/>
            <w:vAlign w:val="top"/>
          </w:tcPr>
          <w:p>
            <w:pPr>
              <w:spacing w:before="72" w:line="223" w:lineRule="auto"/>
              <w:ind w:left="119"/>
              <w:rPr>
                <w:rFonts w:ascii="黑体" w:hAnsi="黑体" w:eastAsia="黑体" w:cs="黑体"/>
                <w:spacing w:val="-4"/>
                <w:sz w:val="22"/>
                <w:szCs w:val="22"/>
              </w:rPr>
            </w:pPr>
          </w:p>
        </w:tc>
        <w:tc>
          <w:tcPr>
            <w:tcW w:w="1757" w:type="dxa"/>
            <w:gridSpan w:val="2"/>
            <w:vAlign w:val="top"/>
          </w:tcPr>
          <w:p>
            <w:pPr>
              <w:spacing w:before="72" w:line="222" w:lineRule="auto"/>
              <w:ind w:left="48"/>
              <w:rPr>
                <w:rFonts w:hint="default" w:ascii="黑体" w:hAnsi="黑体" w:eastAsia="黑体" w:cs="黑体"/>
                <w:spacing w:val="6"/>
                <w:sz w:val="22"/>
                <w:szCs w:val="22"/>
                <w:lang w:val="en-US" w:eastAsia="zh-CN"/>
              </w:rPr>
            </w:pPr>
            <w:r>
              <w:rPr>
                <w:rFonts w:hint="eastAsia" w:ascii="黑体" w:hAnsi="黑体" w:eastAsia="黑体" w:cs="黑体"/>
                <w:spacing w:val="6"/>
                <w:sz w:val="22"/>
                <w:szCs w:val="22"/>
                <w:lang w:val="en-US" w:eastAsia="zh-CN"/>
              </w:rPr>
              <w:t>水利信息化</w:t>
            </w:r>
          </w:p>
        </w:tc>
        <w:tc>
          <w:tcPr>
            <w:tcW w:w="5984" w:type="dxa"/>
            <w:gridSpan w:val="5"/>
            <w:vAlign w:val="top"/>
          </w:tcPr>
          <w:p>
            <w:pPr>
              <w:spacing w:before="57" w:line="237" w:lineRule="auto"/>
              <w:ind w:left="37"/>
              <w:rPr>
                <w:rFonts w:hint="default" w:ascii="黑体" w:hAnsi="黑体" w:eastAsia="黑体" w:cs="黑体"/>
                <w:spacing w:val="6"/>
                <w:sz w:val="22"/>
                <w:szCs w:val="22"/>
                <w:lang w:val="en-US" w:eastAsia="zh-CN"/>
              </w:rPr>
            </w:pP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网络安全与技术、</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通信工程、</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软件工程、</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数据分析与应用、</w:t>
            </w:r>
            <w:r>
              <w:rPr>
                <w:rFonts w:hint="eastAsia" w:ascii="黑体" w:hAnsi="黑体" w:eastAsia="黑体" w:cs="黑体"/>
                <w:spacing w:val="6"/>
                <w:sz w:val="22"/>
                <w:szCs w:val="22"/>
              </w:rPr>
              <w:sym w:font="Wingdings 2" w:char="00A3"/>
            </w:r>
            <w:r>
              <w:rPr>
                <w:rFonts w:hint="eastAsia" w:ascii="黑体" w:hAnsi="黑体" w:eastAsia="黑体" w:cs="黑体"/>
                <w:spacing w:val="6"/>
                <w:sz w:val="22"/>
                <w:szCs w:val="22"/>
                <w:lang w:val="en-US" w:eastAsia="zh-CN"/>
              </w:rPr>
              <w:t>其他</w:t>
            </w:r>
            <w:r>
              <w:rPr>
                <w:rFonts w:hint="eastAsia" w:ascii="仿宋" w:hAnsi="仿宋" w:eastAsia="仿宋"/>
                <w:sz w:val="28"/>
                <w:szCs w:val="28"/>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4" w:hRule="atLeast"/>
          <w:jc w:val="center"/>
        </w:trPr>
        <w:tc>
          <w:tcPr>
            <w:tcW w:w="109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rPr>
                <w:rFonts w:ascii="Arial"/>
                <w:sz w:val="21"/>
              </w:rPr>
            </w:pPr>
          </w:p>
          <w:p>
            <w:pPr>
              <w:pStyle w:val="2"/>
              <w:rPr>
                <w:rFonts w:ascii="Arial"/>
                <w:sz w:val="21"/>
              </w:rPr>
            </w:pPr>
          </w:p>
          <w:p>
            <w:pPr>
              <w:spacing w:before="71" w:line="222" w:lineRule="auto"/>
              <w:ind w:left="114"/>
              <w:rPr>
                <w:rFonts w:ascii="黑体" w:hAnsi="黑体" w:eastAsia="黑体" w:cs="黑体"/>
                <w:sz w:val="22"/>
                <w:szCs w:val="22"/>
              </w:rPr>
            </w:pPr>
            <w:r>
              <w:rPr>
                <w:rFonts w:ascii="黑体" w:hAnsi="黑体" w:eastAsia="黑体" w:cs="黑体"/>
                <w:spacing w:val="-2"/>
                <w:sz w:val="22"/>
                <w:szCs w:val="22"/>
              </w:rPr>
              <w:t>个人简历</w:t>
            </w:r>
          </w:p>
        </w:tc>
        <w:tc>
          <w:tcPr>
            <w:tcW w:w="7741" w:type="dxa"/>
            <w:gridSpan w:val="7"/>
            <w:vAlign w:val="top"/>
          </w:tcPr>
          <w:p>
            <w:pPr>
              <w:tabs>
                <w:tab w:val="left" w:pos="108"/>
              </w:tabs>
              <w:spacing w:before="83" w:line="231" w:lineRule="auto"/>
              <w:rPr>
                <w:rFonts w:ascii="黑体" w:hAnsi="黑体" w:eastAsia="黑体" w:cs="黑体"/>
                <w:sz w:val="21"/>
                <w:szCs w:val="21"/>
              </w:rPr>
            </w:pPr>
            <w:r>
              <w:rPr>
                <w:rFonts w:ascii="黑体" w:hAnsi="黑体" w:eastAsia="黑体" w:cs="黑体"/>
                <w:spacing w:val="10"/>
                <w:sz w:val="21"/>
                <w:szCs w:val="21"/>
              </w:rPr>
              <w:t>(填</w:t>
            </w:r>
            <w:r>
              <w:rPr>
                <w:rFonts w:ascii="黑体" w:hAnsi="黑体" w:eastAsia="黑体" w:cs="黑体"/>
                <w:spacing w:val="8"/>
                <w:sz w:val="21"/>
                <w:szCs w:val="21"/>
              </w:rPr>
              <w:t>写</w:t>
            </w:r>
            <w:r>
              <w:rPr>
                <w:rFonts w:ascii="黑体" w:hAnsi="黑体" w:eastAsia="黑体" w:cs="黑体"/>
                <w:spacing w:val="5"/>
                <w:sz w:val="21"/>
                <w:szCs w:val="21"/>
              </w:rPr>
              <w:t>教育背景、工作经历等)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jc w:val="center"/>
        </w:trPr>
        <w:tc>
          <w:tcPr>
            <w:tcW w:w="1097" w:type="dxa"/>
            <w:vAlign w:val="top"/>
          </w:tcPr>
          <w:p>
            <w:pPr>
              <w:spacing w:before="72" w:line="222" w:lineRule="auto"/>
              <w:ind w:left="114"/>
              <w:rPr>
                <w:rFonts w:ascii="黑体" w:hAnsi="黑体" w:eastAsia="黑体" w:cs="黑体"/>
                <w:spacing w:val="-2"/>
                <w:sz w:val="22"/>
                <w:szCs w:val="22"/>
              </w:rPr>
            </w:pPr>
          </w:p>
          <w:p>
            <w:pPr>
              <w:spacing w:before="72" w:line="222" w:lineRule="auto"/>
              <w:ind w:left="114"/>
              <w:rPr>
                <w:rFonts w:ascii="黑体" w:hAnsi="黑体" w:eastAsia="黑体" w:cs="黑体"/>
                <w:spacing w:val="-2"/>
                <w:sz w:val="22"/>
                <w:szCs w:val="22"/>
              </w:rPr>
            </w:pPr>
          </w:p>
          <w:p>
            <w:pPr>
              <w:spacing w:before="72" w:line="222" w:lineRule="auto"/>
              <w:ind w:left="114"/>
              <w:rPr>
                <w:rFonts w:ascii="黑体" w:hAnsi="黑体" w:eastAsia="黑体" w:cs="黑体"/>
                <w:spacing w:val="-2"/>
                <w:sz w:val="22"/>
                <w:szCs w:val="22"/>
              </w:rPr>
            </w:pPr>
          </w:p>
          <w:p>
            <w:pPr>
              <w:spacing w:before="72" w:line="222" w:lineRule="auto"/>
              <w:ind w:left="114"/>
              <w:rPr>
                <w:rFonts w:ascii="黑体" w:hAnsi="黑体" w:eastAsia="黑体" w:cs="黑体"/>
                <w:sz w:val="22"/>
                <w:szCs w:val="22"/>
              </w:rPr>
            </w:pPr>
            <w:r>
              <w:rPr>
                <w:rFonts w:ascii="黑体" w:hAnsi="黑体" w:eastAsia="黑体" w:cs="黑体"/>
                <w:spacing w:val="-2"/>
                <w:sz w:val="22"/>
                <w:szCs w:val="22"/>
              </w:rPr>
              <w:t>个人研究</w:t>
            </w:r>
          </w:p>
          <w:p>
            <w:pPr>
              <w:spacing w:before="75" w:line="223" w:lineRule="auto"/>
              <w:ind w:left="112"/>
              <w:rPr>
                <w:rFonts w:ascii="黑体" w:hAnsi="黑体" w:eastAsia="黑体" w:cs="黑体"/>
                <w:sz w:val="22"/>
                <w:szCs w:val="22"/>
              </w:rPr>
            </w:pPr>
            <w:r>
              <w:rPr>
                <w:rFonts w:ascii="黑体" w:hAnsi="黑体" w:eastAsia="黑体" w:cs="黑体"/>
                <w:spacing w:val="-2"/>
                <w:sz w:val="22"/>
                <w:szCs w:val="22"/>
              </w:rPr>
              <w:t>成果</w:t>
            </w:r>
            <w:r>
              <w:rPr>
                <w:rFonts w:ascii="黑体" w:hAnsi="黑体" w:eastAsia="黑体" w:cs="黑体"/>
                <w:spacing w:val="-1"/>
                <w:sz w:val="22"/>
                <w:szCs w:val="22"/>
              </w:rPr>
              <w:t>及工</w:t>
            </w:r>
          </w:p>
          <w:p>
            <w:pPr>
              <w:spacing w:before="75" w:line="222" w:lineRule="auto"/>
              <w:ind w:left="223"/>
              <w:rPr>
                <w:rFonts w:ascii="黑体" w:hAnsi="黑体" w:eastAsia="黑体" w:cs="黑体"/>
                <w:sz w:val="22"/>
                <w:szCs w:val="22"/>
              </w:rPr>
            </w:pPr>
            <w:r>
              <w:rPr>
                <w:rFonts w:ascii="黑体" w:hAnsi="黑体" w:eastAsia="黑体" w:cs="黑体"/>
                <w:spacing w:val="-2"/>
                <w:sz w:val="22"/>
                <w:szCs w:val="22"/>
              </w:rPr>
              <w:t>作成就</w:t>
            </w:r>
          </w:p>
        </w:tc>
        <w:tc>
          <w:tcPr>
            <w:tcW w:w="7741" w:type="dxa"/>
            <w:gridSpan w:val="7"/>
            <w:vAlign w:val="top"/>
          </w:tcPr>
          <w:p>
            <w:pPr>
              <w:tabs>
                <w:tab w:val="left" w:pos="108"/>
              </w:tabs>
              <w:spacing w:before="89" w:line="310" w:lineRule="auto"/>
              <w:ind w:left="96" w:right="14" w:hanging="96"/>
              <w:rPr>
                <w:rFonts w:ascii="黑体" w:hAnsi="黑体" w:eastAsia="黑体" w:cs="黑体"/>
                <w:sz w:val="21"/>
                <w:szCs w:val="21"/>
              </w:rPr>
            </w:pPr>
            <w:r>
              <w:rPr>
                <w:rFonts w:ascii="黑体" w:hAnsi="黑体" w:eastAsia="黑体" w:cs="黑体"/>
                <w:spacing w:val="8"/>
                <w:sz w:val="21"/>
                <w:szCs w:val="21"/>
              </w:rPr>
              <w:t>(填写</w:t>
            </w:r>
            <w:r>
              <w:rPr>
                <w:rFonts w:ascii="黑体" w:hAnsi="黑体" w:eastAsia="黑体" w:cs="黑体"/>
                <w:spacing w:val="4"/>
                <w:sz w:val="21"/>
                <w:szCs w:val="21"/>
              </w:rPr>
              <w:t>承担国家、省部级项目情况、主要论文和著作情况、获奖及专利等情</w:t>
            </w:r>
            <w:r>
              <w:rPr>
                <w:rFonts w:ascii="黑体" w:hAnsi="黑体" w:eastAsia="黑体" w:cs="黑体"/>
                <w:spacing w:val="-1"/>
                <w:sz w:val="21"/>
                <w:szCs w:val="21"/>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jc w:val="center"/>
        </w:trPr>
        <w:tc>
          <w:tcPr>
            <w:tcW w:w="1097" w:type="dxa"/>
            <w:vAlign w:val="top"/>
          </w:tcPr>
          <w:p>
            <w:pPr>
              <w:spacing w:line="265" w:lineRule="auto"/>
              <w:rPr>
                <w:rFonts w:ascii="Arial"/>
                <w:sz w:val="21"/>
              </w:rPr>
            </w:pPr>
          </w:p>
          <w:p>
            <w:pPr>
              <w:pStyle w:val="2"/>
            </w:pPr>
          </w:p>
          <w:p>
            <w:pPr>
              <w:pStyle w:val="2"/>
            </w:pPr>
          </w:p>
          <w:p>
            <w:pPr>
              <w:spacing w:before="71" w:line="225" w:lineRule="auto"/>
              <w:ind w:left="119"/>
              <w:rPr>
                <w:rFonts w:ascii="黑体" w:hAnsi="黑体" w:eastAsia="黑体" w:cs="黑体"/>
                <w:sz w:val="22"/>
                <w:szCs w:val="22"/>
              </w:rPr>
            </w:pPr>
            <w:r>
              <w:rPr>
                <w:rFonts w:ascii="黑体" w:hAnsi="黑体" w:eastAsia="黑体" w:cs="黑体"/>
                <w:spacing w:val="-4"/>
                <w:sz w:val="22"/>
                <w:szCs w:val="22"/>
              </w:rPr>
              <w:t>专</w:t>
            </w:r>
            <w:r>
              <w:rPr>
                <w:rFonts w:ascii="黑体" w:hAnsi="黑体" w:eastAsia="黑体" w:cs="黑体"/>
                <w:spacing w:val="-3"/>
                <w:sz w:val="22"/>
                <w:szCs w:val="22"/>
              </w:rPr>
              <w:t>业证书</w:t>
            </w:r>
          </w:p>
        </w:tc>
        <w:tc>
          <w:tcPr>
            <w:tcW w:w="7741" w:type="dxa"/>
            <w:gridSpan w:val="7"/>
            <w:vAlign w:val="top"/>
          </w:tcPr>
          <w:p>
            <w:pPr>
              <w:tabs>
                <w:tab w:val="left" w:pos="108"/>
              </w:tabs>
              <w:spacing w:before="85" w:line="232" w:lineRule="auto"/>
              <w:rPr>
                <w:rFonts w:ascii="黑体" w:hAnsi="黑体" w:eastAsia="黑体" w:cs="黑体"/>
                <w:sz w:val="21"/>
                <w:szCs w:val="21"/>
              </w:rPr>
            </w:pPr>
            <w:r>
              <w:rPr>
                <w:rFonts w:ascii="黑体" w:hAnsi="黑体" w:eastAsia="黑体" w:cs="黑体"/>
                <w:spacing w:val="8"/>
                <w:sz w:val="21"/>
                <w:szCs w:val="21"/>
              </w:rPr>
              <w:t>(填写</w:t>
            </w:r>
            <w:r>
              <w:rPr>
                <w:rFonts w:ascii="黑体" w:hAnsi="黑体" w:eastAsia="黑体" w:cs="黑体"/>
                <w:spacing w:val="5"/>
                <w:sz w:val="21"/>
                <w:szCs w:val="21"/>
              </w:rPr>
              <w:t>已</w:t>
            </w:r>
            <w:r>
              <w:rPr>
                <w:rFonts w:ascii="黑体" w:hAnsi="黑体" w:eastAsia="黑体" w:cs="黑体"/>
                <w:spacing w:val="4"/>
                <w:sz w:val="21"/>
                <w:szCs w:val="21"/>
              </w:rPr>
              <w:t>获得的与专业领域相关的专业证书)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0" w:hRule="atLeast"/>
          <w:jc w:val="center"/>
        </w:trPr>
        <w:tc>
          <w:tcPr>
            <w:tcW w:w="109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1" w:line="298" w:lineRule="auto"/>
              <w:ind w:left="116" w:right="105" w:firstLine="2"/>
              <w:rPr>
                <w:rFonts w:ascii="黑体" w:hAnsi="黑体" w:eastAsia="黑体" w:cs="黑体"/>
                <w:sz w:val="22"/>
                <w:szCs w:val="22"/>
              </w:rPr>
            </w:pPr>
            <w:r>
              <w:rPr>
                <w:rFonts w:ascii="黑体" w:hAnsi="黑体" w:eastAsia="黑体" w:cs="黑体"/>
                <w:spacing w:val="-4"/>
                <w:sz w:val="22"/>
                <w:szCs w:val="22"/>
              </w:rPr>
              <w:t>专</w:t>
            </w:r>
            <w:r>
              <w:rPr>
                <w:rFonts w:ascii="黑体" w:hAnsi="黑体" w:eastAsia="黑体" w:cs="黑体"/>
                <w:spacing w:val="-3"/>
                <w:sz w:val="22"/>
                <w:szCs w:val="22"/>
              </w:rPr>
              <w:t>家个人</w:t>
            </w:r>
            <w:r>
              <w:rPr>
                <w:rFonts w:ascii="黑体" w:hAnsi="黑体" w:eastAsia="黑体" w:cs="黑体"/>
                <w:sz w:val="22"/>
                <w:szCs w:val="22"/>
              </w:rPr>
              <w:t xml:space="preserve"> </w:t>
            </w:r>
            <w:r>
              <w:rPr>
                <w:rFonts w:ascii="黑体" w:hAnsi="黑体" w:eastAsia="黑体" w:cs="黑体"/>
                <w:spacing w:val="-2"/>
                <w:sz w:val="22"/>
                <w:szCs w:val="22"/>
              </w:rPr>
              <w:t xml:space="preserve">意   </w:t>
            </w:r>
            <w:r>
              <w:rPr>
                <w:rFonts w:ascii="黑体" w:hAnsi="黑体" w:eastAsia="黑体" w:cs="黑体"/>
                <w:spacing w:val="-1"/>
                <w:sz w:val="22"/>
                <w:szCs w:val="22"/>
              </w:rPr>
              <w:t xml:space="preserve"> 见</w:t>
            </w:r>
          </w:p>
        </w:tc>
        <w:tc>
          <w:tcPr>
            <w:tcW w:w="7741" w:type="dxa"/>
            <w:gridSpan w:val="7"/>
            <w:vAlign w:val="top"/>
          </w:tcPr>
          <w:p>
            <w:pPr>
              <w:rPr>
                <w:rFonts w:ascii="仿宋" w:hAnsi="仿宋" w:eastAsia="仿宋"/>
                <w:sz w:val="28"/>
                <w:szCs w:val="28"/>
              </w:rPr>
            </w:pPr>
            <w:r>
              <w:rPr>
                <w:rFonts w:ascii="黑体" w:hAnsi="黑体" w:eastAsia="黑体" w:cs="黑体"/>
                <w:spacing w:val="12"/>
                <w:sz w:val="21"/>
                <w:szCs w:val="21"/>
              </w:rPr>
              <w:t>(签字即</w:t>
            </w:r>
            <w:r>
              <w:rPr>
                <w:rFonts w:ascii="黑体" w:hAnsi="黑体" w:eastAsia="黑体" w:cs="黑体"/>
                <w:spacing w:val="8"/>
                <w:sz w:val="21"/>
                <w:szCs w:val="21"/>
              </w:rPr>
              <w:t>表</w:t>
            </w:r>
            <w:r>
              <w:rPr>
                <w:rFonts w:ascii="黑体" w:hAnsi="黑体" w:eastAsia="黑体" w:cs="黑体"/>
                <w:spacing w:val="6"/>
                <w:sz w:val="21"/>
                <w:szCs w:val="21"/>
              </w:rPr>
              <w:t>示本人确认本表内容客观真实，愿意担任专家)</w:t>
            </w:r>
          </w:p>
          <w:p>
            <w:pPr>
              <w:rPr>
                <w:rFonts w:hint="eastAsia" w:ascii="仿宋" w:hAnsi="仿宋" w:eastAsia="黑体"/>
                <w:sz w:val="28"/>
                <w:szCs w:val="28"/>
                <w:lang w:eastAsia="zh-CN"/>
              </w:rPr>
            </w:pPr>
          </w:p>
          <w:p>
            <w:pPr>
              <w:spacing w:before="72" w:line="222" w:lineRule="auto"/>
              <w:ind w:right="351"/>
              <w:jc w:val="right"/>
              <w:rPr>
                <w:rFonts w:ascii="黑体" w:hAnsi="黑体" w:eastAsia="黑体" w:cs="黑体"/>
                <w:spacing w:val="22"/>
                <w:sz w:val="22"/>
                <w:szCs w:val="22"/>
              </w:rPr>
            </w:pPr>
          </w:p>
          <w:p>
            <w:pPr>
              <w:spacing w:before="72" w:line="222" w:lineRule="auto"/>
              <w:ind w:right="351"/>
              <w:jc w:val="right"/>
              <w:rPr>
                <w:rFonts w:ascii="黑体" w:hAnsi="黑体" w:eastAsia="黑体" w:cs="黑体"/>
                <w:spacing w:val="22"/>
                <w:sz w:val="22"/>
                <w:szCs w:val="22"/>
              </w:rPr>
            </w:pPr>
          </w:p>
          <w:p>
            <w:pPr>
              <w:spacing w:before="72" w:line="222" w:lineRule="auto"/>
              <w:ind w:right="351"/>
              <w:jc w:val="right"/>
              <w:rPr>
                <w:rFonts w:ascii="黑体" w:hAnsi="黑体" w:eastAsia="黑体" w:cs="黑体"/>
                <w:spacing w:val="22"/>
                <w:sz w:val="22"/>
                <w:szCs w:val="22"/>
              </w:rPr>
            </w:pPr>
          </w:p>
          <w:p>
            <w:pPr>
              <w:spacing w:before="72" w:line="222" w:lineRule="auto"/>
              <w:ind w:right="351"/>
              <w:jc w:val="right"/>
              <w:rPr>
                <w:rFonts w:ascii="黑体" w:hAnsi="黑体" w:eastAsia="黑体" w:cs="黑体"/>
                <w:sz w:val="22"/>
                <w:szCs w:val="22"/>
              </w:rPr>
            </w:pPr>
            <w:r>
              <w:rPr>
                <w:rFonts w:ascii="黑体" w:hAnsi="黑体" w:eastAsia="黑体" w:cs="黑体"/>
                <w:spacing w:val="22"/>
                <w:sz w:val="22"/>
                <w:szCs w:val="22"/>
              </w:rPr>
              <w:t>(签字)</w:t>
            </w:r>
          </w:p>
          <w:p>
            <w:pPr>
              <w:spacing w:before="75" w:line="218" w:lineRule="auto"/>
              <w:ind w:firstLine="6104" w:firstLineChars="2800"/>
              <w:jc w:val="both"/>
              <w:rPr>
                <w:rFonts w:ascii="黑体" w:hAnsi="黑体" w:eastAsia="黑体" w:cs="黑体"/>
                <w:sz w:val="22"/>
                <w:szCs w:val="22"/>
              </w:rPr>
            </w:pPr>
            <w:r>
              <w:rPr>
                <w:rFonts w:ascii="黑体" w:hAnsi="黑体" w:eastAsia="黑体" w:cs="黑体"/>
                <w:spacing w:val="-1"/>
                <w:sz w:val="22"/>
                <w:szCs w:val="22"/>
              </w:rPr>
              <w:t xml:space="preserve">年    月   </w:t>
            </w:r>
            <w:r>
              <w:rPr>
                <w:rFonts w:ascii="黑体" w:hAnsi="黑体" w:eastAsia="黑体" w:cs="黑体"/>
                <w:sz w:val="22"/>
                <w:szCs w:val="22"/>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2" w:hRule="atLeast"/>
          <w:jc w:val="center"/>
        </w:trPr>
        <w:tc>
          <w:tcPr>
            <w:tcW w:w="1097" w:type="dxa"/>
            <w:vAlign w:val="top"/>
          </w:tcPr>
          <w:p>
            <w:pPr>
              <w:spacing w:before="71" w:line="298" w:lineRule="auto"/>
              <w:ind w:left="116" w:right="105"/>
              <w:rPr>
                <w:rFonts w:ascii="黑体" w:hAnsi="黑体" w:eastAsia="黑体" w:cs="黑体"/>
                <w:spacing w:val="-4"/>
                <w:sz w:val="22"/>
                <w:szCs w:val="22"/>
              </w:rPr>
            </w:pPr>
          </w:p>
          <w:p>
            <w:pPr>
              <w:spacing w:before="71" w:line="298" w:lineRule="auto"/>
              <w:ind w:left="116" w:right="105"/>
              <w:rPr>
                <w:rFonts w:ascii="黑体" w:hAnsi="黑体" w:eastAsia="黑体" w:cs="黑体"/>
                <w:spacing w:val="-4"/>
                <w:sz w:val="22"/>
                <w:szCs w:val="22"/>
              </w:rPr>
            </w:pPr>
          </w:p>
          <w:p>
            <w:pPr>
              <w:spacing w:before="71" w:line="298" w:lineRule="auto"/>
              <w:ind w:left="116" w:right="105"/>
              <w:rPr>
                <w:rFonts w:ascii="黑体" w:hAnsi="黑体" w:eastAsia="黑体" w:cs="黑体"/>
                <w:sz w:val="22"/>
                <w:szCs w:val="22"/>
              </w:rPr>
            </w:pPr>
            <w:r>
              <w:rPr>
                <w:rFonts w:ascii="黑体" w:hAnsi="黑体" w:eastAsia="黑体" w:cs="黑体"/>
                <w:spacing w:val="-4"/>
                <w:sz w:val="22"/>
                <w:szCs w:val="22"/>
              </w:rPr>
              <w:t>所</w:t>
            </w:r>
            <w:r>
              <w:rPr>
                <w:rFonts w:ascii="黑体" w:hAnsi="黑体" w:eastAsia="黑体" w:cs="黑体"/>
                <w:spacing w:val="-3"/>
                <w:sz w:val="22"/>
                <w:szCs w:val="22"/>
              </w:rPr>
              <w:t>在</w:t>
            </w:r>
            <w:r>
              <w:rPr>
                <w:rFonts w:ascii="黑体" w:hAnsi="黑体" w:eastAsia="黑体" w:cs="黑体"/>
                <w:spacing w:val="-2"/>
                <w:sz w:val="22"/>
                <w:szCs w:val="22"/>
              </w:rPr>
              <w:t>单位</w:t>
            </w:r>
            <w:r>
              <w:rPr>
                <w:rFonts w:ascii="黑体" w:hAnsi="黑体" w:eastAsia="黑体" w:cs="黑体"/>
                <w:sz w:val="22"/>
                <w:szCs w:val="22"/>
              </w:rPr>
              <w:t xml:space="preserve"> </w:t>
            </w:r>
            <w:r>
              <w:rPr>
                <w:rFonts w:ascii="黑体" w:hAnsi="黑体" w:eastAsia="黑体" w:cs="黑体"/>
                <w:spacing w:val="-2"/>
                <w:sz w:val="22"/>
                <w:szCs w:val="22"/>
              </w:rPr>
              <w:t xml:space="preserve">意   </w:t>
            </w:r>
            <w:r>
              <w:rPr>
                <w:rFonts w:ascii="黑体" w:hAnsi="黑体" w:eastAsia="黑体" w:cs="黑体"/>
                <w:spacing w:val="-1"/>
                <w:sz w:val="22"/>
                <w:szCs w:val="22"/>
              </w:rPr>
              <w:t xml:space="preserve"> 见</w:t>
            </w:r>
          </w:p>
        </w:tc>
        <w:tc>
          <w:tcPr>
            <w:tcW w:w="7741" w:type="dxa"/>
            <w:gridSpan w:val="7"/>
            <w:vAlign w:val="top"/>
          </w:tcPr>
          <w:p>
            <w:pPr>
              <w:tabs>
                <w:tab w:val="left" w:pos="108"/>
              </w:tabs>
              <w:spacing w:before="87" w:line="310" w:lineRule="auto"/>
              <w:ind w:left="96" w:right="14" w:hanging="96"/>
              <w:rPr>
                <w:rFonts w:ascii="黑体" w:hAnsi="黑体" w:eastAsia="黑体" w:cs="黑体"/>
                <w:sz w:val="21"/>
                <w:szCs w:val="21"/>
              </w:rPr>
            </w:pPr>
            <w:r>
              <w:rPr>
                <w:rFonts w:ascii="黑体" w:hAnsi="黑体" w:eastAsia="黑体" w:cs="黑体"/>
                <w:spacing w:val="8"/>
                <w:sz w:val="21"/>
                <w:szCs w:val="21"/>
              </w:rPr>
              <w:t>(盖章</w:t>
            </w:r>
            <w:r>
              <w:rPr>
                <w:rFonts w:ascii="黑体" w:hAnsi="黑体" w:eastAsia="黑体" w:cs="黑体"/>
                <w:spacing w:val="6"/>
                <w:sz w:val="21"/>
                <w:szCs w:val="21"/>
              </w:rPr>
              <w:t>即</w:t>
            </w:r>
            <w:r>
              <w:rPr>
                <w:rFonts w:ascii="黑体" w:hAnsi="黑体" w:eastAsia="黑体" w:cs="黑体"/>
                <w:spacing w:val="4"/>
                <w:sz w:val="21"/>
                <w:szCs w:val="21"/>
              </w:rPr>
              <w:t>表示相关单位确认本表内容客观真实，同意相关人员担任</w:t>
            </w:r>
            <w:r>
              <w:rPr>
                <w:rFonts w:ascii="黑体" w:hAnsi="黑体" w:eastAsia="黑体" w:cs="黑体"/>
                <w:spacing w:val="3"/>
                <w:sz w:val="21"/>
                <w:szCs w:val="21"/>
              </w:rPr>
              <w:t>专家)</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1" w:line="222" w:lineRule="auto"/>
              <w:ind w:right="351"/>
              <w:jc w:val="right"/>
              <w:rPr>
                <w:rFonts w:ascii="黑体" w:hAnsi="黑体" w:eastAsia="黑体" w:cs="黑体"/>
                <w:sz w:val="22"/>
                <w:szCs w:val="22"/>
              </w:rPr>
            </w:pPr>
            <w:r>
              <w:rPr>
                <w:rFonts w:ascii="黑体" w:hAnsi="黑体" w:eastAsia="黑体" w:cs="黑体"/>
                <w:spacing w:val="22"/>
                <w:sz w:val="22"/>
                <w:szCs w:val="22"/>
              </w:rPr>
              <w:t>(盖章)</w:t>
            </w:r>
          </w:p>
          <w:p>
            <w:pPr>
              <w:spacing w:before="73" w:line="219" w:lineRule="auto"/>
              <w:jc w:val="right"/>
              <w:rPr>
                <w:rFonts w:ascii="黑体" w:hAnsi="黑体" w:eastAsia="黑体" w:cs="黑体"/>
                <w:sz w:val="22"/>
                <w:szCs w:val="22"/>
              </w:rPr>
            </w:pPr>
            <w:r>
              <w:rPr>
                <w:rFonts w:ascii="黑体" w:hAnsi="黑体" w:eastAsia="黑体" w:cs="黑体"/>
                <w:spacing w:val="-1"/>
                <w:sz w:val="22"/>
                <w:szCs w:val="22"/>
              </w:rPr>
              <w:t xml:space="preserve">年    月   </w:t>
            </w:r>
            <w:r>
              <w:rPr>
                <w:rFonts w:ascii="黑体" w:hAnsi="黑体" w:eastAsia="黑体" w:cs="黑体"/>
                <w:sz w:val="22"/>
                <w:szCs w:val="22"/>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3" w:hRule="atLeast"/>
          <w:jc w:val="center"/>
        </w:trPr>
        <w:tc>
          <w:tcPr>
            <w:tcW w:w="1097"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2" w:line="299" w:lineRule="auto"/>
              <w:ind w:left="115" w:right="73" w:hanging="34"/>
              <w:rPr>
                <w:rFonts w:ascii="黑体" w:hAnsi="黑体" w:eastAsia="黑体" w:cs="黑体"/>
                <w:sz w:val="22"/>
                <w:szCs w:val="22"/>
              </w:rPr>
            </w:pPr>
            <w:r>
              <w:rPr>
                <w:rFonts w:ascii="黑体" w:hAnsi="黑体" w:eastAsia="黑体" w:cs="黑体"/>
                <w:spacing w:val="-1"/>
                <w:sz w:val="22"/>
                <w:szCs w:val="22"/>
              </w:rPr>
              <w:t>推荐</w:t>
            </w:r>
            <w:r>
              <w:rPr>
                <w:rFonts w:ascii="Times New Roman" w:hAnsi="Times New Roman" w:eastAsia="Times New Roman" w:cs="Times New Roman"/>
                <w:spacing w:val="-1"/>
                <w:sz w:val="22"/>
                <w:szCs w:val="22"/>
              </w:rPr>
              <w:t>/</w:t>
            </w:r>
            <w:r>
              <w:rPr>
                <w:rFonts w:ascii="黑体" w:hAnsi="黑体" w:eastAsia="黑体" w:cs="黑体"/>
                <w:spacing w:val="-1"/>
                <w:sz w:val="22"/>
                <w:szCs w:val="22"/>
              </w:rPr>
              <w:t>自荐</w:t>
            </w:r>
            <w:r>
              <w:rPr>
                <w:rFonts w:ascii="黑体" w:hAnsi="黑体" w:eastAsia="黑体" w:cs="黑体"/>
                <w:sz w:val="22"/>
                <w:szCs w:val="22"/>
              </w:rPr>
              <w:t xml:space="preserve"> </w:t>
            </w:r>
            <w:r>
              <w:rPr>
                <w:rFonts w:ascii="黑体" w:hAnsi="黑体" w:eastAsia="黑体" w:cs="黑体"/>
                <w:spacing w:val="-1"/>
                <w:sz w:val="22"/>
                <w:szCs w:val="22"/>
              </w:rPr>
              <w:t>意</w:t>
            </w:r>
            <w:r>
              <w:rPr>
                <w:rFonts w:ascii="黑体" w:hAnsi="黑体" w:eastAsia="黑体" w:cs="黑体"/>
                <w:sz w:val="22"/>
                <w:szCs w:val="22"/>
              </w:rPr>
              <w:t xml:space="preserve">    见</w:t>
            </w:r>
          </w:p>
        </w:tc>
        <w:tc>
          <w:tcPr>
            <w:tcW w:w="7741" w:type="dxa"/>
            <w:gridSpan w:val="7"/>
            <w:vAlign w:val="top"/>
          </w:tcPr>
          <w:p>
            <w:pPr>
              <w:tabs>
                <w:tab w:val="left" w:pos="108"/>
              </w:tabs>
              <w:spacing w:before="83" w:line="312" w:lineRule="auto"/>
              <w:ind w:left="95" w:right="14" w:hanging="95"/>
              <w:rPr>
                <w:rFonts w:ascii="黑体" w:hAnsi="黑体" w:eastAsia="黑体" w:cs="黑体"/>
                <w:sz w:val="21"/>
                <w:szCs w:val="21"/>
              </w:rPr>
            </w:pPr>
            <w:r>
              <w:rPr>
                <w:rFonts w:ascii="黑体" w:hAnsi="黑体" w:eastAsia="黑体" w:cs="黑体"/>
                <w:spacing w:val="8"/>
                <w:sz w:val="21"/>
                <w:szCs w:val="21"/>
              </w:rPr>
              <w:t>(推荐</w:t>
            </w:r>
            <w:r>
              <w:rPr>
                <w:rFonts w:ascii="黑体" w:hAnsi="黑体" w:eastAsia="黑体" w:cs="黑体"/>
                <w:spacing w:val="6"/>
                <w:sz w:val="21"/>
                <w:szCs w:val="21"/>
              </w:rPr>
              <w:t>单</w:t>
            </w:r>
            <w:r>
              <w:rPr>
                <w:rFonts w:ascii="黑体" w:hAnsi="黑体" w:eastAsia="黑体" w:cs="黑体"/>
                <w:spacing w:val="4"/>
                <w:sz w:val="21"/>
                <w:szCs w:val="21"/>
              </w:rPr>
              <w:t>位盖章即表示本表内容客观真实，并同意向我</w:t>
            </w:r>
            <w:r>
              <w:rPr>
                <w:rFonts w:hint="eastAsia" w:ascii="黑体" w:hAnsi="黑体" w:eastAsia="黑体" w:cs="黑体"/>
                <w:spacing w:val="4"/>
                <w:sz w:val="21"/>
                <w:szCs w:val="21"/>
                <w:lang w:val="en-US" w:eastAsia="zh-CN"/>
              </w:rPr>
              <w:t>办</w:t>
            </w:r>
            <w:r>
              <w:rPr>
                <w:rFonts w:ascii="黑体" w:hAnsi="黑体" w:eastAsia="黑体" w:cs="黑体"/>
                <w:spacing w:val="4"/>
                <w:sz w:val="21"/>
                <w:szCs w:val="21"/>
              </w:rPr>
              <w:t>推荐；自荐人签字即表示</w:t>
            </w:r>
            <w:r>
              <w:rPr>
                <w:rFonts w:ascii="黑体" w:hAnsi="黑体" w:eastAsia="黑体" w:cs="黑体"/>
                <w:spacing w:val="7"/>
                <w:sz w:val="21"/>
                <w:szCs w:val="21"/>
              </w:rPr>
              <w:t>本表内容客观真实，并正式提出自荐申请</w:t>
            </w:r>
            <w:r>
              <w:rPr>
                <w:rFonts w:ascii="黑体" w:hAnsi="黑体" w:eastAsia="黑体" w:cs="黑体"/>
                <w:spacing w:val="6"/>
                <w:sz w:val="21"/>
                <w:szCs w:val="21"/>
              </w:rPr>
              <w:t>)</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2" w:line="222" w:lineRule="auto"/>
              <w:ind w:left="2294"/>
              <w:jc w:val="right"/>
              <w:rPr>
                <w:rFonts w:ascii="黑体" w:hAnsi="黑体" w:eastAsia="黑体" w:cs="黑体"/>
                <w:sz w:val="22"/>
                <w:szCs w:val="22"/>
              </w:rPr>
            </w:pPr>
            <w:r>
              <w:rPr>
                <w:rFonts w:ascii="黑体" w:hAnsi="黑体" w:eastAsia="黑体" w:cs="黑体"/>
                <w:spacing w:val="11"/>
                <w:sz w:val="22"/>
                <w:szCs w:val="22"/>
              </w:rPr>
              <w:t>(</w:t>
            </w:r>
            <w:r>
              <w:rPr>
                <w:rFonts w:ascii="黑体" w:hAnsi="黑体" w:eastAsia="黑体" w:cs="黑体"/>
                <w:spacing w:val="7"/>
                <w:sz w:val="22"/>
                <w:szCs w:val="22"/>
              </w:rPr>
              <w:t>单位盖章或自荐人签字)</w:t>
            </w:r>
          </w:p>
          <w:p>
            <w:pPr>
              <w:spacing w:before="75" w:line="221" w:lineRule="auto"/>
              <w:jc w:val="right"/>
              <w:rPr>
                <w:rFonts w:ascii="黑体" w:hAnsi="黑体" w:eastAsia="黑体" w:cs="黑体"/>
                <w:sz w:val="22"/>
                <w:szCs w:val="22"/>
              </w:rPr>
            </w:pPr>
            <w:r>
              <w:rPr>
                <w:rFonts w:ascii="黑体" w:hAnsi="黑体" w:eastAsia="黑体" w:cs="黑体"/>
                <w:spacing w:val="-1"/>
                <w:sz w:val="22"/>
                <w:szCs w:val="22"/>
              </w:rPr>
              <w:t xml:space="preserve">年    月   </w:t>
            </w:r>
            <w:r>
              <w:rPr>
                <w:rFonts w:ascii="黑体" w:hAnsi="黑体" w:eastAsia="黑体" w:cs="黑体"/>
                <w:sz w:val="22"/>
                <w:szCs w:val="22"/>
              </w:rPr>
              <w:t xml:space="preserve"> 日</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hint="default"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NWUxMGZkNGYyYWEyYTA5ZjI4MzNlNDRmZmJjYmMifQ=="/>
  </w:docVars>
  <w:rsids>
    <w:rsidRoot w:val="00D60D18"/>
    <w:rsid w:val="00087EDE"/>
    <w:rsid w:val="00125090"/>
    <w:rsid w:val="001424B9"/>
    <w:rsid w:val="0014462B"/>
    <w:rsid w:val="00172E78"/>
    <w:rsid w:val="00182231"/>
    <w:rsid w:val="002450D0"/>
    <w:rsid w:val="002E2112"/>
    <w:rsid w:val="00337535"/>
    <w:rsid w:val="0037122F"/>
    <w:rsid w:val="003B178C"/>
    <w:rsid w:val="005209FB"/>
    <w:rsid w:val="005375E6"/>
    <w:rsid w:val="00570323"/>
    <w:rsid w:val="005B4C6B"/>
    <w:rsid w:val="005E7E1D"/>
    <w:rsid w:val="0069637B"/>
    <w:rsid w:val="006D67D7"/>
    <w:rsid w:val="006F067D"/>
    <w:rsid w:val="00704C83"/>
    <w:rsid w:val="007C2351"/>
    <w:rsid w:val="007C5536"/>
    <w:rsid w:val="008B6608"/>
    <w:rsid w:val="008C5C0D"/>
    <w:rsid w:val="009C0999"/>
    <w:rsid w:val="009E6784"/>
    <w:rsid w:val="00A52690"/>
    <w:rsid w:val="00AA1A4E"/>
    <w:rsid w:val="00B041C3"/>
    <w:rsid w:val="00B11D1F"/>
    <w:rsid w:val="00B351FD"/>
    <w:rsid w:val="00B70363"/>
    <w:rsid w:val="00C572A4"/>
    <w:rsid w:val="00D06D06"/>
    <w:rsid w:val="00D60D18"/>
    <w:rsid w:val="00DC0F78"/>
    <w:rsid w:val="00DD6EBF"/>
    <w:rsid w:val="00DE0944"/>
    <w:rsid w:val="00E346A4"/>
    <w:rsid w:val="00E53084"/>
    <w:rsid w:val="00FB3999"/>
    <w:rsid w:val="011C069B"/>
    <w:rsid w:val="022C6982"/>
    <w:rsid w:val="02954DB6"/>
    <w:rsid w:val="03470965"/>
    <w:rsid w:val="049D5588"/>
    <w:rsid w:val="055A0FC0"/>
    <w:rsid w:val="0B0D3404"/>
    <w:rsid w:val="0BE5207C"/>
    <w:rsid w:val="0C211D10"/>
    <w:rsid w:val="0C3E79DE"/>
    <w:rsid w:val="0E026098"/>
    <w:rsid w:val="0E7B7D96"/>
    <w:rsid w:val="0EC334E1"/>
    <w:rsid w:val="0EE4486D"/>
    <w:rsid w:val="0F371583"/>
    <w:rsid w:val="119A7465"/>
    <w:rsid w:val="120A422A"/>
    <w:rsid w:val="1437543F"/>
    <w:rsid w:val="146756AF"/>
    <w:rsid w:val="150D619F"/>
    <w:rsid w:val="15CC323B"/>
    <w:rsid w:val="164D3D84"/>
    <w:rsid w:val="168B1866"/>
    <w:rsid w:val="16ED6288"/>
    <w:rsid w:val="17063893"/>
    <w:rsid w:val="1774226F"/>
    <w:rsid w:val="180C0990"/>
    <w:rsid w:val="195C5A1A"/>
    <w:rsid w:val="19986D8A"/>
    <w:rsid w:val="19D61256"/>
    <w:rsid w:val="1DAF6046"/>
    <w:rsid w:val="1F073756"/>
    <w:rsid w:val="1F533349"/>
    <w:rsid w:val="1FAF5590"/>
    <w:rsid w:val="2144119B"/>
    <w:rsid w:val="22196184"/>
    <w:rsid w:val="225278E7"/>
    <w:rsid w:val="22AA2487"/>
    <w:rsid w:val="25311A36"/>
    <w:rsid w:val="27F44786"/>
    <w:rsid w:val="29B35DCE"/>
    <w:rsid w:val="2A044AD9"/>
    <w:rsid w:val="2A24600D"/>
    <w:rsid w:val="2A5F2BA2"/>
    <w:rsid w:val="2BB33731"/>
    <w:rsid w:val="2F2579B9"/>
    <w:rsid w:val="31692558"/>
    <w:rsid w:val="327077A0"/>
    <w:rsid w:val="32FF13C6"/>
    <w:rsid w:val="34232E92"/>
    <w:rsid w:val="348E57F0"/>
    <w:rsid w:val="36391D81"/>
    <w:rsid w:val="375D66BB"/>
    <w:rsid w:val="38077263"/>
    <w:rsid w:val="38087C0B"/>
    <w:rsid w:val="3889518B"/>
    <w:rsid w:val="38993FF8"/>
    <w:rsid w:val="3A041740"/>
    <w:rsid w:val="3AFF4D87"/>
    <w:rsid w:val="3B960C25"/>
    <w:rsid w:val="3EA43143"/>
    <w:rsid w:val="3FEB7CED"/>
    <w:rsid w:val="406C4A22"/>
    <w:rsid w:val="412546ED"/>
    <w:rsid w:val="41D35EF7"/>
    <w:rsid w:val="423746D8"/>
    <w:rsid w:val="4360458F"/>
    <w:rsid w:val="43B56534"/>
    <w:rsid w:val="442A4620"/>
    <w:rsid w:val="4666780A"/>
    <w:rsid w:val="48013092"/>
    <w:rsid w:val="491356E0"/>
    <w:rsid w:val="4B77654D"/>
    <w:rsid w:val="4C463C47"/>
    <w:rsid w:val="4C5B0FC3"/>
    <w:rsid w:val="4CC44899"/>
    <w:rsid w:val="4D1C2E8E"/>
    <w:rsid w:val="4EB748A2"/>
    <w:rsid w:val="4F970850"/>
    <w:rsid w:val="4FF2671E"/>
    <w:rsid w:val="52DF153E"/>
    <w:rsid w:val="54883929"/>
    <w:rsid w:val="55E76767"/>
    <w:rsid w:val="56006578"/>
    <w:rsid w:val="57180590"/>
    <w:rsid w:val="575651A9"/>
    <w:rsid w:val="57686C8A"/>
    <w:rsid w:val="57D93826"/>
    <w:rsid w:val="58E40592"/>
    <w:rsid w:val="59E10D2F"/>
    <w:rsid w:val="5A927BF5"/>
    <w:rsid w:val="5DF44720"/>
    <w:rsid w:val="5EE94B54"/>
    <w:rsid w:val="5EFB0EFD"/>
    <w:rsid w:val="5FB817E0"/>
    <w:rsid w:val="60800294"/>
    <w:rsid w:val="618D3537"/>
    <w:rsid w:val="6314418D"/>
    <w:rsid w:val="63EC2C12"/>
    <w:rsid w:val="64803865"/>
    <w:rsid w:val="64BF9316"/>
    <w:rsid w:val="656E190F"/>
    <w:rsid w:val="685467BE"/>
    <w:rsid w:val="6BD963BA"/>
    <w:rsid w:val="6BFF3C0B"/>
    <w:rsid w:val="6D39433A"/>
    <w:rsid w:val="6D3A7949"/>
    <w:rsid w:val="6DF57072"/>
    <w:rsid w:val="6EE82732"/>
    <w:rsid w:val="6F0B6421"/>
    <w:rsid w:val="708521DF"/>
    <w:rsid w:val="709F7D61"/>
    <w:rsid w:val="728B127A"/>
    <w:rsid w:val="73465DBE"/>
    <w:rsid w:val="765127E0"/>
    <w:rsid w:val="77B621DA"/>
    <w:rsid w:val="78AF6384"/>
    <w:rsid w:val="7A5618A2"/>
    <w:rsid w:val="7A612339"/>
    <w:rsid w:val="7A7C28B6"/>
    <w:rsid w:val="7C104CD2"/>
    <w:rsid w:val="7C3570F0"/>
    <w:rsid w:val="7C7B4026"/>
    <w:rsid w:val="7C8842FE"/>
    <w:rsid w:val="7CA748FE"/>
    <w:rsid w:val="7FF45215"/>
    <w:rsid w:val="F79D287A"/>
    <w:rsid w:val="FB78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0"/>
    <w:pPr>
      <w:spacing w:before="240" w:after="60" w:line="312" w:lineRule="auto"/>
      <w:jc w:val="center"/>
      <w:outlineLvl w:val="1"/>
    </w:pPr>
    <w:rPr>
      <w:b/>
      <w:bCs/>
      <w:kern w:val="28"/>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标题 1 字符"/>
    <w:basedOn w:val="9"/>
    <w:link w:val="3"/>
    <w:qFormat/>
    <w:uiPriority w:val="0"/>
    <w:rPr>
      <w:rFonts w:asciiTheme="minorHAnsi" w:hAnsiTheme="minorHAnsi" w:eastAsiaTheme="minorEastAsia" w:cstheme="minorBidi"/>
      <w:b/>
      <w:bCs/>
      <w:kern w:val="44"/>
      <w:sz w:val="44"/>
      <w:szCs w:val="44"/>
    </w:rPr>
  </w:style>
  <w:style w:type="character" w:customStyle="1" w:styleId="14">
    <w:name w:val="副标题 字符"/>
    <w:basedOn w:val="9"/>
    <w:link w:val="6"/>
    <w:qFormat/>
    <w:uiPriority w:val="0"/>
    <w:rPr>
      <w:rFonts w:asciiTheme="minorHAnsi" w:hAnsiTheme="minorHAnsi" w:eastAsiaTheme="minorEastAsia" w:cstheme="minorBidi"/>
      <w:b/>
      <w:bCs/>
      <w:kern w:val="28"/>
      <w:sz w:val="32"/>
      <w:szCs w:val="32"/>
    </w:r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character" w:customStyle="1" w:styleId="16">
    <w:name w:val="页脚 字符"/>
    <w:basedOn w:val="9"/>
    <w:link w:val="4"/>
    <w:qFormat/>
    <w:uiPriority w:val="0"/>
    <w:rPr>
      <w:rFonts w:asciiTheme="minorHAnsi" w:hAnsiTheme="minorHAnsi" w:eastAsiaTheme="minorEastAsia" w:cstheme="minorBidi"/>
      <w:kern w:val="2"/>
      <w:sz w:val="18"/>
      <w:szCs w:val="18"/>
    </w:rPr>
  </w:style>
  <w:style w:type="paragraph" w:customStyle="1" w:styleId="17">
    <w:name w:val="章标题"/>
    <w:basedOn w:val="1"/>
    <w:next w:val="18"/>
    <w:qFormat/>
    <w:uiPriority w:val="0"/>
    <w:pPr>
      <w:widowControl/>
      <w:spacing w:before="158" w:after="153" w:line="323" w:lineRule="atLeast"/>
      <w:ind w:right="-120"/>
      <w:jc w:val="center"/>
      <w:textAlignment w:val="baseline"/>
    </w:pPr>
    <w:rPr>
      <w:color w:val="FF0000"/>
      <w:sz w:val="18"/>
    </w:rPr>
  </w:style>
  <w:style w:type="paragraph" w:customStyle="1" w:styleId="18">
    <w:name w:val="节标题"/>
    <w:basedOn w:val="1"/>
    <w:next w:val="1"/>
    <w:qFormat/>
    <w:uiPriority w:val="0"/>
    <w:pPr>
      <w:widowControl/>
      <w:spacing w:line="289" w:lineRule="atLeast"/>
      <w:jc w:val="center"/>
      <w:textAlignment w:val="baseline"/>
    </w:pPr>
    <w:rPr>
      <w:color w:val="000000"/>
      <w:sz w:val="28"/>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3589</Words>
  <Characters>3602</Characters>
  <Lines>22</Lines>
  <Paragraphs>6</Paragraphs>
  <TotalTime>23</TotalTime>
  <ScaleCrop>false</ScaleCrop>
  <LinksUpToDate>false</LinksUpToDate>
  <CharactersWithSpaces>3716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2023-03-30T10:39:00Z</dcterms:created>
  <dc:creator>abc</dc:creator>
  <cp:lastModifiedBy>符炜东</cp:lastModifiedBy>
  <cp:lastPrinted>2023-06-07T03:17:00Z</cp:lastPrinted>
  <dcterms:modified xsi:type="dcterms:W3CDTF">2023-07-20T09:15:17Z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32DA9EEA386B4D69A8445E4F6E3A8C2B_13</vt:lpwstr>
  </property>
</Properties>
</file>