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rPr>
          <w:rFonts w:hint="eastAsia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深化政务公开促进基层政府治理能力提升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先行县名单</w:t>
      </w:r>
    </w:p>
    <w:p>
      <w:pPr>
        <w:spacing w:line="800" w:lineRule="exact"/>
        <w:jc w:val="center"/>
        <w:rPr>
          <w:rFonts w:hint="eastAsia" w:ascii="楷体_GB2312" w:hAnsi="黑体" w:eastAsia="楷体_GB2312"/>
        </w:rPr>
      </w:pPr>
      <w:r>
        <w:rPr>
          <w:rFonts w:hint="eastAsia" w:ascii="楷体_GB2312" w:hAnsi="黑体" w:eastAsia="楷体_GB2312"/>
        </w:rPr>
        <w:t>（共计25个）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</w:pPr>
      <w:r>
        <w:rPr>
          <w:rFonts w:hint="eastAsia"/>
        </w:rPr>
        <w:t>成都市青白江区、成都市双流区、都江堰市、蒲江县、富顺县、攀枝花市仁和区、泸县、绵竹市、梓潼县、苍溪县、广元市昭化区、南充市高坪区、屏山县、达州市达川区、万源市、雅安市雨城区、雅安市名山区、天全县、芦山县、宝兴县、荥经县、汉源县、石棉县、仁寿县、资阳市雁江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214ED"/>
    <w:rsid w:val="54E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2021-09-26T01:31:00Z</dcterms:created>
  <dc:creator>甜又咸</dc:creator>
  <cp:lastModifiedBy>甜又咸</cp:lastModifiedBy>
  <dcterms:modified xsi:type="dcterms:W3CDTF">2021-09-26T01:32:16Z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0F2BBE3769294C82B9998334FA5AA459</vt:lpwstr>
  </property>
</Properties>
</file>