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2019年四川省政务服务和资源交易服务中心政府信息公开工作年度报告</w:t>
      </w:r>
    </w:p>
    <w:p>
      <w:pPr>
        <w:rPr>
          <w:rFonts w:ascii="宋体" w:hAnsi="宋体" w:eastAsia="宋体" w:cs="宋体"/>
          <w:sz w:val="24"/>
          <w:szCs w:val="2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0" w:lineRule="atLeast"/>
        <w:ind w:left="0" w:right="0" w:firstLine="420"/>
        <w:jc w:val="both"/>
      </w:pPr>
      <w:r>
        <w:rPr>
          <w:rFonts w:hint="eastAsia" w:ascii="宋体" w:hAnsi="宋体" w:eastAsia="宋体" w:cs="宋体"/>
          <w:b/>
          <w:i w:val="0"/>
          <w:caps w:val="0"/>
          <w:color w:val="4E4342"/>
          <w:spacing w:val="0"/>
          <w:kern w:val="0"/>
          <w:sz w:val="24"/>
          <w:szCs w:val="24"/>
          <w:bdr w:val="none" w:color="auto" w:sz="0" w:space="0"/>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ind w:left="0" w:right="0" w:firstLine="420"/>
        <w:jc w:val="both"/>
      </w:pPr>
      <w:r>
        <w:rPr>
          <w:rFonts w:hint="eastAsia" w:ascii="宋体" w:hAnsi="宋体" w:eastAsia="宋体" w:cs="宋体"/>
          <w:kern w:val="0"/>
          <w:sz w:val="24"/>
          <w:szCs w:val="24"/>
          <w:bdr w:val="none" w:color="auto" w:sz="0" w:space="0"/>
        </w:rPr>
        <w:t>省政府政务服务和公共资源交易服务中心按照省委、省政府关于深化政务公开、加强政务服务的工作部署，认真贯彻落实国务院、省政府信息公开工作要点，以四川省政府政务服务和公共资源交易服务中心门户网站、省级网上政务服务大厅、四川日报公共资源交易周刊、政务周刊等为载体，及时、准确、全面公开政务服务和资源交易服务信息，网站访问量就多达2744958次，进一步持续优化和推进政务服务和资源交易服务，努力提高行政效能，为加快构建服务型政府政务服务和资源交易服务体系营造了良好的政务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ind w:left="0" w:right="0" w:firstLine="420"/>
        <w:jc w:val="both"/>
      </w:pPr>
      <w:r>
        <w:rPr>
          <w:rFonts w:hint="eastAsia" w:ascii="宋体" w:hAnsi="宋体" w:eastAsia="宋体" w:cs="宋体"/>
          <w:kern w:val="0"/>
          <w:sz w:val="24"/>
          <w:szCs w:val="24"/>
          <w:bdr w:val="none" w:color="auto" w:sz="0" w:space="0"/>
        </w:rPr>
        <w:t>（一）加强公共资源交易服务信息主动公开。按照“公开为原则、不公开为例外”的原则，及时通过四川省公共资源交易信息网发布各类公共资源交易服务信息487988条，其中工程建设类272064条、政府采购类119172条、土地使用权和矿业权16236条、国有产权交易类36384条，其他交易信息44045条。很好地履行了法定媒体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ind w:left="0" w:right="0" w:firstLine="420"/>
        <w:jc w:val="both"/>
      </w:pPr>
      <w:r>
        <w:rPr>
          <w:rFonts w:hint="eastAsia" w:ascii="宋体" w:hAnsi="宋体" w:eastAsia="宋体" w:cs="宋体"/>
          <w:kern w:val="0"/>
          <w:sz w:val="24"/>
          <w:szCs w:val="24"/>
          <w:bdr w:val="none" w:color="auto" w:sz="0" w:space="0"/>
        </w:rPr>
        <w:t>（二）加强政务服务信息主动公开。按省委、省政府推进行政审批制度改革的工作要求，认真做好我省行政许可事项全部纳入中心集中受理办理的各项工作，对配合做好行政审批项目进行全面清理和精简公布等各项工作，在政务服务大厅平台进一步完善办事指南，明确和公开审批标准、办理程序和办理时限，确保规范办理许可事项。2019年省政务服务和资源交易服务中心各部门窗口受理行政审批事项（含公共服务事项）165037件，办结60593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ind w:left="0" w:right="0" w:firstLine="420"/>
        <w:jc w:val="both"/>
      </w:pPr>
      <w:r>
        <w:rPr>
          <w:rFonts w:hint="eastAsia" w:ascii="宋体" w:hAnsi="宋体" w:eastAsia="宋体" w:cs="宋体"/>
          <w:kern w:val="0"/>
          <w:sz w:val="24"/>
          <w:szCs w:val="24"/>
          <w:bdr w:val="none" w:color="auto" w:sz="0" w:space="0"/>
        </w:rPr>
        <w:t>（三）加强财政资金信息公开。对财政拨款“三公”经费2019年决算情况和2020年预算情况包括因公出国（境）经费、公务接待费、公务用车购置及运行维护费等信息通过中心门户网站对外公开。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ind w:left="0" w:right="0" w:firstLine="420"/>
        <w:jc w:val="both"/>
      </w:pPr>
      <w:r>
        <w:rPr>
          <w:rFonts w:hint="eastAsia" w:ascii="宋体" w:hAnsi="宋体" w:eastAsia="宋体" w:cs="宋体"/>
          <w:kern w:val="0"/>
          <w:sz w:val="24"/>
          <w:szCs w:val="24"/>
          <w:bdr w:val="none" w:color="auto" w:sz="0" w:space="0"/>
        </w:rPr>
        <w:t>（四）加强新闻媒体宣传公开。在四川日报做好全省重大措施、重要项目开标活动等工作动态的新闻报道工作，通过制作视频宣传材料在中心政务服务大厅和交易服务大厅滚动播放，受到了办事群众和主管部门的高度认可；通过中心网站采集发布全省各市（州）、县（区）各类政务服务和资源交易服务新闻信息1230余篇，拓展了中心宣传的广度。同时，省中心在政务服务和公共资源交易服务的工作情况受到了包括各级各类电视新闻和平面媒体的深度报道，其中四川日报、四川电视台、华西都市报和腾讯、网易、新浪等综合性门户网站等众多媒体对省中心情况和专项工作做了专栏报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0" w:lineRule="atLeast"/>
        <w:ind w:left="0" w:right="0" w:firstLine="420"/>
        <w:jc w:val="both"/>
      </w:pPr>
      <w:r>
        <w:rPr>
          <w:rFonts w:hint="eastAsia" w:ascii="宋体" w:hAnsi="宋体" w:eastAsia="宋体" w:cs="宋体"/>
          <w:kern w:val="0"/>
          <w:sz w:val="24"/>
          <w:szCs w:val="24"/>
          <w:bdr w:val="none" w:color="auto" w:sz="0" w:space="0"/>
          <w:shd w:val="clear" w:fill="FFFFFF"/>
        </w:rPr>
        <w:t>（五）加强与公众互动交流。通过网站在线咨询、12345政务热线、微博、微信等平台，进一步加强与公众互动交流。全年省级12345平台共受理群众诉求432442件，其中承办“国家政务服务投诉与建议”小程序留言104件，国家政务服务平台留言158件，热线电话167041件，四川省政务服务网政民互动、微博、微信和移动客户端留言265401条。由省级12345热线团队直接办理411442件，转交相关部门办理21000件，已办结19267件，办结率为91.75%。开展电话回访19999件，群众满意率为85.51 %，不满意主要涉及:住房保障；集资公路维修；环境污染；交通出行；医疗纠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0" w:lineRule="atLeast"/>
        <w:ind w:left="0" w:right="0" w:firstLine="420"/>
        <w:jc w:val="both"/>
      </w:pPr>
      <w:r>
        <w:rPr>
          <w:rFonts w:hint="eastAsia" w:ascii="宋体" w:hAnsi="宋体" w:eastAsia="宋体" w:cs="宋体"/>
          <w:b/>
          <w:i w:val="0"/>
          <w:caps w:val="0"/>
          <w:color w:val="4E4342"/>
          <w:spacing w:val="0"/>
          <w:kern w:val="0"/>
          <w:sz w:val="24"/>
          <w:szCs w:val="24"/>
          <w:bdr w:val="none" w:color="auto" w:sz="0" w:space="0"/>
          <w:shd w:val="clear" w:fill="FFFFFF"/>
        </w:rPr>
        <w:t>二、主动公开政府信息情况</w:t>
      </w:r>
    </w:p>
    <w:tbl>
      <w:tblPr>
        <w:tblW w:w="8788" w:type="dxa"/>
        <w:tblInd w:w="0" w:type="dxa"/>
        <w:shd w:val="clear"/>
        <w:tblLayout w:type="autofit"/>
        <w:tblCellMar>
          <w:top w:w="15" w:type="dxa"/>
          <w:left w:w="15" w:type="dxa"/>
          <w:bottom w:w="15" w:type="dxa"/>
          <w:right w:w="15" w:type="dxa"/>
        </w:tblCellMar>
      </w:tblPr>
      <w:tblGrid>
        <w:gridCol w:w="3113"/>
        <w:gridCol w:w="1875"/>
        <w:gridCol w:w="6"/>
        <w:gridCol w:w="1265"/>
        <w:gridCol w:w="2529"/>
      </w:tblGrid>
      <w:tr>
        <w:tblPrEx>
          <w:shd w:val="clear"/>
          <w:tblCellMar>
            <w:top w:w="15" w:type="dxa"/>
            <w:left w:w="15" w:type="dxa"/>
            <w:bottom w:w="15" w:type="dxa"/>
            <w:right w:w="15" w:type="dxa"/>
          </w:tblCellMar>
        </w:tblPrEx>
        <w:trPr>
          <w:trHeight w:val="495" w:hRule="atLeast"/>
        </w:trPr>
        <w:tc>
          <w:tcPr>
            <w:tcW w:w="8788"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i w:val="0"/>
                <w:caps w:val="0"/>
                <w:color w:val="000000"/>
                <w:spacing w:val="0"/>
                <w:kern w:val="0"/>
                <w:sz w:val="21"/>
                <w:szCs w:val="21"/>
                <w:bdr w:val="none" w:color="auto" w:sz="0" w:space="0"/>
                <w:lang w:val="en-US" w:eastAsia="zh-CN" w:bidi="ar"/>
              </w:rPr>
              <w:t>第二十条第（一）项</w:t>
            </w:r>
          </w:p>
        </w:tc>
      </w:tr>
      <w:tr>
        <w:tblPrEx>
          <w:shd w:val="clear"/>
          <w:tblCellMar>
            <w:top w:w="15" w:type="dxa"/>
            <w:left w:w="15" w:type="dxa"/>
            <w:bottom w:w="15" w:type="dxa"/>
            <w:right w:w="15" w:type="dxa"/>
          </w:tblCellMar>
        </w:tblPrEx>
        <w:trPr>
          <w:trHeight w:val="882" w:hRule="atLeast"/>
        </w:trPr>
        <w:tc>
          <w:tcPr>
            <w:tcW w:w="3113"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i w:val="0"/>
                <w:caps w:val="0"/>
                <w:color w:val="000000"/>
                <w:spacing w:val="0"/>
                <w:kern w:val="0"/>
                <w:sz w:val="21"/>
                <w:szCs w:val="21"/>
                <w:bdr w:val="none" w:color="auto" w:sz="0" w:space="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i w:val="0"/>
                <w:caps w:val="0"/>
                <w:color w:val="000000"/>
                <w:spacing w:val="0"/>
                <w:kern w:val="0"/>
                <w:sz w:val="21"/>
                <w:szCs w:val="21"/>
                <w:bdr w:val="none" w:color="auto" w:sz="0" w:space="0"/>
                <w:lang w:val="en-US" w:eastAsia="zh-CN" w:bidi="ar"/>
              </w:rPr>
              <w:t>本年新</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4E4342"/>
                <w:spacing w:val="0"/>
                <w:kern w:val="0"/>
                <w:sz w:val="21"/>
                <w:szCs w:val="21"/>
                <w:bdr w:val="none" w:color="auto" w:sz="0" w:space="0"/>
                <w:lang w:val="en-US" w:eastAsia="zh-CN" w:bidi="ar"/>
              </w:rPr>
              <w:t>制作数量</w:t>
            </w:r>
          </w:p>
        </w:tc>
        <w:tc>
          <w:tcPr>
            <w:tcW w:w="1271"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i w:val="0"/>
                <w:caps w:val="0"/>
                <w:color w:val="000000"/>
                <w:spacing w:val="0"/>
                <w:kern w:val="0"/>
                <w:sz w:val="21"/>
                <w:szCs w:val="21"/>
                <w:bdr w:val="none" w:color="auto" w:sz="0" w:space="0"/>
                <w:lang w:val="en-US" w:eastAsia="zh-CN" w:bidi="ar"/>
              </w:rPr>
              <w:t>本年新</w:t>
            </w:r>
            <w:r>
              <w:rPr>
                <w:rFonts w:hint="eastAsia" w:ascii="宋体" w:hAnsi="宋体" w:eastAsia="宋体" w:cs="宋体"/>
                <w:b w:val="0"/>
                <w:i w:val="0"/>
                <w:caps w:val="0"/>
                <w:color w:val="000000"/>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4E4342"/>
                <w:spacing w:val="0"/>
                <w:kern w:val="0"/>
                <w:sz w:val="21"/>
                <w:szCs w:val="21"/>
                <w:bdr w:val="none" w:color="auto" w:sz="0" w:space="0"/>
                <w:lang w:val="en-US" w:eastAsia="zh-CN" w:bidi="ar"/>
              </w:rPr>
              <w:t>公开数量</w:t>
            </w:r>
          </w:p>
        </w:tc>
        <w:tc>
          <w:tcPr>
            <w:tcW w:w="252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i w:val="0"/>
                <w:caps w:val="0"/>
                <w:color w:val="000000"/>
                <w:spacing w:val="0"/>
                <w:kern w:val="0"/>
                <w:sz w:val="21"/>
                <w:szCs w:val="21"/>
                <w:bdr w:val="none" w:color="auto" w:sz="0" w:space="0"/>
                <w:lang w:val="en-US" w:eastAsia="zh-CN" w:bidi="ar"/>
              </w:rPr>
              <w:t>对外公开总数量</w:t>
            </w:r>
          </w:p>
        </w:tc>
      </w:tr>
      <w:tr>
        <w:tblPrEx>
          <w:shd w:val="clear"/>
          <w:tblCellMar>
            <w:top w:w="15" w:type="dxa"/>
            <w:left w:w="15" w:type="dxa"/>
            <w:bottom w:w="15" w:type="dxa"/>
            <w:right w:w="15" w:type="dxa"/>
          </w:tblCellMar>
        </w:tblPrEx>
        <w:trPr>
          <w:trHeight w:val="523" w:hRule="atLeast"/>
        </w:trPr>
        <w:tc>
          <w:tcPr>
            <w:tcW w:w="3113"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val="0"/>
                <w:i w:val="0"/>
                <w:caps w:val="0"/>
                <w:color w:val="000000"/>
                <w:spacing w:val="0"/>
                <w:kern w:val="0"/>
                <w:sz w:val="21"/>
                <w:szCs w:val="21"/>
                <w:bdr w:val="none" w:color="auto" w:sz="0" w:space="0"/>
                <w:lang w:val="en-US" w:eastAsia="zh-CN" w:bidi="ar"/>
              </w:rPr>
              <w:t>规章</w:t>
            </w:r>
          </w:p>
        </w:tc>
        <w:tc>
          <w:tcPr>
            <w:tcW w:w="187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ascii="Calibri" w:hAnsi="Calibri" w:eastAsia="宋体" w:cs="Times New Roman"/>
                <w:kern w:val="2"/>
                <w:sz w:val="21"/>
                <w:szCs w:val="21"/>
                <w:bdr w:val="none" w:color="auto" w:sz="0" w:space="0"/>
                <w:lang w:val="en-US" w:eastAsia="zh-CN" w:bidi="ar"/>
              </w:rPr>
              <w:t> 0</w:t>
            </w:r>
          </w:p>
        </w:tc>
        <w:tc>
          <w:tcPr>
            <w:tcW w:w="127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Times New Roman"/>
                <w:kern w:val="2"/>
                <w:sz w:val="21"/>
                <w:szCs w:val="21"/>
                <w:bdr w:val="none" w:color="auto" w:sz="0" w:space="0"/>
                <w:lang w:val="en-US" w:eastAsia="zh-CN" w:bidi="ar"/>
              </w:rPr>
              <w:t>0 </w:t>
            </w:r>
          </w:p>
        </w:tc>
        <w:tc>
          <w:tcPr>
            <w:tcW w:w="252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Times New Roman"/>
                <w:kern w:val="2"/>
                <w:sz w:val="21"/>
                <w:szCs w:val="21"/>
                <w:bdr w:val="none" w:color="auto" w:sz="0" w:space="0"/>
                <w:lang w:val="en-US" w:eastAsia="zh-CN" w:bidi="ar"/>
              </w:rPr>
              <w:t>0 </w:t>
            </w:r>
          </w:p>
        </w:tc>
      </w:tr>
      <w:tr>
        <w:tblPrEx>
          <w:shd w:val="clear"/>
          <w:tblCellMar>
            <w:top w:w="15" w:type="dxa"/>
            <w:left w:w="15" w:type="dxa"/>
            <w:bottom w:w="15" w:type="dxa"/>
            <w:right w:w="15" w:type="dxa"/>
          </w:tblCellMar>
        </w:tblPrEx>
        <w:trPr>
          <w:trHeight w:val="471" w:hRule="atLeast"/>
        </w:trPr>
        <w:tc>
          <w:tcPr>
            <w:tcW w:w="3113"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val="0"/>
                <w:i w:val="0"/>
                <w:caps w:val="0"/>
                <w:color w:val="000000"/>
                <w:spacing w:val="0"/>
                <w:kern w:val="0"/>
                <w:sz w:val="21"/>
                <w:szCs w:val="21"/>
                <w:bdr w:val="none" w:color="auto" w:sz="0" w:space="0"/>
                <w:lang w:val="en-US" w:eastAsia="zh-CN" w:bidi="ar"/>
              </w:rPr>
              <w:t>规范性文件</w:t>
            </w:r>
          </w:p>
        </w:tc>
        <w:tc>
          <w:tcPr>
            <w:tcW w:w="187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Times New Roman"/>
                <w:kern w:val="2"/>
                <w:sz w:val="21"/>
                <w:szCs w:val="21"/>
                <w:bdr w:val="none" w:color="auto" w:sz="0" w:space="0"/>
                <w:lang w:val="en-US" w:eastAsia="zh-CN" w:bidi="ar"/>
              </w:rPr>
              <w:t> 0</w:t>
            </w:r>
          </w:p>
        </w:tc>
        <w:tc>
          <w:tcPr>
            <w:tcW w:w="1271"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Times New Roman"/>
                <w:kern w:val="2"/>
                <w:sz w:val="21"/>
                <w:szCs w:val="21"/>
                <w:bdr w:val="none" w:color="auto" w:sz="0" w:space="0"/>
                <w:lang w:val="en-US" w:eastAsia="zh-CN" w:bidi="ar"/>
              </w:rPr>
              <w:t>0 </w:t>
            </w:r>
          </w:p>
        </w:tc>
        <w:tc>
          <w:tcPr>
            <w:tcW w:w="252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Times New Roman"/>
                <w:kern w:val="2"/>
                <w:sz w:val="21"/>
                <w:szCs w:val="21"/>
                <w:bdr w:val="none" w:color="auto" w:sz="0" w:space="0"/>
                <w:lang w:val="en-US" w:eastAsia="zh-CN" w:bidi="ar"/>
              </w:rPr>
              <w:t>0 </w:t>
            </w:r>
          </w:p>
        </w:tc>
      </w:tr>
      <w:tr>
        <w:tblPrEx>
          <w:shd w:val="clear"/>
          <w:tblCellMar>
            <w:top w:w="15" w:type="dxa"/>
            <w:left w:w="15" w:type="dxa"/>
            <w:bottom w:w="15" w:type="dxa"/>
            <w:right w:w="15" w:type="dxa"/>
          </w:tblCellMar>
        </w:tblPrEx>
        <w:trPr>
          <w:trHeight w:val="480" w:hRule="atLeast"/>
        </w:trPr>
        <w:tc>
          <w:tcPr>
            <w:tcW w:w="8788"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i w:val="0"/>
                <w:caps w:val="0"/>
                <w:color w:val="000000"/>
                <w:spacing w:val="0"/>
                <w:kern w:val="0"/>
                <w:sz w:val="21"/>
                <w:szCs w:val="21"/>
                <w:bdr w:val="none" w:color="auto" w:sz="0" w:space="0"/>
                <w:lang w:val="en-US" w:eastAsia="zh-CN" w:bidi="ar"/>
              </w:rPr>
              <w:t>第二十条第（五）项</w:t>
            </w:r>
          </w:p>
        </w:tc>
      </w:tr>
      <w:tr>
        <w:tblPrEx>
          <w:shd w:val="clear"/>
          <w:tblCellMar>
            <w:top w:w="15" w:type="dxa"/>
            <w:left w:w="15" w:type="dxa"/>
            <w:bottom w:w="15" w:type="dxa"/>
            <w:right w:w="15" w:type="dxa"/>
          </w:tblCellMar>
        </w:tblPrEx>
        <w:trPr>
          <w:trHeight w:val="634" w:hRule="atLeast"/>
        </w:trPr>
        <w:tc>
          <w:tcPr>
            <w:tcW w:w="3113"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i w:val="0"/>
                <w:caps w:val="0"/>
                <w:color w:val="000000"/>
                <w:spacing w:val="0"/>
                <w:kern w:val="0"/>
                <w:sz w:val="21"/>
                <w:szCs w:val="21"/>
                <w:bdr w:val="none" w:color="auto" w:sz="0" w:space="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i w:val="0"/>
                <w:caps w:val="0"/>
                <w:color w:val="000000"/>
                <w:spacing w:val="0"/>
                <w:kern w:val="0"/>
                <w:sz w:val="21"/>
                <w:szCs w:val="21"/>
                <w:bdr w:val="none" w:color="auto" w:sz="0" w:space="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i w:val="0"/>
                <w:caps w:val="0"/>
                <w:color w:val="000000"/>
                <w:spacing w:val="0"/>
                <w:kern w:val="0"/>
                <w:sz w:val="21"/>
                <w:szCs w:val="21"/>
                <w:bdr w:val="none" w:color="auto" w:sz="0" w:space="0"/>
                <w:lang w:val="en-US" w:eastAsia="zh-CN" w:bidi="ar"/>
              </w:rPr>
              <w:t>本年增</w:t>
            </w:r>
          </w:p>
        </w:tc>
        <w:tc>
          <w:tcPr>
            <w:tcW w:w="252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i w:val="0"/>
                <w:caps w:val="0"/>
                <w:color w:val="000000"/>
                <w:spacing w:val="0"/>
                <w:kern w:val="0"/>
                <w:sz w:val="21"/>
                <w:szCs w:val="21"/>
                <w:bdr w:val="none" w:color="auto" w:sz="0" w:space="0"/>
                <w:lang w:val="en-US" w:eastAsia="zh-CN" w:bidi="ar"/>
              </w:rPr>
              <w:t>处理决定数量</w:t>
            </w:r>
          </w:p>
        </w:tc>
      </w:tr>
      <w:tr>
        <w:tblPrEx>
          <w:shd w:val="clear"/>
          <w:tblCellMar>
            <w:top w:w="15" w:type="dxa"/>
            <w:left w:w="15" w:type="dxa"/>
            <w:bottom w:w="15" w:type="dxa"/>
            <w:right w:w="15" w:type="dxa"/>
          </w:tblCellMar>
        </w:tblPrEx>
        <w:trPr>
          <w:trHeight w:val="528" w:hRule="atLeast"/>
        </w:trPr>
        <w:tc>
          <w:tcPr>
            <w:tcW w:w="3113"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val="0"/>
                <w:i w:val="0"/>
                <w:caps w:val="0"/>
                <w:color w:val="000000"/>
                <w:spacing w:val="0"/>
                <w:kern w:val="0"/>
                <w:sz w:val="21"/>
                <w:szCs w:val="21"/>
                <w:bdr w:val="none" w:color="auto" w:sz="0" w:space="0"/>
                <w:lang w:val="en-US" w:eastAsia="zh-CN" w:bidi="ar"/>
              </w:rPr>
              <w:t>行政许可</w:t>
            </w:r>
          </w:p>
        </w:tc>
        <w:tc>
          <w:tcPr>
            <w:tcW w:w="188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Times New Roman"/>
                <w:kern w:val="2"/>
                <w:sz w:val="21"/>
                <w:szCs w:val="21"/>
                <w:bdr w:val="none" w:color="auto" w:sz="0" w:space="0"/>
                <w:lang w:val="en-US" w:eastAsia="zh-CN" w:bidi="ar"/>
              </w:rPr>
              <w:t> 0</w:t>
            </w:r>
          </w:p>
        </w:tc>
        <w:tc>
          <w:tcPr>
            <w:tcW w:w="126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Times New Roman"/>
                <w:kern w:val="2"/>
                <w:sz w:val="21"/>
                <w:szCs w:val="21"/>
                <w:bdr w:val="none" w:color="auto" w:sz="0" w:space="0"/>
                <w:lang w:val="en-US" w:eastAsia="zh-CN" w:bidi="ar"/>
              </w:rPr>
              <w:t>0 </w:t>
            </w:r>
          </w:p>
        </w:tc>
        <w:tc>
          <w:tcPr>
            <w:tcW w:w="252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Times New Roman"/>
                <w:kern w:val="2"/>
                <w:sz w:val="21"/>
                <w:szCs w:val="21"/>
                <w:bdr w:val="none" w:color="auto" w:sz="0" w:space="0"/>
                <w:lang w:val="en-US" w:eastAsia="zh-CN" w:bidi="ar"/>
              </w:rPr>
              <w:t>0 </w:t>
            </w:r>
          </w:p>
        </w:tc>
      </w:tr>
      <w:tr>
        <w:tblPrEx>
          <w:shd w:val="clear"/>
          <w:tblCellMar>
            <w:top w:w="15" w:type="dxa"/>
            <w:left w:w="15" w:type="dxa"/>
            <w:bottom w:w="15" w:type="dxa"/>
            <w:right w:w="15" w:type="dxa"/>
          </w:tblCellMar>
        </w:tblPrEx>
        <w:trPr>
          <w:trHeight w:val="550" w:hRule="atLeast"/>
        </w:trPr>
        <w:tc>
          <w:tcPr>
            <w:tcW w:w="3113"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val="0"/>
                <w:i w:val="0"/>
                <w:caps w:val="0"/>
                <w:color w:val="000000"/>
                <w:spacing w:val="0"/>
                <w:kern w:val="0"/>
                <w:sz w:val="21"/>
                <w:szCs w:val="21"/>
                <w:bdr w:val="none" w:color="auto" w:sz="0" w:space="0"/>
                <w:lang w:val="en-US" w:eastAsia="zh-CN" w:bidi="ar"/>
              </w:rPr>
              <w:t>其他对外管理服务事项</w:t>
            </w:r>
          </w:p>
        </w:tc>
        <w:tc>
          <w:tcPr>
            <w:tcW w:w="188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Times New Roman"/>
                <w:kern w:val="2"/>
                <w:sz w:val="21"/>
                <w:szCs w:val="21"/>
                <w:bdr w:val="none" w:color="auto" w:sz="0" w:space="0"/>
                <w:lang w:val="en-US" w:eastAsia="zh-CN" w:bidi="ar"/>
              </w:rPr>
              <w:t> 0</w:t>
            </w:r>
          </w:p>
        </w:tc>
        <w:tc>
          <w:tcPr>
            <w:tcW w:w="126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Times New Roman"/>
                <w:kern w:val="2"/>
                <w:sz w:val="21"/>
                <w:szCs w:val="21"/>
                <w:bdr w:val="none" w:color="auto" w:sz="0" w:space="0"/>
                <w:lang w:val="en-US" w:eastAsia="zh-CN" w:bidi="ar"/>
              </w:rPr>
              <w:t> 0</w:t>
            </w:r>
          </w:p>
        </w:tc>
        <w:tc>
          <w:tcPr>
            <w:tcW w:w="252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Times New Roman"/>
                <w:kern w:val="2"/>
                <w:sz w:val="21"/>
                <w:szCs w:val="21"/>
                <w:bdr w:val="none" w:color="auto" w:sz="0" w:space="0"/>
                <w:lang w:val="en-US" w:eastAsia="zh-CN" w:bidi="ar"/>
              </w:rPr>
              <w:t>0 </w:t>
            </w:r>
          </w:p>
        </w:tc>
      </w:tr>
      <w:tr>
        <w:tblPrEx>
          <w:shd w:val="clear"/>
          <w:tblCellMar>
            <w:top w:w="15" w:type="dxa"/>
            <w:left w:w="15" w:type="dxa"/>
            <w:bottom w:w="15" w:type="dxa"/>
            <w:right w:w="15" w:type="dxa"/>
          </w:tblCellMar>
        </w:tblPrEx>
        <w:trPr>
          <w:trHeight w:val="406" w:hRule="atLeast"/>
        </w:trPr>
        <w:tc>
          <w:tcPr>
            <w:tcW w:w="8788"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i w:val="0"/>
                <w:caps w:val="0"/>
                <w:color w:val="000000"/>
                <w:spacing w:val="0"/>
                <w:kern w:val="0"/>
                <w:sz w:val="21"/>
                <w:szCs w:val="21"/>
                <w:bdr w:val="none" w:color="auto" w:sz="0" w:space="0"/>
                <w:lang w:val="en-US" w:eastAsia="zh-CN" w:bidi="ar"/>
              </w:rPr>
              <w:t>第二十条第（六）项</w:t>
            </w:r>
          </w:p>
        </w:tc>
      </w:tr>
      <w:tr>
        <w:tblPrEx>
          <w:shd w:val="clear"/>
          <w:tblCellMar>
            <w:top w:w="15" w:type="dxa"/>
            <w:left w:w="15" w:type="dxa"/>
            <w:bottom w:w="15" w:type="dxa"/>
            <w:right w:w="15" w:type="dxa"/>
          </w:tblCellMar>
        </w:tblPrEx>
        <w:trPr>
          <w:trHeight w:val="634" w:hRule="atLeast"/>
        </w:trPr>
        <w:tc>
          <w:tcPr>
            <w:tcW w:w="3113"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i w:val="0"/>
                <w:caps w:val="0"/>
                <w:color w:val="000000"/>
                <w:spacing w:val="0"/>
                <w:kern w:val="0"/>
                <w:sz w:val="21"/>
                <w:szCs w:val="21"/>
                <w:bdr w:val="none" w:color="auto" w:sz="0" w:space="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i w:val="0"/>
                <w:caps w:val="0"/>
                <w:color w:val="000000"/>
                <w:spacing w:val="0"/>
                <w:kern w:val="0"/>
                <w:sz w:val="21"/>
                <w:szCs w:val="21"/>
                <w:bdr w:val="none" w:color="auto" w:sz="0" w:space="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i w:val="0"/>
                <w:caps w:val="0"/>
                <w:color w:val="000000"/>
                <w:spacing w:val="0"/>
                <w:kern w:val="0"/>
                <w:sz w:val="21"/>
                <w:szCs w:val="21"/>
                <w:bdr w:val="none" w:color="auto" w:sz="0" w:space="0"/>
                <w:lang w:val="en-US" w:eastAsia="zh-CN" w:bidi="ar"/>
              </w:rPr>
              <w:t>本年增</w:t>
            </w:r>
          </w:p>
        </w:tc>
        <w:tc>
          <w:tcPr>
            <w:tcW w:w="2529"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i w:val="0"/>
                <w:caps w:val="0"/>
                <w:color w:val="000000"/>
                <w:spacing w:val="0"/>
                <w:kern w:val="0"/>
                <w:sz w:val="21"/>
                <w:szCs w:val="21"/>
                <w:bdr w:val="none" w:color="auto" w:sz="0" w:space="0"/>
                <w:lang w:val="en-US" w:eastAsia="zh-CN" w:bidi="ar"/>
              </w:rPr>
              <w:t>处理决定数量</w:t>
            </w:r>
          </w:p>
        </w:tc>
      </w:tr>
      <w:tr>
        <w:tblPrEx>
          <w:shd w:val="clear"/>
          <w:tblCellMar>
            <w:top w:w="15" w:type="dxa"/>
            <w:left w:w="15" w:type="dxa"/>
            <w:bottom w:w="15" w:type="dxa"/>
            <w:right w:w="15" w:type="dxa"/>
          </w:tblCellMar>
        </w:tblPrEx>
        <w:trPr>
          <w:trHeight w:val="430" w:hRule="atLeast"/>
        </w:trPr>
        <w:tc>
          <w:tcPr>
            <w:tcW w:w="3113"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val="0"/>
                <w:i w:val="0"/>
                <w:caps w:val="0"/>
                <w:color w:val="000000"/>
                <w:spacing w:val="0"/>
                <w:kern w:val="0"/>
                <w:sz w:val="21"/>
                <w:szCs w:val="21"/>
                <w:bdr w:val="none" w:color="auto" w:sz="0" w:space="0"/>
                <w:lang w:val="en-US" w:eastAsia="zh-CN" w:bidi="ar"/>
              </w:rPr>
              <w:t>行政处罚</w:t>
            </w:r>
          </w:p>
        </w:tc>
        <w:tc>
          <w:tcPr>
            <w:tcW w:w="188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Times New Roman"/>
                <w:kern w:val="2"/>
                <w:sz w:val="21"/>
                <w:szCs w:val="21"/>
                <w:bdr w:val="none" w:color="auto" w:sz="0" w:space="0"/>
                <w:lang w:val="en-US" w:eastAsia="zh-CN" w:bidi="ar"/>
              </w:rPr>
              <w:t> 0</w:t>
            </w:r>
          </w:p>
        </w:tc>
        <w:tc>
          <w:tcPr>
            <w:tcW w:w="126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Times New Roman"/>
                <w:kern w:val="2"/>
                <w:sz w:val="21"/>
                <w:szCs w:val="21"/>
                <w:bdr w:val="none" w:color="auto" w:sz="0" w:space="0"/>
                <w:lang w:val="en-US" w:eastAsia="zh-CN" w:bidi="ar"/>
              </w:rPr>
              <w:t>0 </w:t>
            </w:r>
          </w:p>
        </w:tc>
        <w:tc>
          <w:tcPr>
            <w:tcW w:w="252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Times New Roman"/>
                <w:kern w:val="2"/>
                <w:sz w:val="21"/>
                <w:szCs w:val="21"/>
                <w:bdr w:val="none" w:color="auto" w:sz="0" w:space="0"/>
                <w:lang w:val="en-US" w:eastAsia="zh-CN" w:bidi="ar"/>
              </w:rPr>
              <w:t>0 </w:t>
            </w:r>
          </w:p>
        </w:tc>
      </w:tr>
      <w:tr>
        <w:tblPrEx>
          <w:shd w:val="clear"/>
          <w:tblCellMar>
            <w:top w:w="15" w:type="dxa"/>
            <w:left w:w="15" w:type="dxa"/>
            <w:bottom w:w="15" w:type="dxa"/>
            <w:right w:w="15" w:type="dxa"/>
          </w:tblCellMar>
        </w:tblPrEx>
        <w:trPr>
          <w:trHeight w:val="409" w:hRule="atLeast"/>
        </w:trPr>
        <w:tc>
          <w:tcPr>
            <w:tcW w:w="3113"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val="0"/>
                <w:i w:val="0"/>
                <w:caps w:val="0"/>
                <w:color w:val="000000"/>
                <w:spacing w:val="0"/>
                <w:kern w:val="0"/>
                <w:sz w:val="21"/>
                <w:szCs w:val="21"/>
                <w:bdr w:val="none" w:color="auto" w:sz="0" w:space="0"/>
                <w:lang w:val="en-US" w:eastAsia="zh-CN" w:bidi="ar"/>
              </w:rPr>
              <w:t>行政强制</w:t>
            </w:r>
          </w:p>
        </w:tc>
        <w:tc>
          <w:tcPr>
            <w:tcW w:w="188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Times New Roman"/>
                <w:kern w:val="2"/>
                <w:sz w:val="21"/>
                <w:szCs w:val="21"/>
                <w:bdr w:val="none" w:color="auto" w:sz="0" w:space="0"/>
                <w:lang w:val="en-US" w:eastAsia="zh-CN" w:bidi="ar"/>
              </w:rPr>
              <w:t> 0</w:t>
            </w:r>
          </w:p>
        </w:tc>
        <w:tc>
          <w:tcPr>
            <w:tcW w:w="126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Times New Roman"/>
                <w:kern w:val="2"/>
                <w:sz w:val="21"/>
                <w:szCs w:val="21"/>
                <w:bdr w:val="none" w:color="auto" w:sz="0" w:space="0"/>
                <w:lang w:val="en-US" w:eastAsia="zh-CN" w:bidi="ar"/>
              </w:rPr>
              <w:t> 0</w:t>
            </w:r>
          </w:p>
        </w:tc>
        <w:tc>
          <w:tcPr>
            <w:tcW w:w="252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Times New Roman"/>
                <w:kern w:val="2"/>
                <w:sz w:val="21"/>
                <w:szCs w:val="21"/>
                <w:bdr w:val="none" w:color="auto" w:sz="0" w:space="0"/>
                <w:lang w:val="en-US" w:eastAsia="zh-CN" w:bidi="ar"/>
              </w:rPr>
              <w:t>0 </w:t>
            </w:r>
          </w:p>
        </w:tc>
      </w:tr>
      <w:tr>
        <w:tblPrEx>
          <w:shd w:val="clear"/>
          <w:tblCellMar>
            <w:top w:w="15" w:type="dxa"/>
            <w:left w:w="15" w:type="dxa"/>
            <w:bottom w:w="15" w:type="dxa"/>
            <w:right w:w="15" w:type="dxa"/>
          </w:tblCellMar>
        </w:tblPrEx>
        <w:trPr>
          <w:trHeight w:val="474" w:hRule="atLeast"/>
        </w:trPr>
        <w:tc>
          <w:tcPr>
            <w:tcW w:w="8788"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i w:val="0"/>
                <w:caps w:val="0"/>
                <w:color w:val="000000"/>
                <w:spacing w:val="0"/>
                <w:kern w:val="0"/>
                <w:sz w:val="21"/>
                <w:szCs w:val="21"/>
                <w:bdr w:val="none" w:color="auto" w:sz="0" w:space="0"/>
                <w:lang w:val="en-US" w:eastAsia="zh-CN" w:bidi="ar"/>
              </w:rPr>
              <w:t>第二十条第（八）项</w:t>
            </w:r>
          </w:p>
        </w:tc>
      </w:tr>
      <w:tr>
        <w:tblPrEx>
          <w:shd w:val="clear"/>
          <w:tblCellMar>
            <w:top w:w="15" w:type="dxa"/>
            <w:left w:w="15" w:type="dxa"/>
            <w:bottom w:w="15" w:type="dxa"/>
            <w:right w:w="15" w:type="dxa"/>
          </w:tblCellMar>
        </w:tblPrEx>
        <w:trPr>
          <w:trHeight w:val="270" w:hRule="atLeast"/>
        </w:trPr>
        <w:tc>
          <w:tcPr>
            <w:tcW w:w="3113"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i w:val="0"/>
                <w:caps w:val="0"/>
                <w:color w:val="000000"/>
                <w:spacing w:val="0"/>
                <w:kern w:val="0"/>
                <w:sz w:val="21"/>
                <w:szCs w:val="21"/>
                <w:bdr w:val="none" w:color="auto" w:sz="0" w:space="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val="0"/>
                <w:i w:val="0"/>
                <w:caps w:val="0"/>
                <w:color w:val="000000"/>
                <w:spacing w:val="0"/>
                <w:kern w:val="0"/>
                <w:sz w:val="21"/>
                <w:szCs w:val="21"/>
                <w:bdr w:val="none" w:color="auto" w:sz="0" w:space="0"/>
                <w:lang w:val="en-US" w:eastAsia="zh-CN" w:bidi="ar"/>
              </w:rPr>
              <w:t>上一年项目数量</w:t>
            </w:r>
          </w:p>
        </w:tc>
        <w:tc>
          <w:tcPr>
            <w:tcW w:w="3794" w:type="dxa"/>
            <w:gridSpan w:val="2"/>
            <w:tcBorders>
              <w:top w:val="single" w:color="auto" w:sz="8" w:space="0"/>
              <w:left w:val="nil"/>
              <w:bottom w:val="single" w:color="auto"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i w:val="0"/>
                <w:caps w:val="0"/>
                <w:color w:val="000000"/>
                <w:spacing w:val="0"/>
                <w:kern w:val="0"/>
                <w:sz w:val="21"/>
                <w:szCs w:val="21"/>
                <w:bdr w:val="none" w:color="auto" w:sz="0" w:space="0"/>
                <w:lang w:val="en-US" w:eastAsia="zh-CN" w:bidi="ar"/>
              </w:rPr>
              <w:t>本年增/减</w:t>
            </w:r>
          </w:p>
        </w:tc>
      </w:tr>
      <w:tr>
        <w:tblPrEx>
          <w:shd w:val="clear"/>
          <w:tblCellMar>
            <w:top w:w="15" w:type="dxa"/>
            <w:left w:w="15" w:type="dxa"/>
            <w:bottom w:w="15" w:type="dxa"/>
            <w:right w:w="15" w:type="dxa"/>
          </w:tblCellMar>
        </w:tblPrEx>
        <w:trPr>
          <w:trHeight w:val="551" w:hRule="atLeast"/>
        </w:trPr>
        <w:tc>
          <w:tcPr>
            <w:tcW w:w="3113"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val="0"/>
                <w:i w:val="0"/>
                <w:caps w:val="0"/>
                <w:color w:val="000000"/>
                <w:spacing w:val="0"/>
                <w:kern w:val="0"/>
                <w:sz w:val="21"/>
                <w:szCs w:val="21"/>
                <w:bdr w:val="none" w:color="auto" w:sz="0" w:space="0"/>
                <w:lang w:val="en-US" w:eastAsia="zh-CN" w:bidi="ar"/>
              </w:rPr>
              <w:t>行政事业性收费</w:t>
            </w:r>
          </w:p>
        </w:tc>
        <w:tc>
          <w:tcPr>
            <w:tcW w:w="188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Times New Roman"/>
                <w:kern w:val="2"/>
                <w:sz w:val="21"/>
                <w:szCs w:val="21"/>
                <w:bdr w:val="none" w:color="auto" w:sz="0" w:space="0"/>
                <w:lang w:val="en-US" w:eastAsia="zh-CN" w:bidi="ar"/>
              </w:rPr>
              <w:t> 0</w:t>
            </w:r>
          </w:p>
        </w:tc>
        <w:tc>
          <w:tcPr>
            <w:tcW w:w="3794" w:type="dxa"/>
            <w:gridSpan w:val="2"/>
            <w:tcBorders>
              <w:top w:val="nil"/>
              <w:left w:val="nil"/>
              <w:bottom w:val="single" w:color="auto"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i w:val="0"/>
                <w:caps w:val="0"/>
                <w:color w:val="000000"/>
                <w:spacing w:val="0"/>
                <w:kern w:val="0"/>
                <w:sz w:val="21"/>
                <w:szCs w:val="21"/>
                <w:bdr w:val="none" w:color="auto" w:sz="0" w:space="0"/>
                <w:lang w:val="en-US" w:eastAsia="zh-CN" w:bidi="ar"/>
              </w:rPr>
              <w:t>0 </w:t>
            </w:r>
          </w:p>
        </w:tc>
      </w:tr>
      <w:tr>
        <w:tblPrEx>
          <w:shd w:val="clear"/>
          <w:tblCellMar>
            <w:top w:w="15" w:type="dxa"/>
            <w:left w:w="15" w:type="dxa"/>
            <w:bottom w:w="15" w:type="dxa"/>
            <w:right w:w="15" w:type="dxa"/>
          </w:tblCellMar>
        </w:tblPrEx>
        <w:trPr>
          <w:trHeight w:val="476" w:hRule="atLeast"/>
        </w:trPr>
        <w:tc>
          <w:tcPr>
            <w:tcW w:w="8788"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i w:val="0"/>
                <w:caps w:val="0"/>
                <w:color w:val="000000"/>
                <w:spacing w:val="0"/>
                <w:kern w:val="0"/>
                <w:sz w:val="21"/>
                <w:szCs w:val="21"/>
                <w:bdr w:val="none" w:color="auto" w:sz="0" w:space="0"/>
                <w:lang w:val="en-US" w:eastAsia="zh-CN" w:bidi="ar"/>
              </w:rPr>
              <w:t>第二十条第（九）项</w:t>
            </w:r>
          </w:p>
        </w:tc>
      </w:tr>
      <w:tr>
        <w:tblPrEx>
          <w:shd w:val="clear"/>
          <w:tblCellMar>
            <w:top w:w="15" w:type="dxa"/>
            <w:left w:w="15" w:type="dxa"/>
            <w:bottom w:w="15" w:type="dxa"/>
            <w:right w:w="15" w:type="dxa"/>
          </w:tblCellMar>
        </w:tblPrEx>
        <w:trPr>
          <w:trHeight w:val="585" w:hRule="atLeast"/>
        </w:trPr>
        <w:tc>
          <w:tcPr>
            <w:tcW w:w="3113"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i w:val="0"/>
                <w:caps w:val="0"/>
                <w:color w:val="000000"/>
                <w:spacing w:val="0"/>
                <w:kern w:val="0"/>
                <w:sz w:val="21"/>
                <w:szCs w:val="21"/>
                <w:bdr w:val="none" w:color="auto" w:sz="0" w:space="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i w:val="0"/>
                <w:caps w:val="0"/>
                <w:color w:val="000000"/>
                <w:spacing w:val="0"/>
                <w:kern w:val="0"/>
                <w:sz w:val="21"/>
                <w:szCs w:val="21"/>
                <w:bdr w:val="none" w:color="auto" w:sz="0" w:space="0"/>
                <w:lang w:val="en-US" w:eastAsia="zh-CN" w:bidi="ar"/>
              </w:rPr>
              <w:t>采购项目数量</w:t>
            </w:r>
          </w:p>
        </w:tc>
        <w:tc>
          <w:tcPr>
            <w:tcW w:w="3794" w:type="dxa"/>
            <w:gridSpan w:val="2"/>
            <w:tcBorders>
              <w:top w:val="single" w:color="auto" w:sz="8" w:space="0"/>
              <w:left w:val="nil"/>
              <w:bottom w:val="single" w:color="auto" w:sz="8" w:space="0"/>
              <w:right w:val="single" w:color="000000"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i w:val="0"/>
                <w:caps w:val="0"/>
                <w:color w:val="000000"/>
                <w:spacing w:val="0"/>
                <w:kern w:val="0"/>
                <w:sz w:val="21"/>
                <w:szCs w:val="21"/>
                <w:bdr w:val="none" w:color="auto" w:sz="0" w:space="0"/>
                <w:lang w:val="en-US" w:eastAsia="zh-CN" w:bidi="ar"/>
              </w:rPr>
              <w:t>采购总金额</w:t>
            </w:r>
          </w:p>
        </w:tc>
      </w:tr>
      <w:tr>
        <w:tblPrEx>
          <w:shd w:val="clear"/>
          <w:tblCellMar>
            <w:top w:w="15" w:type="dxa"/>
            <w:left w:w="15" w:type="dxa"/>
            <w:bottom w:w="15" w:type="dxa"/>
            <w:right w:w="15" w:type="dxa"/>
          </w:tblCellMar>
        </w:tblPrEx>
        <w:trPr>
          <w:trHeight w:val="539" w:hRule="atLeast"/>
        </w:trPr>
        <w:tc>
          <w:tcPr>
            <w:tcW w:w="3113"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b w:val="0"/>
                <w:i w:val="0"/>
                <w:caps w:val="0"/>
                <w:color w:val="000000"/>
                <w:spacing w:val="0"/>
                <w:kern w:val="0"/>
                <w:sz w:val="21"/>
                <w:szCs w:val="21"/>
                <w:bdr w:val="none" w:color="auto" w:sz="0" w:space="0"/>
                <w:lang w:val="en-US" w:eastAsia="zh-CN" w:bidi="ar"/>
              </w:rPr>
              <w:t>政府集中采购</w:t>
            </w:r>
          </w:p>
        </w:tc>
        <w:tc>
          <w:tcPr>
            <w:tcW w:w="1881"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Calibri" w:hAnsi="Calibri" w:eastAsia="宋体" w:cs="Times New Roman"/>
                <w:kern w:val="2"/>
                <w:sz w:val="21"/>
                <w:szCs w:val="21"/>
                <w:bdr w:val="none" w:color="auto" w:sz="0" w:space="0"/>
                <w:lang w:val="en-US" w:eastAsia="zh-CN" w:bidi="ar"/>
              </w:rPr>
              <w:t>25</w:t>
            </w:r>
          </w:p>
        </w:tc>
        <w:tc>
          <w:tcPr>
            <w:tcW w:w="3794" w:type="dxa"/>
            <w:gridSpan w:val="2"/>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b w:val="0"/>
                <w:i w:val="0"/>
                <w:caps w:val="0"/>
                <w:color w:val="4E4342"/>
                <w:spacing w:val="0"/>
                <w:kern w:val="0"/>
                <w:sz w:val="21"/>
                <w:szCs w:val="21"/>
                <w:bdr w:val="none" w:color="auto" w:sz="0" w:space="0"/>
                <w:lang w:val="en-US" w:eastAsia="zh-CN" w:bidi="ar"/>
              </w:rPr>
              <w:t>38925359</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0" w:lineRule="atLeast"/>
        <w:ind w:left="0" w:right="0"/>
        <w:jc w:val="center"/>
      </w:pPr>
      <w:r>
        <w:rPr>
          <w:rFonts w:hint="eastAsia" w:ascii="宋体" w:hAnsi="宋体" w:eastAsia="宋体" w:cs="宋体"/>
          <w:b w:val="0"/>
          <w:i w:val="0"/>
          <w:caps w:val="0"/>
          <w:color w:val="4E4342"/>
          <w:spacing w:val="0"/>
          <w:kern w:val="0"/>
          <w:sz w:val="24"/>
          <w:szCs w:val="24"/>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0" w:lineRule="atLeast"/>
        <w:ind w:left="0" w:right="0" w:firstLine="420"/>
        <w:jc w:val="both"/>
      </w:pPr>
    </w:p>
    <w:p>
      <w:pPr>
        <w:keepNext w:val="0"/>
        <w:keepLines w:val="0"/>
        <w:widowControl/>
        <w:suppressLineNumbers w:val="0"/>
        <w:shd w:val="clear" w:fill="FFFFFF"/>
        <w:spacing w:before="0" w:beforeAutospacing="0" w:after="0" w:afterAutospacing="0" w:line="600" w:lineRule="atLeast"/>
        <w:ind w:left="0" w:right="0" w:firstLine="640"/>
        <w:jc w:val="left"/>
      </w:pPr>
      <w:r>
        <w:rPr>
          <w:rFonts w:ascii="黑体" w:hAnsi="宋体" w:eastAsia="黑体" w:cs="黑体"/>
          <w:b w:val="0"/>
          <w:i w:val="0"/>
          <w:caps w:val="0"/>
          <w:color w:val="4E4342"/>
          <w:spacing w:val="0"/>
          <w:kern w:val="0"/>
          <w:sz w:val="32"/>
          <w:szCs w:val="32"/>
          <w:shd w:val="clear" w:fill="FFFFFF"/>
          <w:lang w:val="en-US" w:eastAsia="zh-CN" w:bidi="ar"/>
        </w:rPr>
        <w:t>三、收到和处理政府信息公开申请情况</w:t>
      </w:r>
    </w:p>
    <w:tbl>
      <w:tblPr>
        <w:tblW w:w="9018" w:type="dxa"/>
        <w:tblInd w:w="0" w:type="dxa"/>
        <w:shd w:val="clear"/>
        <w:tblLayout w:type="autofit"/>
        <w:tblCellMar>
          <w:top w:w="15" w:type="dxa"/>
          <w:left w:w="15" w:type="dxa"/>
          <w:bottom w:w="15" w:type="dxa"/>
          <w:right w:w="15" w:type="dxa"/>
        </w:tblCellMar>
      </w:tblPr>
      <w:tblGrid>
        <w:gridCol w:w="636"/>
        <w:gridCol w:w="854"/>
        <w:gridCol w:w="2077"/>
        <w:gridCol w:w="813"/>
        <w:gridCol w:w="753"/>
        <w:gridCol w:w="753"/>
        <w:gridCol w:w="811"/>
        <w:gridCol w:w="970"/>
        <w:gridCol w:w="710"/>
        <w:gridCol w:w="641"/>
      </w:tblGrid>
      <w:tr>
        <w:tblPrEx>
          <w:shd w:val="clear"/>
          <w:tblCellMar>
            <w:top w:w="15" w:type="dxa"/>
            <w:left w:w="15" w:type="dxa"/>
            <w:bottom w:w="15" w:type="dxa"/>
            <w:right w:w="15" w:type="dxa"/>
          </w:tblCellMar>
        </w:tblPrEx>
        <w:tc>
          <w:tcPr>
            <w:tcW w:w="3567" w:type="dxa"/>
            <w:gridSpan w:val="3"/>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（本列数据的勾稽关系为：第一项加第二项之和，等于第三项加第四项之和）</w:t>
            </w:r>
          </w:p>
        </w:tc>
        <w:tc>
          <w:tcPr>
            <w:tcW w:w="5451" w:type="dxa"/>
            <w:gridSpan w:val="7"/>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申请人情况</w:t>
            </w:r>
          </w:p>
        </w:tc>
      </w:tr>
      <w:tr>
        <w:tblPrEx>
          <w:tblCellMar>
            <w:top w:w="15" w:type="dxa"/>
            <w:left w:w="15" w:type="dxa"/>
            <w:bottom w:w="15" w:type="dxa"/>
            <w:right w:w="15" w:type="dxa"/>
          </w:tblCellMar>
        </w:tblPrEx>
        <w:tc>
          <w:tcPr>
            <w:tcW w:w="3567"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81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自然人</w:t>
            </w:r>
          </w:p>
        </w:tc>
        <w:tc>
          <w:tcPr>
            <w:tcW w:w="3997"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法人或其他组织</w:t>
            </w:r>
          </w:p>
        </w:tc>
        <w:tc>
          <w:tcPr>
            <w:tcW w:w="641"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总计</w:t>
            </w:r>
          </w:p>
        </w:tc>
      </w:tr>
      <w:tr>
        <w:tblPrEx>
          <w:tblCellMar>
            <w:top w:w="15" w:type="dxa"/>
            <w:left w:w="15" w:type="dxa"/>
            <w:bottom w:w="15" w:type="dxa"/>
            <w:right w:w="15" w:type="dxa"/>
          </w:tblCellMar>
        </w:tblPrEx>
        <w:tc>
          <w:tcPr>
            <w:tcW w:w="3567"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81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商业企业</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科研机构</w:t>
            </w:r>
          </w:p>
        </w:tc>
        <w:tc>
          <w:tcPr>
            <w:tcW w:w="81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社会公益组织</w:t>
            </w:r>
          </w:p>
        </w:tc>
        <w:tc>
          <w:tcPr>
            <w:tcW w:w="97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法律服务机构</w:t>
            </w:r>
          </w:p>
        </w:tc>
        <w:tc>
          <w:tcPr>
            <w:tcW w:w="71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其他</w:t>
            </w:r>
          </w:p>
        </w:tc>
        <w:tc>
          <w:tcPr>
            <w:tcW w:w="641"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r>
      <w:tr>
        <w:tblPrEx>
          <w:tblCellMar>
            <w:top w:w="15" w:type="dxa"/>
            <w:left w:w="15" w:type="dxa"/>
            <w:bottom w:w="15" w:type="dxa"/>
            <w:right w:w="15" w:type="dxa"/>
          </w:tblCellMar>
        </w:tblPrEx>
        <w:tc>
          <w:tcPr>
            <w:tcW w:w="3567"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一、本年新收政府信息公开申请数量</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Calibri" w:hAnsi="Calibri" w:eastAsia="宋体" w:cs="Calibri"/>
                <w:kern w:val="0"/>
                <w:sz w:val="21"/>
                <w:szCs w:val="21"/>
                <w:bdr w:val="none" w:color="auto" w:sz="0" w:space="0"/>
                <w:lang w:val="en-US" w:eastAsia="zh-CN" w:bidi="ar"/>
              </w:rPr>
              <w:t>0</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6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0</w:t>
            </w:r>
          </w:p>
        </w:tc>
      </w:tr>
      <w:tr>
        <w:tblPrEx>
          <w:tblCellMar>
            <w:top w:w="15" w:type="dxa"/>
            <w:left w:w="15" w:type="dxa"/>
            <w:bottom w:w="15" w:type="dxa"/>
            <w:right w:w="15" w:type="dxa"/>
          </w:tblCellMar>
        </w:tblPrEx>
        <w:tc>
          <w:tcPr>
            <w:tcW w:w="3567"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二、上年结转政府信息公开申请数量</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0</w:t>
            </w:r>
            <w:r>
              <w:rPr>
                <w:rFonts w:hint="default" w:ascii="Calibri" w:hAnsi="Calibri" w:eastAsia="宋体" w:cs="Calibri"/>
                <w:kern w:val="0"/>
                <w:sz w:val="21"/>
                <w:szCs w:val="21"/>
                <w:bdr w:val="none" w:color="auto" w:sz="0" w:space="0"/>
                <w:lang w:val="en-US" w:eastAsia="zh-CN" w:bidi="ar"/>
              </w:rPr>
              <w:t> </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6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0</w:t>
            </w:r>
            <w:r>
              <w:rPr>
                <w:rFonts w:hint="default" w:ascii="Calibri" w:hAnsi="Calibri" w:eastAsia="宋体" w:cs="Calibri"/>
                <w:kern w:val="0"/>
                <w:sz w:val="21"/>
                <w:szCs w:val="21"/>
                <w:bdr w:val="none" w:color="auto" w:sz="0" w:space="0"/>
                <w:lang w:val="en-US" w:eastAsia="zh-CN" w:bidi="ar"/>
              </w:rPr>
              <w:t> </w:t>
            </w:r>
          </w:p>
        </w:tc>
      </w:tr>
      <w:tr>
        <w:tblPrEx>
          <w:tblCellMar>
            <w:top w:w="15" w:type="dxa"/>
            <w:left w:w="15" w:type="dxa"/>
            <w:bottom w:w="15" w:type="dxa"/>
            <w:right w:w="15" w:type="dxa"/>
          </w:tblCellMar>
        </w:tblPrEx>
        <w:tc>
          <w:tcPr>
            <w:tcW w:w="636"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三、本年度办理结果</w:t>
            </w:r>
          </w:p>
        </w:tc>
        <w:tc>
          <w:tcPr>
            <w:tcW w:w="293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ascii="楷体" w:hAnsi="楷体" w:eastAsia="楷体" w:cs="楷体"/>
                <w:kern w:val="0"/>
                <w:sz w:val="21"/>
                <w:szCs w:val="21"/>
                <w:bdr w:val="none" w:color="auto" w:sz="0" w:space="0"/>
                <w:lang w:val="en-US" w:eastAsia="zh-CN" w:bidi="ar"/>
              </w:rPr>
              <w:t>（一）予以公开</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Calibri" w:hAnsi="Calibri" w:eastAsia="宋体" w:cs="Calibri"/>
                <w:kern w:val="0"/>
                <w:sz w:val="21"/>
                <w:szCs w:val="21"/>
                <w:bdr w:val="none" w:color="auto" w:sz="0" w:space="0"/>
                <w:lang w:val="en-US" w:eastAsia="zh-CN" w:bidi="ar"/>
              </w:rPr>
              <w:t>0</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64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0</w:t>
            </w:r>
          </w:p>
        </w:tc>
      </w:tr>
      <w:tr>
        <w:tblPrEx>
          <w:tblCellMar>
            <w:top w:w="15" w:type="dxa"/>
            <w:left w:w="15" w:type="dxa"/>
            <w:bottom w:w="15" w:type="dxa"/>
            <w:right w:w="15" w:type="dxa"/>
          </w:tblCellMar>
        </w:tblPrEx>
        <w:tc>
          <w:tcPr>
            <w:tcW w:w="63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293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楷体" w:hAnsi="楷体" w:eastAsia="楷体" w:cs="楷体"/>
                <w:kern w:val="0"/>
                <w:sz w:val="21"/>
                <w:szCs w:val="21"/>
                <w:bdr w:val="none" w:color="auto" w:sz="0" w:space="0"/>
                <w:lang w:val="en-US" w:eastAsia="zh-CN" w:bidi="ar"/>
              </w:rPr>
              <w:t>（二）部分公开（区分处理的，自己这一情形，不计其他情形）</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0</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6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0</w:t>
            </w:r>
            <w:r>
              <w:rPr>
                <w:rFonts w:hint="default" w:ascii="Calibri" w:hAnsi="Calibri" w:eastAsia="宋体" w:cs="Calibri"/>
                <w:kern w:val="0"/>
                <w:sz w:val="21"/>
                <w:szCs w:val="21"/>
                <w:bdr w:val="none" w:color="auto" w:sz="0" w:space="0"/>
                <w:lang w:val="en-US" w:eastAsia="zh-CN" w:bidi="ar"/>
              </w:rPr>
              <w:t> </w:t>
            </w:r>
          </w:p>
        </w:tc>
      </w:tr>
      <w:tr>
        <w:tblPrEx>
          <w:tblCellMar>
            <w:top w:w="15" w:type="dxa"/>
            <w:left w:w="15" w:type="dxa"/>
            <w:bottom w:w="15" w:type="dxa"/>
            <w:right w:w="15" w:type="dxa"/>
          </w:tblCellMar>
        </w:tblPrEx>
        <w:tc>
          <w:tcPr>
            <w:tcW w:w="63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楷体" w:hAnsi="楷体" w:eastAsia="楷体" w:cs="楷体"/>
                <w:kern w:val="0"/>
                <w:sz w:val="21"/>
                <w:szCs w:val="21"/>
                <w:bdr w:val="none" w:color="auto" w:sz="0" w:space="0"/>
                <w:lang w:val="en-US" w:eastAsia="zh-CN" w:bidi="ar"/>
              </w:rPr>
              <w:t>（三）不予公开</w:t>
            </w:r>
          </w:p>
        </w:tc>
        <w:tc>
          <w:tcPr>
            <w:tcW w:w="207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楷体" w:hAnsi="楷体" w:eastAsia="楷体" w:cs="楷体"/>
                <w:kern w:val="0"/>
                <w:sz w:val="21"/>
                <w:szCs w:val="21"/>
                <w:bdr w:val="none" w:color="auto" w:sz="0" w:space="0"/>
                <w:lang w:val="en-US" w:eastAsia="zh-CN" w:bidi="ar"/>
              </w:rPr>
              <w:t>1.属于国家秘密</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0</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64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0</w:t>
            </w:r>
          </w:p>
        </w:tc>
      </w:tr>
      <w:tr>
        <w:tblPrEx>
          <w:tblCellMar>
            <w:top w:w="15" w:type="dxa"/>
            <w:left w:w="15" w:type="dxa"/>
            <w:bottom w:w="15" w:type="dxa"/>
            <w:right w:w="15" w:type="dxa"/>
          </w:tblCellMar>
        </w:tblPrEx>
        <w:tc>
          <w:tcPr>
            <w:tcW w:w="63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207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楷体" w:hAnsi="楷体" w:eastAsia="楷体" w:cs="楷体"/>
                <w:kern w:val="0"/>
                <w:sz w:val="21"/>
                <w:szCs w:val="21"/>
                <w:bdr w:val="none" w:color="auto" w:sz="0" w:space="0"/>
                <w:lang w:val="en-US" w:eastAsia="zh-CN" w:bidi="ar"/>
              </w:rPr>
              <w:t>2.其他法律行政法规禁止公开</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0</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6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0</w:t>
            </w:r>
          </w:p>
        </w:tc>
      </w:tr>
      <w:tr>
        <w:tblPrEx>
          <w:tblCellMar>
            <w:top w:w="15" w:type="dxa"/>
            <w:left w:w="15" w:type="dxa"/>
            <w:bottom w:w="15" w:type="dxa"/>
            <w:right w:w="15" w:type="dxa"/>
          </w:tblCellMar>
        </w:tblPrEx>
        <w:tc>
          <w:tcPr>
            <w:tcW w:w="63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207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楷体" w:hAnsi="楷体" w:eastAsia="楷体" w:cs="楷体"/>
                <w:kern w:val="0"/>
                <w:sz w:val="21"/>
                <w:szCs w:val="21"/>
                <w:bdr w:val="none" w:color="auto" w:sz="0" w:space="0"/>
                <w:lang w:val="en-US" w:eastAsia="zh-CN" w:bidi="ar"/>
              </w:rPr>
              <w:t>3.危及“三安全一稳定”</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0</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8"/>
                <w:szCs w:val="28"/>
                <w:bdr w:val="none" w:color="auto" w:sz="0" w:space="0"/>
                <w:lang w:val="en-US" w:eastAsia="zh-CN" w:bidi="ar"/>
              </w:rPr>
              <w:t> </w:t>
            </w:r>
          </w:p>
        </w:tc>
        <w:tc>
          <w:tcPr>
            <w:tcW w:w="6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0</w:t>
            </w:r>
          </w:p>
        </w:tc>
      </w:tr>
      <w:tr>
        <w:tblPrEx>
          <w:tblCellMar>
            <w:top w:w="15" w:type="dxa"/>
            <w:left w:w="15" w:type="dxa"/>
            <w:bottom w:w="15" w:type="dxa"/>
            <w:right w:w="15" w:type="dxa"/>
          </w:tblCellMar>
        </w:tblPrEx>
        <w:tc>
          <w:tcPr>
            <w:tcW w:w="63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207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楷体" w:hAnsi="楷体" w:eastAsia="楷体" w:cs="楷体"/>
                <w:kern w:val="0"/>
                <w:sz w:val="21"/>
                <w:szCs w:val="21"/>
                <w:bdr w:val="none" w:color="auto" w:sz="0" w:space="0"/>
                <w:lang w:val="en-US" w:eastAsia="zh-CN" w:bidi="ar"/>
              </w:rPr>
              <w:t>4.保护第三方合法权益</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0</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6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0</w:t>
            </w:r>
          </w:p>
        </w:tc>
      </w:tr>
      <w:tr>
        <w:tblPrEx>
          <w:tblCellMar>
            <w:top w:w="15" w:type="dxa"/>
            <w:left w:w="15" w:type="dxa"/>
            <w:bottom w:w="15" w:type="dxa"/>
            <w:right w:w="15" w:type="dxa"/>
          </w:tblCellMar>
        </w:tblPrEx>
        <w:tc>
          <w:tcPr>
            <w:tcW w:w="63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207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楷体" w:hAnsi="楷体" w:eastAsia="楷体" w:cs="楷体"/>
                <w:kern w:val="0"/>
                <w:sz w:val="21"/>
                <w:szCs w:val="21"/>
                <w:bdr w:val="none" w:color="auto" w:sz="0" w:space="0"/>
                <w:lang w:val="en-US" w:eastAsia="zh-CN" w:bidi="ar"/>
              </w:rPr>
              <w:t>5.属于三类内部事务信息</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Calibri" w:hAnsi="Calibri" w:eastAsia="宋体" w:cs="Calibri"/>
                <w:kern w:val="0"/>
                <w:sz w:val="21"/>
                <w:szCs w:val="21"/>
                <w:bdr w:val="none" w:color="auto" w:sz="0" w:space="0"/>
                <w:lang w:val="en-US" w:eastAsia="zh-CN" w:bidi="ar"/>
              </w:rPr>
              <w:t>0</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6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0</w:t>
            </w:r>
          </w:p>
        </w:tc>
      </w:tr>
      <w:tr>
        <w:tblPrEx>
          <w:tblCellMar>
            <w:top w:w="15" w:type="dxa"/>
            <w:left w:w="15" w:type="dxa"/>
            <w:bottom w:w="15" w:type="dxa"/>
            <w:right w:w="15" w:type="dxa"/>
          </w:tblCellMar>
        </w:tblPrEx>
        <w:tc>
          <w:tcPr>
            <w:tcW w:w="63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207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楷体" w:hAnsi="楷体" w:eastAsia="楷体" w:cs="楷体"/>
                <w:kern w:val="0"/>
                <w:sz w:val="21"/>
                <w:szCs w:val="21"/>
                <w:bdr w:val="none" w:color="auto" w:sz="0" w:space="0"/>
                <w:lang w:val="en-US" w:eastAsia="zh-CN" w:bidi="ar"/>
              </w:rPr>
              <w:t>6.属于四类过程性信息</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0</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6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0</w:t>
            </w:r>
          </w:p>
        </w:tc>
      </w:tr>
      <w:tr>
        <w:tblPrEx>
          <w:tblCellMar>
            <w:top w:w="15" w:type="dxa"/>
            <w:left w:w="15" w:type="dxa"/>
            <w:bottom w:w="15" w:type="dxa"/>
            <w:right w:w="15" w:type="dxa"/>
          </w:tblCellMar>
        </w:tblPrEx>
        <w:tc>
          <w:tcPr>
            <w:tcW w:w="63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207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楷体" w:hAnsi="楷体" w:eastAsia="楷体" w:cs="楷体"/>
                <w:kern w:val="0"/>
                <w:sz w:val="21"/>
                <w:szCs w:val="21"/>
                <w:bdr w:val="none" w:color="auto" w:sz="0" w:space="0"/>
                <w:lang w:val="en-US" w:eastAsia="zh-CN" w:bidi="ar"/>
              </w:rPr>
              <w:t>7.属于行政执法案卷</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0</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6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0</w:t>
            </w:r>
          </w:p>
        </w:tc>
      </w:tr>
      <w:tr>
        <w:tblPrEx>
          <w:tblCellMar>
            <w:top w:w="15" w:type="dxa"/>
            <w:left w:w="15" w:type="dxa"/>
            <w:bottom w:w="15" w:type="dxa"/>
            <w:right w:w="15" w:type="dxa"/>
          </w:tblCellMar>
        </w:tblPrEx>
        <w:tc>
          <w:tcPr>
            <w:tcW w:w="63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207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楷体" w:hAnsi="楷体" w:eastAsia="楷体" w:cs="楷体"/>
                <w:kern w:val="0"/>
                <w:sz w:val="21"/>
                <w:szCs w:val="21"/>
                <w:bdr w:val="none" w:color="auto" w:sz="0" w:space="0"/>
                <w:lang w:val="en-US" w:eastAsia="zh-CN" w:bidi="ar"/>
              </w:rPr>
              <w:t>8.属于行政查询事项</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0</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6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0</w:t>
            </w:r>
          </w:p>
        </w:tc>
      </w:tr>
      <w:tr>
        <w:tblPrEx>
          <w:tblCellMar>
            <w:top w:w="15" w:type="dxa"/>
            <w:left w:w="15" w:type="dxa"/>
            <w:bottom w:w="15" w:type="dxa"/>
            <w:right w:w="15" w:type="dxa"/>
          </w:tblCellMar>
        </w:tblPrEx>
        <w:tc>
          <w:tcPr>
            <w:tcW w:w="63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楷体" w:hAnsi="楷体" w:eastAsia="楷体" w:cs="楷体"/>
                <w:kern w:val="0"/>
                <w:sz w:val="21"/>
                <w:szCs w:val="21"/>
                <w:bdr w:val="none" w:color="auto" w:sz="0" w:space="0"/>
                <w:lang w:val="en-US" w:eastAsia="zh-CN" w:bidi="ar"/>
              </w:rPr>
              <w:t>（四）无法提供</w:t>
            </w:r>
          </w:p>
        </w:tc>
        <w:tc>
          <w:tcPr>
            <w:tcW w:w="207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楷体" w:hAnsi="楷体" w:eastAsia="楷体" w:cs="楷体"/>
                <w:kern w:val="0"/>
                <w:sz w:val="21"/>
                <w:szCs w:val="21"/>
                <w:bdr w:val="none" w:color="auto" w:sz="0" w:space="0"/>
                <w:lang w:val="en-US" w:eastAsia="zh-CN" w:bidi="ar"/>
              </w:rPr>
              <w:t>1.本机关不掌握相关政府信息</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0</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6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0</w:t>
            </w:r>
          </w:p>
        </w:tc>
      </w:tr>
      <w:tr>
        <w:tblPrEx>
          <w:tblCellMar>
            <w:top w:w="15" w:type="dxa"/>
            <w:left w:w="15" w:type="dxa"/>
            <w:bottom w:w="15" w:type="dxa"/>
            <w:right w:w="15" w:type="dxa"/>
          </w:tblCellMar>
        </w:tblPrEx>
        <w:tc>
          <w:tcPr>
            <w:tcW w:w="63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207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楷体" w:hAnsi="楷体" w:eastAsia="楷体" w:cs="楷体"/>
                <w:kern w:val="0"/>
                <w:sz w:val="21"/>
                <w:szCs w:val="21"/>
                <w:bdr w:val="none" w:color="auto" w:sz="0" w:space="0"/>
                <w:lang w:val="en-US" w:eastAsia="zh-CN" w:bidi="ar"/>
              </w:rPr>
              <w:t>2.没有现成信息需要另行制作</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0</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6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0</w:t>
            </w:r>
          </w:p>
        </w:tc>
      </w:tr>
      <w:tr>
        <w:tblPrEx>
          <w:tblCellMar>
            <w:top w:w="15" w:type="dxa"/>
            <w:left w:w="15" w:type="dxa"/>
            <w:bottom w:w="15" w:type="dxa"/>
            <w:right w:w="15" w:type="dxa"/>
          </w:tblCellMar>
        </w:tblPrEx>
        <w:tc>
          <w:tcPr>
            <w:tcW w:w="63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207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楷体" w:hAnsi="楷体" w:eastAsia="楷体" w:cs="楷体"/>
                <w:kern w:val="0"/>
                <w:sz w:val="21"/>
                <w:szCs w:val="21"/>
                <w:bdr w:val="none" w:color="auto" w:sz="0" w:space="0"/>
                <w:lang w:val="en-US" w:eastAsia="zh-CN" w:bidi="ar"/>
              </w:rPr>
              <w:t>3.补正后申请内容仍不明确</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0</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6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0</w:t>
            </w:r>
          </w:p>
        </w:tc>
      </w:tr>
      <w:tr>
        <w:tblPrEx>
          <w:tblCellMar>
            <w:top w:w="15" w:type="dxa"/>
            <w:left w:w="15" w:type="dxa"/>
            <w:bottom w:w="15" w:type="dxa"/>
            <w:right w:w="15" w:type="dxa"/>
          </w:tblCellMar>
        </w:tblPrEx>
        <w:tc>
          <w:tcPr>
            <w:tcW w:w="63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楷体" w:hAnsi="楷体" w:eastAsia="楷体" w:cs="楷体"/>
                <w:kern w:val="0"/>
                <w:sz w:val="21"/>
                <w:szCs w:val="21"/>
                <w:bdr w:val="none" w:color="auto" w:sz="0" w:space="0"/>
                <w:lang w:val="en-US" w:eastAsia="zh-CN" w:bidi="ar"/>
              </w:rPr>
              <w:t>（五）不予处理</w:t>
            </w:r>
          </w:p>
        </w:tc>
        <w:tc>
          <w:tcPr>
            <w:tcW w:w="207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楷体" w:hAnsi="楷体" w:eastAsia="楷体" w:cs="楷体"/>
                <w:kern w:val="0"/>
                <w:sz w:val="21"/>
                <w:szCs w:val="21"/>
                <w:bdr w:val="none" w:color="auto" w:sz="0" w:space="0"/>
                <w:lang w:val="en-US" w:eastAsia="zh-CN" w:bidi="ar"/>
              </w:rPr>
              <w:t>1.信访举报投诉类申请</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0</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6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0</w:t>
            </w:r>
          </w:p>
        </w:tc>
      </w:tr>
      <w:tr>
        <w:tblPrEx>
          <w:tblCellMar>
            <w:top w:w="15" w:type="dxa"/>
            <w:left w:w="15" w:type="dxa"/>
            <w:bottom w:w="15" w:type="dxa"/>
            <w:right w:w="15" w:type="dxa"/>
          </w:tblCellMar>
        </w:tblPrEx>
        <w:tc>
          <w:tcPr>
            <w:tcW w:w="63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207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楷体" w:hAnsi="楷体" w:eastAsia="楷体" w:cs="楷体"/>
                <w:kern w:val="0"/>
                <w:sz w:val="21"/>
                <w:szCs w:val="21"/>
                <w:bdr w:val="none" w:color="auto" w:sz="0" w:space="0"/>
                <w:lang w:val="en-US" w:eastAsia="zh-CN" w:bidi="ar"/>
              </w:rPr>
              <w:t>2.重复申请</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0</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6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0</w:t>
            </w:r>
          </w:p>
        </w:tc>
      </w:tr>
      <w:tr>
        <w:tblPrEx>
          <w:tblCellMar>
            <w:top w:w="15" w:type="dxa"/>
            <w:left w:w="15" w:type="dxa"/>
            <w:bottom w:w="15" w:type="dxa"/>
            <w:right w:w="15" w:type="dxa"/>
          </w:tblCellMar>
        </w:tblPrEx>
        <w:tc>
          <w:tcPr>
            <w:tcW w:w="63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207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楷体" w:hAnsi="楷体" w:eastAsia="楷体" w:cs="楷体"/>
                <w:kern w:val="0"/>
                <w:sz w:val="21"/>
                <w:szCs w:val="21"/>
                <w:bdr w:val="none" w:color="auto" w:sz="0" w:space="0"/>
                <w:lang w:val="en-US" w:eastAsia="zh-CN" w:bidi="ar"/>
              </w:rPr>
              <w:t>3.要求提供公开出版物</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0</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6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0</w:t>
            </w:r>
          </w:p>
        </w:tc>
      </w:tr>
      <w:tr>
        <w:tblPrEx>
          <w:tblCellMar>
            <w:top w:w="15" w:type="dxa"/>
            <w:left w:w="15" w:type="dxa"/>
            <w:bottom w:w="15" w:type="dxa"/>
            <w:right w:w="15" w:type="dxa"/>
          </w:tblCellMar>
        </w:tblPrEx>
        <w:tc>
          <w:tcPr>
            <w:tcW w:w="63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207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楷体" w:hAnsi="楷体" w:eastAsia="楷体" w:cs="楷体"/>
                <w:kern w:val="0"/>
                <w:sz w:val="21"/>
                <w:szCs w:val="21"/>
                <w:bdr w:val="none" w:color="auto" w:sz="0" w:space="0"/>
                <w:lang w:val="en-US" w:eastAsia="zh-CN" w:bidi="ar"/>
              </w:rPr>
              <w:t>4.无正当理由大量反复申请</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0</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6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0</w:t>
            </w:r>
            <w:r>
              <w:rPr>
                <w:rFonts w:hint="default" w:ascii="Calibri" w:hAnsi="Calibri" w:eastAsia="宋体" w:cs="Calibri"/>
                <w:kern w:val="0"/>
                <w:sz w:val="21"/>
                <w:szCs w:val="21"/>
                <w:bdr w:val="none" w:color="auto" w:sz="0" w:space="0"/>
                <w:lang w:val="en-US" w:eastAsia="zh-CN" w:bidi="ar"/>
              </w:rPr>
              <w:t> </w:t>
            </w:r>
          </w:p>
        </w:tc>
      </w:tr>
      <w:tr>
        <w:tblPrEx>
          <w:tblCellMar>
            <w:top w:w="15" w:type="dxa"/>
            <w:left w:w="15" w:type="dxa"/>
            <w:bottom w:w="15" w:type="dxa"/>
            <w:right w:w="15" w:type="dxa"/>
          </w:tblCellMar>
        </w:tblPrEx>
        <w:tc>
          <w:tcPr>
            <w:tcW w:w="63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207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楷体" w:hAnsi="楷体" w:eastAsia="楷体" w:cs="楷体"/>
                <w:kern w:val="0"/>
                <w:sz w:val="21"/>
                <w:szCs w:val="21"/>
                <w:bdr w:val="none" w:color="auto" w:sz="0" w:space="0"/>
                <w:lang w:val="en-US" w:eastAsia="zh-CN" w:bidi="ar"/>
              </w:rPr>
              <w:t>5.要求行政机关确认或重新出具已获取信息</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0</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6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0</w:t>
            </w:r>
          </w:p>
        </w:tc>
      </w:tr>
      <w:tr>
        <w:tblPrEx>
          <w:tblCellMar>
            <w:top w:w="15" w:type="dxa"/>
            <w:left w:w="15" w:type="dxa"/>
            <w:bottom w:w="15" w:type="dxa"/>
            <w:right w:w="15" w:type="dxa"/>
          </w:tblCellMar>
        </w:tblPrEx>
        <w:tc>
          <w:tcPr>
            <w:tcW w:w="63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293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楷体" w:hAnsi="楷体" w:eastAsia="楷体" w:cs="楷体"/>
                <w:kern w:val="0"/>
                <w:sz w:val="21"/>
                <w:szCs w:val="21"/>
                <w:bdr w:val="none" w:color="auto" w:sz="0" w:space="0"/>
                <w:lang w:val="en-US" w:eastAsia="zh-CN" w:bidi="ar"/>
              </w:rPr>
              <w:t>（六）其他处理</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Calibri" w:hAnsi="Calibri" w:eastAsia="宋体" w:cs="Calibri"/>
                <w:kern w:val="0"/>
                <w:sz w:val="21"/>
                <w:szCs w:val="21"/>
                <w:bdr w:val="none" w:color="auto" w:sz="0" w:space="0"/>
                <w:lang w:val="en-US" w:eastAsia="zh-CN" w:bidi="ar"/>
              </w:rPr>
              <w:t>0</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6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Calibri" w:hAnsi="Calibri" w:eastAsia="宋体" w:cs="Calibri"/>
                <w:kern w:val="0"/>
                <w:sz w:val="21"/>
                <w:szCs w:val="21"/>
                <w:bdr w:val="none" w:color="auto" w:sz="0" w:space="0"/>
                <w:lang w:val="en-US" w:eastAsia="zh-CN" w:bidi="ar"/>
              </w:rPr>
              <w:t>0</w:t>
            </w:r>
          </w:p>
        </w:tc>
      </w:tr>
      <w:tr>
        <w:tblPrEx>
          <w:tblCellMar>
            <w:top w:w="15" w:type="dxa"/>
            <w:left w:w="15" w:type="dxa"/>
            <w:bottom w:w="15" w:type="dxa"/>
            <w:right w:w="15" w:type="dxa"/>
          </w:tblCellMar>
        </w:tblPrEx>
        <w:tc>
          <w:tcPr>
            <w:tcW w:w="636"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293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楷体" w:hAnsi="楷体" w:eastAsia="楷体" w:cs="楷体"/>
                <w:kern w:val="0"/>
                <w:sz w:val="21"/>
                <w:szCs w:val="21"/>
                <w:bdr w:val="none" w:color="auto" w:sz="0" w:space="0"/>
                <w:lang w:val="en-US" w:eastAsia="zh-CN" w:bidi="ar"/>
              </w:rPr>
              <w:t>（七）总计</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Calibri" w:hAnsi="Calibri" w:eastAsia="宋体" w:cs="Calibri"/>
                <w:kern w:val="0"/>
                <w:sz w:val="21"/>
                <w:szCs w:val="21"/>
                <w:bdr w:val="none" w:color="auto" w:sz="0" w:space="0"/>
                <w:lang w:val="en-US" w:eastAsia="zh-CN" w:bidi="ar"/>
              </w:rPr>
              <w:t>0</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6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Calibri" w:hAnsi="Calibri" w:eastAsia="宋体" w:cs="Calibri"/>
                <w:kern w:val="0"/>
                <w:sz w:val="21"/>
                <w:szCs w:val="21"/>
                <w:bdr w:val="none" w:color="auto" w:sz="0" w:space="0"/>
                <w:lang w:val="en-US" w:eastAsia="zh-CN" w:bidi="ar"/>
              </w:rPr>
              <w:t>0</w:t>
            </w:r>
          </w:p>
        </w:tc>
      </w:tr>
      <w:tr>
        <w:tblPrEx>
          <w:tblCellMar>
            <w:top w:w="15" w:type="dxa"/>
            <w:left w:w="15" w:type="dxa"/>
            <w:bottom w:w="15" w:type="dxa"/>
            <w:right w:w="15" w:type="dxa"/>
          </w:tblCellMar>
        </w:tblPrEx>
        <w:tc>
          <w:tcPr>
            <w:tcW w:w="3567"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1"/>
                <w:szCs w:val="21"/>
                <w:bdr w:val="none" w:color="auto" w:sz="0" w:space="0"/>
                <w:lang w:val="en-US" w:eastAsia="zh-CN" w:bidi="ar"/>
              </w:rPr>
              <w:t>四、结转下年度继续办理</w:t>
            </w:r>
          </w:p>
        </w:tc>
        <w:tc>
          <w:tcPr>
            <w:tcW w:w="8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r>
              <w:rPr>
                <w:rFonts w:hint="eastAsia" w:ascii="宋体" w:hAnsi="宋体" w:eastAsia="宋体" w:cs="宋体"/>
                <w:kern w:val="0"/>
                <w:sz w:val="21"/>
                <w:szCs w:val="21"/>
                <w:bdr w:val="none" w:color="auto" w:sz="0" w:space="0"/>
                <w:lang w:val="en-US" w:eastAsia="zh-CN" w:bidi="ar"/>
              </w:rPr>
              <w:t>0</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5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97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7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Calibri" w:hAnsi="Calibri" w:eastAsia="宋体" w:cs="Calibri"/>
                <w:kern w:val="0"/>
                <w:sz w:val="21"/>
                <w:szCs w:val="21"/>
                <w:bdr w:val="none" w:color="auto" w:sz="0" w:space="0"/>
                <w:lang w:val="en-US" w:eastAsia="zh-CN" w:bidi="ar"/>
              </w:rPr>
              <w:t> </w:t>
            </w:r>
          </w:p>
        </w:tc>
        <w:tc>
          <w:tcPr>
            <w:tcW w:w="64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8"/>
                <w:szCs w:val="28"/>
                <w:bdr w:val="none" w:color="auto" w:sz="0" w:space="0"/>
                <w:lang w:val="en-US" w:eastAsia="zh-CN" w:bidi="ar"/>
              </w:rPr>
              <w:t>0</w:t>
            </w:r>
          </w:p>
        </w:tc>
      </w:tr>
    </w:tbl>
    <w:p>
      <w:pPr>
        <w:keepNext w:val="0"/>
        <w:keepLines w:val="0"/>
        <w:widowControl/>
        <w:suppressLineNumbers w:val="0"/>
        <w:shd w:val="clear" w:fill="FFFFFF"/>
        <w:spacing w:before="0" w:beforeAutospacing="0" w:after="0" w:afterAutospacing="0" w:line="600" w:lineRule="atLeast"/>
        <w:ind w:left="0" w:right="0" w:firstLine="640"/>
        <w:jc w:val="left"/>
      </w:pPr>
      <w:r>
        <w:rPr>
          <w:rFonts w:hint="eastAsia" w:ascii="黑体" w:hAnsi="宋体" w:eastAsia="黑体" w:cs="黑体"/>
          <w:b w:val="0"/>
          <w:i w:val="0"/>
          <w:caps w:val="0"/>
          <w:color w:val="4E4342"/>
          <w:spacing w:val="0"/>
          <w:kern w:val="0"/>
          <w:sz w:val="32"/>
          <w:szCs w:val="32"/>
          <w:shd w:val="clear" w:fill="FFFFFF"/>
          <w:lang w:val="en-US" w:eastAsia="zh-CN" w:bidi="ar"/>
        </w:rPr>
        <w:t>四、政府信息公开行政复议、行政诉讼情况</w:t>
      </w:r>
    </w:p>
    <w:tbl>
      <w:tblPr>
        <w:tblW w:w="9014" w:type="dxa"/>
        <w:tblInd w:w="0" w:type="dxa"/>
        <w:shd w:val="clear"/>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549"/>
      </w:tblGrid>
      <w:tr>
        <w:tblPrEx>
          <w:shd w:val="clear"/>
          <w:tblCellMar>
            <w:top w:w="15" w:type="dxa"/>
            <w:left w:w="15" w:type="dxa"/>
            <w:bottom w:w="15" w:type="dxa"/>
            <w:right w:w="15" w:type="dxa"/>
          </w:tblCellMar>
        </w:tblPrEx>
        <w:tc>
          <w:tcPr>
            <w:tcW w:w="3074"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行政复议</w:t>
            </w:r>
          </w:p>
        </w:tc>
        <w:tc>
          <w:tcPr>
            <w:tcW w:w="5940" w:type="dxa"/>
            <w:gridSpan w:val="10"/>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行政诉讼</w:t>
            </w:r>
          </w:p>
        </w:tc>
      </w:tr>
      <w:tr>
        <w:tblPrEx>
          <w:tblCellMar>
            <w:top w:w="15" w:type="dxa"/>
            <w:left w:w="15" w:type="dxa"/>
            <w:bottom w:w="15" w:type="dxa"/>
            <w:right w:w="15" w:type="dxa"/>
          </w:tblCellMar>
        </w:tblPrEx>
        <w:tc>
          <w:tcPr>
            <w:tcW w:w="604"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结果维持</w:t>
            </w:r>
          </w:p>
        </w:tc>
        <w:tc>
          <w:tcPr>
            <w:tcW w:w="604"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未经复议直接起诉</w:t>
            </w:r>
          </w:p>
        </w:tc>
        <w:tc>
          <w:tcPr>
            <w:tcW w:w="2970"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复议后起诉</w:t>
            </w:r>
          </w:p>
        </w:tc>
      </w:tr>
      <w:tr>
        <w:tblPrEx>
          <w:tblCellMar>
            <w:top w:w="15" w:type="dxa"/>
            <w:left w:w="15" w:type="dxa"/>
            <w:bottom w:w="15" w:type="dxa"/>
            <w:right w:w="15" w:type="dxa"/>
          </w:tblCellMar>
        </w:tblPrEx>
        <w:tc>
          <w:tcPr>
            <w:tcW w:w="604"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jc w:val="left"/>
              <w:rPr>
                <w:rFonts w:hint="eastAsia" w:ascii="宋体"/>
                <w:sz w:val="24"/>
                <w:szCs w:val="24"/>
              </w:rPr>
            </w:pPr>
          </w:p>
        </w:tc>
        <w:tc>
          <w:tcPr>
            <w:tcW w:w="5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结果维持</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结果纠正</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其他结果</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尚未审结</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0"/>
                <w:szCs w:val="20"/>
                <w:bdr w:val="none" w:color="auto" w:sz="0" w:space="0"/>
                <w:lang w:val="en-US" w:eastAsia="zh-CN" w:bidi="ar"/>
              </w:rPr>
              <w:t>总计</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结果维持</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结果纠正</w:t>
            </w:r>
          </w:p>
        </w:tc>
        <w:tc>
          <w:tcPr>
            <w:tcW w:w="60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0"/>
                <w:szCs w:val="20"/>
                <w:bdr w:val="none" w:color="auto" w:sz="0" w:space="0"/>
                <w:lang w:val="en-US" w:eastAsia="zh-CN" w:bidi="ar"/>
              </w:rPr>
              <w:t>其他结果</w:t>
            </w:r>
          </w:p>
        </w:tc>
        <w:tc>
          <w:tcPr>
            <w:tcW w:w="60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尚未审结</w:t>
            </w:r>
          </w:p>
        </w:tc>
        <w:tc>
          <w:tcPr>
            <w:tcW w:w="54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0"/>
                <w:szCs w:val="20"/>
                <w:bdr w:val="none" w:color="auto" w:sz="0" w:space="0"/>
                <w:lang w:val="en-US" w:eastAsia="zh-CN" w:bidi="ar"/>
              </w:rPr>
              <w:t>总计</w:t>
            </w:r>
          </w:p>
        </w:tc>
      </w:tr>
      <w:tr>
        <w:tblPrEx>
          <w:tblCellMar>
            <w:top w:w="15" w:type="dxa"/>
            <w:left w:w="15" w:type="dxa"/>
            <w:bottom w:w="15" w:type="dxa"/>
            <w:right w:w="15" w:type="dxa"/>
          </w:tblCellMar>
        </w:tblPrEx>
        <w:tc>
          <w:tcPr>
            <w:tcW w:w="60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0</w:t>
            </w:r>
          </w:p>
        </w:tc>
        <w:tc>
          <w:tcPr>
            <w:tcW w:w="6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0</w:t>
            </w:r>
          </w:p>
        </w:tc>
        <w:tc>
          <w:tcPr>
            <w:tcW w:w="6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0</w:t>
            </w:r>
          </w:p>
        </w:tc>
        <w:tc>
          <w:tcPr>
            <w:tcW w:w="6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0</w:t>
            </w:r>
          </w:p>
        </w:tc>
        <w:tc>
          <w:tcPr>
            <w:tcW w:w="65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1</w:t>
            </w:r>
          </w:p>
        </w:tc>
        <w:tc>
          <w:tcPr>
            <w:tcW w:w="5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0"/>
                <w:szCs w:val="20"/>
                <w:bdr w:val="none" w:color="auto" w:sz="0" w:space="0"/>
                <w:lang w:val="en-US" w:eastAsia="zh-CN" w:bidi="ar"/>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0</w:t>
            </w:r>
          </w:p>
        </w:tc>
        <w:tc>
          <w:tcPr>
            <w:tcW w:w="60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0"/>
                <w:szCs w:val="20"/>
                <w:bdr w:val="none" w:color="auto" w:sz="0" w:space="0"/>
                <w:lang w:val="en-US" w:eastAsia="zh-CN" w:bidi="ar"/>
              </w:rPr>
              <w:t>0</w:t>
            </w:r>
          </w:p>
        </w:tc>
        <w:tc>
          <w:tcPr>
            <w:tcW w:w="6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bdr w:val="none" w:color="auto" w:sz="0" w:space="0"/>
                <w:lang w:val="en-US" w:eastAsia="zh-CN" w:bidi="ar"/>
              </w:rPr>
              <w:t>0</w:t>
            </w:r>
          </w:p>
        </w:tc>
        <w:tc>
          <w:tcPr>
            <w:tcW w:w="54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0</w:t>
            </w:r>
          </w:p>
        </w:tc>
      </w:tr>
    </w:tbl>
    <w:p>
      <w:pPr>
        <w:keepNext w:val="0"/>
        <w:keepLines w:val="0"/>
        <w:widowControl/>
        <w:suppressLineNumbers w:val="0"/>
        <w:spacing w:before="0" w:beforeAutospacing="1" w:after="0" w:afterAutospacing="1"/>
        <w:ind w:left="0" w:right="0"/>
        <w:jc w:val="left"/>
      </w:pPr>
      <w:r>
        <w:rPr>
          <w:rFonts w:hint="default" w:ascii="Calibri" w:hAnsi="Calibri" w:eastAsia="宋体" w:cs="Times New Roman"/>
          <w:kern w:val="2"/>
          <w:sz w:val="21"/>
          <w:szCs w:val="21"/>
          <w:lang w:val="en-US" w:eastAsia="zh-CN" w:bidi="ar"/>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0" w:lineRule="atLeast"/>
        <w:ind w:left="0" w:right="0" w:firstLine="42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0" w:lineRule="atLeast"/>
        <w:ind w:left="0" w:right="0" w:firstLine="420"/>
        <w:jc w:val="both"/>
      </w:pPr>
      <w:r>
        <w:rPr>
          <w:rFonts w:hint="eastAsia" w:ascii="宋体" w:hAnsi="宋体" w:eastAsia="宋体" w:cs="宋体"/>
          <w:b/>
          <w:i w:val="0"/>
          <w:caps w:val="0"/>
          <w:color w:val="4E4342"/>
          <w:spacing w:val="0"/>
          <w:kern w:val="0"/>
          <w:sz w:val="24"/>
          <w:szCs w:val="24"/>
          <w:bdr w:val="none" w:color="auto" w:sz="0" w:space="0"/>
          <w:shd w:val="clear"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ind w:left="0" w:right="0" w:firstLine="420"/>
        <w:jc w:val="both"/>
      </w:pPr>
      <w:r>
        <w:rPr>
          <w:rFonts w:hint="eastAsia" w:ascii="宋体" w:hAnsi="宋体" w:eastAsia="宋体" w:cs="宋体"/>
          <w:kern w:val="0"/>
          <w:sz w:val="24"/>
          <w:szCs w:val="24"/>
          <w:bdr w:val="none" w:color="auto" w:sz="0" w:space="0"/>
        </w:rPr>
        <w:t>一是全省公共资源交易平台建设范围不够。进一步优化现有功能，实现各类事项交易全流程电子化，实现异地远程评标常态化全覆盖，推动远程异地监督系统建设。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ind w:left="0" w:right="0" w:firstLine="420"/>
        <w:jc w:val="both"/>
      </w:pPr>
      <w:r>
        <w:rPr>
          <w:rFonts w:hint="eastAsia" w:ascii="宋体" w:hAnsi="宋体" w:eastAsia="宋体" w:cs="宋体"/>
          <w:kern w:val="0"/>
          <w:sz w:val="24"/>
          <w:szCs w:val="24"/>
          <w:bdr w:val="none" w:color="auto" w:sz="0" w:space="0"/>
        </w:rPr>
        <w:t>二是自身信息化能力建设力度不强。进一步强化党委、行政对中心信息化建设工作的领导和全省信息体系建设的宏观指导，及时出台相关远期规划方案，以适应“互联网+中心”各项建设需要。加强信息部门自身能力建设，改进内部管理和运行机制；加大信息部门编制、人才和经费保障，积极争取引进高素质信息化人才。加强信息安全问题研究和风险防控，确保信息系统安全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ind w:left="0" w:right="0" w:firstLine="420"/>
        <w:jc w:val="both"/>
      </w:pPr>
      <w:r>
        <w:rPr>
          <w:rFonts w:hint="eastAsia" w:ascii="宋体" w:hAnsi="宋体" w:eastAsia="宋体" w:cs="宋体"/>
          <w:kern w:val="0"/>
          <w:sz w:val="24"/>
          <w:szCs w:val="24"/>
          <w:bdr w:val="none" w:color="auto" w:sz="0" w:space="0"/>
        </w:rPr>
        <w:t>三是省中心网站平台建设不够完善。按照《四川省政府网站绩效评估指标体系》完成省中心门户网站的升级改造，完善当前缺失的栏目，建立信息运维机制确保及时更新，并加强重点信息公开力度，完善财政资金、交易信息、重大建设项目、公共资源配置等重点公开内容，对中央政府网站和省政府网站重要信息栏目的信息及时转载，保障信息的及时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after="105" w:afterAutospacing="0" w:line="240" w:lineRule="atLeast"/>
        <w:ind w:left="0" w:right="0" w:firstLine="420"/>
        <w:jc w:val="both"/>
      </w:pPr>
      <w:r>
        <w:rPr>
          <w:rFonts w:hint="eastAsia" w:ascii="宋体" w:hAnsi="宋体" w:eastAsia="宋体" w:cs="宋体"/>
          <w:b/>
          <w:i w:val="0"/>
          <w:caps w:val="0"/>
          <w:color w:val="4E4342"/>
          <w:spacing w:val="0"/>
          <w:kern w:val="0"/>
          <w:sz w:val="24"/>
          <w:szCs w:val="24"/>
          <w:bdr w:val="none" w:color="auto" w:sz="0" w:space="0"/>
          <w:shd w:val="clear" w:fill="FFFFFF"/>
        </w:rPr>
        <w:t>六、其他需要报告的事项</w:t>
      </w:r>
    </w:p>
    <w:p>
      <w:pPr>
        <w:keepNext w:val="0"/>
        <w:keepLines w:val="0"/>
        <w:widowControl/>
        <w:suppressLineNumbers w:val="0"/>
        <w:spacing w:before="0" w:beforeAutospacing="1" w:after="0" w:afterAutospacing="1"/>
        <w:ind w:left="0" w:right="0"/>
        <w:jc w:val="left"/>
      </w:pPr>
      <w:r>
        <w:rPr>
          <w:rFonts w:hint="eastAsia" w:ascii="宋体" w:hAnsi="宋体" w:eastAsia="宋体" w:cs="宋体"/>
          <w:b w:val="0"/>
          <w:i w:val="0"/>
          <w:caps w:val="0"/>
          <w:color w:val="4E4342"/>
          <w:spacing w:val="0"/>
          <w:kern w:val="2"/>
          <w:sz w:val="24"/>
          <w:szCs w:val="24"/>
          <w:shd w:val="clear" w:fill="FFFFFF"/>
          <w:lang w:val="en-US" w:eastAsia="zh-CN" w:bidi="ar"/>
        </w:rPr>
        <w:t>无其他需报告事项</w:t>
      </w:r>
    </w:p>
    <w:p>
      <w:pPr>
        <w:rPr>
          <w:rFonts w:ascii="宋体" w:hAnsi="宋体" w:eastAsia="宋体" w:cs="宋体"/>
          <w:sz w:val="24"/>
          <w:szCs w:val="24"/>
          <w:bdr w:val="none" w:color="auto" w:sz="0" w:space="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30799"/>
    <w:rsid w:val="41730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2020-01-31T10:18:00Z</dcterms:created>
  <dc:creator>雀斑</dc:creator>
  <cp:lastModifiedBy>雀斑</cp:lastModifiedBy>
  <dcterms:modified xsi:type="dcterms:W3CDTF">2020-01-31T10:18:58Z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