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pacing w:val="-2"/>
          <w:sz w:val="32"/>
          <w:szCs w:val="32"/>
          <w:lang w:eastAsia="zh-CN"/>
        </w:rPr>
      </w:pPr>
      <w:bookmarkStart w:id="0" w:name="_Hlk96004519"/>
      <w:r>
        <w:rPr>
          <w:rFonts w:hint="eastAsia" w:ascii="方正小标宋简体" w:hAnsi="方正小标宋简体" w:eastAsia="方正小标宋简体" w:cs="方正小标宋简体"/>
          <w:color w:val="auto"/>
          <w:spacing w:val="-2"/>
          <w:sz w:val="32"/>
          <w:szCs w:val="32"/>
          <w:lang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"/>
          <w:sz w:val="44"/>
          <w:szCs w:val="44"/>
        </w:rPr>
        <w:t>泸州市创建国家食品安全示范城市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-2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auto"/>
          <w:spacing w:val="-2"/>
          <w:sz w:val="44"/>
          <w:szCs w:val="44"/>
        </w:rPr>
        <w:t>省级初评情况</w:t>
      </w:r>
    </w:p>
    <w:p>
      <w:pPr>
        <w:pStyle w:val="2"/>
        <w:spacing w:line="600" w:lineRule="exact"/>
        <w:ind w:left="420" w:firstLine="420"/>
        <w:rPr>
          <w:color w:val="auto"/>
        </w:rPr>
      </w:pP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pacing w:val="-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/>
          <w:sz w:val="32"/>
          <w:szCs w:val="32"/>
        </w:rPr>
        <w:t>按照《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  <w:lang w:eastAsia="zh-CN"/>
        </w:rPr>
        <w:t>国务院食品安全办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</w:rPr>
        <w:t>关于开展2022年国家食品安全示范城市评价验收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</w:rPr>
        <w:t>工作的通知》（食安办函〔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</w:rPr>
        <w:t>2021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</w:rPr>
        <w:t>〕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</w:rPr>
        <w:t xml:space="preserve">15 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</w:rPr>
        <w:t>号）</w:t>
      </w:r>
      <w:bookmarkEnd w:id="0"/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</w:rPr>
        <w:t>要求，</w:t>
      </w:r>
      <w:r>
        <w:rPr>
          <w:rFonts w:hint="eastAsia" w:ascii="方正仿宋简体" w:hAnsi="Times New Roman" w:eastAsia="方正仿宋简体" w:cs="方正仿宋简体"/>
          <w:snapToGrid/>
          <w:sz w:val="32"/>
          <w:szCs w:val="32"/>
        </w:rPr>
        <w:t>泸州市</w:t>
      </w:r>
      <w:r>
        <w:rPr>
          <w:rFonts w:hint="eastAsia" w:ascii="方正仿宋简体" w:hAnsi="Times New Roman" w:eastAsia="方正仿宋简体" w:cs="方正仿宋简体"/>
          <w:snapToGrid/>
          <w:sz w:val="32"/>
          <w:szCs w:val="32"/>
          <w:lang w:eastAsia="zh-CN"/>
        </w:rPr>
        <w:t>人民</w:t>
      </w:r>
      <w:r>
        <w:rPr>
          <w:rFonts w:hint="eastAsia" w:ascii="方正仿宋简体" w:hAnsi="Times New Roman" w:eastAsia="方正仿宋简体" w:cs="方正仿宋简体"/>
          <w:snapToGrid/>
          <w:sz w:val="32"/>
          <w:szCs w:val="32"/>
        </w:rPr>
        <w:t>政府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  <w:lang w:val="en-US" w:eastAsia="zh-CN"/>
        </w:rPr>
        <w:t>进行了</w:t>
      </w:r>
      <w:r>
        <w:rPr>
          <w:rFonts w:hint="eastAsia" w:ascii="方正仿宋简体" w:hAnsi="Times New Roman" w:eastAsia="方正仿宋简体" w:cs="方正仿宋简体"/>
          <w:snapToGrid/>
          <w:sz w:val="32"/>
          <w:szCs w:val="32"/>
        </w:rPr>
        <w:t>全面自查，</w:t>
      </w:r>
      <w:r>
        <w:rPr>
          <w:rFonts w:hint="eastAsia" w:ascii="方正仿宋简体" w:hAnsi="Times New Roman" w:eastAsia="方正仿宋简体" w:cs="方正仿宋简体"/>
          <w:snapToGrid/>
          <w:sz w:val="32"/>
          <w:szCs w:val="32"/>
          <w:lang w:val="en-US" w:eastAsia="zh-CN"/>
        </w:rPr>
        <w:t>并</w:t>
      </w:r>
      <w:r>
        <w:rPr>
          <w:rFonts w:hint="eastAsia" w:ascii="方正仿宋简体" w:hAnsi="Times New Roman" w:eastAsia="方正仿宋简体" w:cs="方正仿宋简体"/>
          <w:snapToGrid/>
          <w:sz w:val="32"/>
          <w:szCs w:val="32"/>
        </w:rPr>
        <w:t>向</w:t>
      </w:r>
      <w:r>
        <w:rPr>
          <w:rFonts w:hint="eastAsia" w:ascii="方正仿宋简体" w:hAnsi="Times New Roman" w:eastAsia="方正仿宋简体" w:cs="方正仿宋简体"/>
          <w:snapToGrid/>
          <w:sz w:val="32"/>
          <w:szCs w:val="32"/>
          <w:lang w:eastAsia="zh-CN"/>
        </w:rPr>
        <w:t>四川</w:t>
      </w:r>
      <w:r>
        <w:rPr>
          <w:rFonts w:hint="eastAsia" w:ascii="方正仿宋简体" w:hAnsi="Times New Roman" w:eastAsia="方正仿宋简体" w:cs="方正仿宋简体"/>
          <w:snapToGrid/>
          <w:sz w:val="32"/>
          <w:szCs w:val="32"/>
        </w:rPr>
        <w:t>省食安委申请省级初评。按照</w:t>
      </w:r>
      <w:r>
        <w:rPr>
          <w:rFonts w:hint="eastAsia" w:ascii="方正仿宋简体" w:hAnsi="Times New Roman" w:eastAsia="方正仿宋简体" w:cs="方正仿宋简体"/>
          <w:snapToGrid/>
          <w:sz w:val="32"/>
          <w:szCs w:val="32"/>
          <w:lang w:eastAsia="zh-CN"/>
        </w:rPr>
        <w:t>省食安委</w:t>
      </w:r>
      <w:r>
        <w:rPr>
          <w:rFonts w:hint="eastAsia" w:ascii="方正仿宋简体" w:hAnsi="Times New Roman" w:eastAsia="方正仿宋简体" w:cs="方正仿宋简体"/>
          <w:snapToGrid/>
          <w:sz w:val="32"/>
          <w:szCs w:val="32"/>
        </w:rPr>
        <w:t>工作部署，</w:t>
      </w:r>
      <w:r>
        <w:rPr>
          <w:rFonts w:hint="eastAsia" w:ascii="方正仿宋简体" w:hAnsi="Times New Roman" w:eastAsia="方正仿宋简体" w:cs="方正仿宋简体"/>
          <w:snapToGrid/>
          <w:sz w:val="32"/>
          <w:szCs w:val="32"/>
          <w:lang w:eastAsia="zh-CN"/>
        </w:rPr>
        <w:t>四川</w:t>
      </w:r>
      <w:r>
        <w:rPr>
          <w:rFonts w:hint="eastAsia" w:ascii="方正仿宋简体" w:hAnsi="Times New Roman" w:eastAsia="方正仿宋简体" w:cs="方正仿宋简体"/>
          <w:snapToGrid/>
          <w:sz w:val="32"/>
          <w:szCs w:val="32"/>
        </w:rPr>
        <w:t>省食安办牵头组成评审组，</w:t>
      </w:r>
      <w:r>
        <w:rPr>
          <w:rFonts w:hint="eastAsia" w:ascii="方正仿宋简体" w:hAnsi="Times New Roman" w:eastAsia="方正仿宋简体" w:cs="方正仿宋简体"/>
          <w:snapToGrid/>
          <w:sz w:val="32"/>
          <w:szCs w:val="32"/>
          <w:lang w:val="en-US" w:eastAsia="zh-CN"/>
        </w:rPr>
        <w:t>依据</w:t>
      </w:r>
      <w:r>
        <w:rPr>
          <w:rFonts w:hint="eastAsia" w:ascii="方正仿宋简体" w:hAnsi="Times New Roman" w:eastAsia="方正仿宋简体" w:cs="方正仿宋简体"/>
          <w:snapToGrid/>
          <w:sz w:val="32"/>
          <w:szCs w:val="32"/>
        </w:rPr>
        <w:t>《国家食品安全示范城市评价细则（</w:t>
      </w:r>
      <w:r>
        <w:rPr>
          <w:rFonts w:ascii="Times New Roman" w:hAnsi="Times New Roman" w:eastAsia="方正仿宋简体" w:cs="Times New Roman"/>
          <w:snapToGrid/>
          <w:sz w:val="32"/>
          <w:szCs w:val="32"/>
        </w:rPr>
        <w:t xml:space="preserve">2021 </w:t>
      </w:r>
      <w:r>
        <w:rPr>
          <w:rFonts w:hint="eastAsia" w:ascii="方正仿宋简体" w:hAnsi="Times New Roman" w:eastAsia="方正仿宋简体" w:cs="方正仿宋简体"/>
          <w:snapToGrid/>
          <w:sz w:val="32"/>
          <w:szCs w:val="32"/>
        </w:rPr>
        <w:t>版）》（以下简称《评价细则》）《国家食品安全示范城市</w:t>
      </w:r>
      <w:r>
        <w:rPr>
          <w:rFonts w:hint="eastAsia" w:ascii="方正仿宋简体" w:hAnsi="Times New Roman" w:eastAsia="方正仿宋简体" w:cs="方正仿宋简体"/>
          <w:snapToGrid/>
          <w:w w:val="97"/>
          <w:sz w:val="32"/>
          <w:szCs w:val="32"/>
        </w:rPr>
        <w:t>省级评审操作指南（</w:t>
      </w:r>
      <w:r>
        <w:rPr>
          <w:rFonts w:ascii="Times New Roman" w:hAnsi="Times New Roman" w:eastAsia="方正仿宋简体" w:cs="Times New Roman"/>
          <w:snapToGrid/>
          <w:w w:val="97"/>
          <w:sz w:val="32"/>
          <w:szCs w:val="32"/>
        </w:rPr>
        <w:t xml:space="preserve">2021 </w:t>
      </w:r>
      <w:r>
        <w:rPr>
          <w:rFonts w:hint="eastAsia" w:ascii="方正仿宋简体" w:hAnsi="Times New Roman" w:eastAsia="方正仿宋简体" w:cs="方正仿宋简体"/>
          <w:snapToGrid/>
          <w:w w:val="97"/>
          <w:sz w:val="32"/>
          <w:szCs w:val="32"/>
        </w:rPr>
        <w:t>版）》（以下简称《</w:t>
      </w:r>
      <w:r>
        <w:rPr>
          <w:rFonts w:hint="eastAsia" w:ascii="方正仿宋简体" w:hAnsi="Times New Roman" w:eastAsia="方正仿宋简体" w:cs="方正仿宋简体"/>
          <w:snapToGrid/>
          <w:w w:val="97"/>
          <w:sz w:val="32"/>
          <w:szCs w:val="32"/>
          <w:lang w:eastAsia="zh-CN"/>
        </w:rPr>
        <w:t>操作</w:t>
      </w:r>
      <w:r>
        <w:rPr>
          <w:rFonts w:hint="eastAsia" w:ascii="方正仿宋简体" w:hAnsi="Times New Roman" w:eastAsia="方正仿宋简体" w:cs="方正仿宋简体"/>
          <w:snapToGrid/>
          <w:w w:val="97"/>
          <w:sz w:val="32"/>
          <w:szCs w:val="32"/>
        </w:rPr>
        <w:t>指南</w:t>
      </w:r>
      <w:r>
        <w:rPr>
          <w:rFonts w:hint="eastAsia" w:ascii="方正仿宋简体" w:hAnsi="Times New Roman" w:eastAsia="方正仿宋简体" w:cs="方正仿宋简体"/>
          <w:snapToGrid/>
          <w:w w:val="97"/>
          <w:sz w:val="32"/>
          <w:szCs w:val="32"/>
          <w:lang w:eastAsia="zh-CN"/>
        </w:rPr>
        <w:t>》</w:t>
      </w:r>
      <w:r>
        <w:rPr>
          <w:rFonts w:hint="eastAsia" w:ascii="方正仿宋简体" w:hAnsi="Times New Roman" w:eastAsia="方正仿宋简体" w:cs="方正仿宋简体"/>
          <w:snapToGrid/>
          <w:w w:val="97"/>
          <w:sz w:val="32"/>
          <w:szCs w:val="32"/>
        </w:rPr>
        <w:t>）</w:t>
      </w:r>
      <w:r>
        <w:rPr>
          <w:rFonts w:hint="eastAsia" w:ascii="方正仿宋简体" w:hAnsi="Times New Roman" w:eastAsia="方正仿宋简体" w:cs="方正仿宋简体"/>
          <w:snapToGrid/>
          <w:sz w:val="32"/>
          <w:szCs w:val="32"/>
          <w:lang w:eastAsia="zh-CN"/>
        </w:rPr>
        <w:t>，</w:t>
      </w:r>
      <w:r>
        <w:rPr>
          <w:rFonts w:hint="eastAsia" w:ascii="方正仿宋简体" w:hAnsi="Times New Roman" w:eastAsia="方正仿宋简体" w:cs="方正仿宋简体"/>
          <w:snapToGrid/>
          <w:sz w:val="32"/>
          <w:szCs w:val="32"/>
        </w:rPr>
        <w:t>对泸州市创建国家食品安全示范城市进行客观全面初评。现将有关情况汇总如下。</w:t>
      </w:r>
    </w:p>
    <w:p>
      <w:pPr>
        <w:spacing w:line="600" w:lineRule="exact"/>
        <w:ind w:firstLine="632" w:firstLineChars="200"/>
        <w:rPr>
          <w:rFonts w:ascii="方正黑体简体" w:hAnsi="方正黑体简体" w:eastAsia="方正黑体简体" w:cs="方正黑体简体"/>
          <w:color w:val="auto"/>
          <w:spacing w:val="-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auto"/>
          <w:spacing w:val="-2"/>
          <w:sz w:val="32"/>
          <w:szCs w:val="32"/>
        </w:rPr>
        <w:t>一、省级初评组织实施情况</w:t>
      </w:r>
    </w:p>
    <w:p>
      <w:pPr>
        <w:spacing w:line="600" w:lineRule="exact"/>
        <w:ind w:firstLine="635" w:firstLineChars="200"/>
        <w:rPr>
          <w:rFonts w:ascii="方正楷体简体" w:hAnsi="方正楷体简体" w:eastAsia="方正楷体简体" w:cs="方正楷体简体"/>
          <w:b/>
          <w:bCs/>
          <w:color w:val="auto"/>
          <w:spacing w:val="-2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pacing w:val="-2"/>
          <w:sz w:val="32"/>
          <w:szCs w:val="32"/>
        </w:rPr>
        <w:t>（一）实施方式</w:t>
      </w:r>
    </w:p>
    <w:p>
      <w:pPr>
        <w:widowControl w:val="0"/>
        <w:kinsoku/>
        <w:snapToGrid/>
        <w:spacing w:before="182" w:line="293" w:lineRule="auto"/>
        <w:ind w:right="163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pacing w:val="-2"/>
          <w:sz w:val="32"/>
          <w:szCs w:val="32"/>
          <w:highlight w:val="none"/>
        </w:rPr>
      </w:pPr>
      <w:r>
        <w:rPr>
          <w:rFonts w:hint="eastAsia" w:ascii="方正仿宋简体" w:hAnsi="Times New Roman" w:eastAsia="方正仿宋简体" w:cs="方正仿宋简体"/>
          <w:snapToGrid/>
          <w:sz w:val="32"/>
          <w:szCs w:val="32"/>
        </w:rPr>
        <w:t>省级初评由省产品质量监督检验检测院（省质量技术审查评价中心）具体实施。对照《</w:t>
      </w:r>
      <w:r>
        <w:rPr>
          <w:rFonts w:hint="eastAsia" w:ascii="方正仿宋简体" w:hAnsi="Times New Roman" w:eastAsia="方正仿宋简体" w:cs="方正仿宋简体"/>
          <w:snapToGrid/>
          <w:sz w:val="32"/>
          <w:szCs w:val="32"/>
          <w:lang w:eastAsia="zh-CN"/>
        </w:rPr>
        <w:t>操作</w:t>
      </w:r>
      <w:r>
        <w:rPr>
          <w:rFonts w:hint="eastAsia" w:ascii="方正仿宋简体" w:hAnsi="Times New Roman" w:eastAsia="方正仿宋简体" w:cs="方正仿宋简体"/>
          <w:snapToGrid/>
          <w:sz w:val="32"/>
          <w:szCs w:val="32"/>
        </w:rPr>
        <w:t>指南》，</w:t>
      </w:r>
      <w:r>
        <w:rPr>
          <w:rFonts w:hint="eastAsia" w:ascii="方正仿宋简体" w:hAnsi="Times New Roman" w:eastAsia="方正仿宋简体" w:cs="方正仿宋简体"/>
          <w:snapToGrid/>
          <w:sz w:val="32"/>
          <w:szCs w:val="32"/>
          <w:lang w:eastAsia="zh-CN"/>
        </w:rPr>
        <w:t>省食安办</w:t>
      </w:r>
      <w:r>
        <w:rPr>
          <w:rFonts w:hint="eastAsia" w:ascii="方正仿宋简体" w:hAnsi="方正仿宋简体" w:eastAsia="方正仿宋简体" w:cs="方正仿宋简体"/>
          <w:spacing w:val="-2"/>
          <w:sz w:val="32"/>
          <w:szCs w:val="32"/>
        </w:rPr>
        <w:t>会同农业农村厅、省卫生健康委、</w:t>
      </w:r>
      <w:r>
        <w:rPr>
          <w:rFonts w:hint="eastAsia" w:ascii="方正仿宋简体" w:hAnsi="方正仿宋简体" w:eastAsia="方正仿宋简体" w:cs="方正仿宋简体"/>
          <w:spacing w:val="-2"/>
          <w:sz w:val="32"/>
          <w:szCs w:val="32"/>
          <w:highlight w:val="none"/>
        </w:rPr>
        <w:t>省粮食和储备局等部门，</w:t>
      </w:r>
      <w:r>
        <w:rPr>
          <w:rFonts w:hint="eastAsia" w:ascii="方正仿宋简体" w:hAnsi="方正仿宋简体" w:eastAsia="方正仿宋简体" w:cs="方正仿宋简体"/>
          <w:spacing w:val="-2"/>
          <w:sz w:val="32"/>
          <w:szCs w:val="32"/>
          <w:highlight w:val="none"/>
          <w:lang w:eastAsia="zh-CN"/>
        </w:rPr>
        <w:t>抽</w:t>
      </w:r>
      <w:r>
        <w:rPr>
          <w:rFonts w:hint="eastAsia" w:ascii="方正仿宋简体" w:hAnsi="方正仿宋简体" w:eastAsia="方正仿宋简体" w:cs="方正仿宋简体"/>
          <w:spacing w:val="-2"/>
          <w:sz w:val="32"/>
          <w:szCs w:val="32"/>
          <w:highlight w:val="none"/>
        </w:rPr>
        <w:t>选</w:t>
      </w:r>
      <w:r>
        <w:rPr>
          <w:rFonts w:ascii="Times New Roman" w:hAnsi="Times New Roman" w:eastAsia="方正仿宋简体" w:cs="Times New Roman"/>
          <w:snapToGrid/>
          <w:sz w:val="32"/>
          <w:szCs w:val="32"/>
          <w:highlight w:val="none"/>
        </w:rPr>
        <w:t>71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  <w:highlight w:val="none"/>
          <w:lang w:val="en-US" w:eastAsia="zh-CN"/>
        </w:rPr>
        <w:t>名</w:t>
      </w:r>
      <w:r>
        <w:rPr>
          <w:rFonts w:hint="eastAsia" w:ascii="方正仿宋简体" w:hAnsi="Times New Roman" w:eastAsia="方正仿宋简体" w:cs="方正仿宋简体"/>
          <w:snapToGrid/>
          <w:sz w:val="32"/>
          <w:szCs w:val="32"/>
          <w:highlight w:val="none"/>
        </w:rPr>
        <w:t>食品安全专家，组成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  <w:highlight w:val="none"/>
        </w:rPr>
        <w:t>19</w:t>
      </w:r>
      <w:r>
        <w:rPr>
          <w:rFonts w:hint="eastAsia" w:ascii="方正仿宋简体" w:hAnsi="Times New Roman" w:eastAsia="方正仿宋简体" w:cs="方正仿宋简体"/>
          <w:snapToGrid/>
          <w:sz w:val="32"/>
          <w:szCs w:val="32"/>
          <w:highlight w:val="none"/>
        </w:rPr>
        <w:t>个初评工作组，采取资料审查、现场检查、领导访谈等方式对</w:t>
      </w:r>
      <w:r>
        <w:rPr>
          <w:rFonts w:hint="eastAsia" w:ascii="方正仿宋简体" w:hAnsi="Times New Roman" w:eastAsia="方正仿宋简体" w:cs="方正仿宋简体"/>
          <w:snapToGrid/>
          <w:sz w:val="32"/>
          <w:szCs w:val="32"/>
          <w:highlight w:val="none"/>
          <w:lang w:val="en-US" w:eastAsia="zh-CN"/>
        </w:rPr>
        <w:t>泸州市</w:t>
      </w:r>
      <w:r>
        <w:rPr>
          <w:rFonts w:hint="eastAsia" w:ascii="方正仿宋简体" w:hAnsi="Times New Roman" w:eastAsia="方正仿宋简体" w:cs="方正仿宋简体"/>
          <w:snapToGrid/>
          <w:sz w:val="32"/>
          <w:szCs w:val="32"/>
          <w:highlight w:val="none"/>
        </w:rPr>
        <w:t>创建工作</w:t>
      </w:r>
      <w:r>
        <w:rPr>
          <w:rFonts w:hint="eastAsia" w:ascii="方正仿宋简体" w:hAnsi="Times New Roman" w:eastAsia="方正仿宋简体" w:cs="方正仿宋简体"/>
          <w:snapToGrid/>
          <w:sz w:val="32"/>
          <w:szCs w:val="32"/>
          <w:highlight w:val="none"/>
          <w:lang w:eastAsia="zh-CN"/>
        </w:rPr>
        <w:t>开展</w:t>
      </w:r>
      <w:r>
        <w:rPr>
          <w:rFonts w:hint="eastAsia" w:ascii="方正仿宋简体" w:hAnsi="Times New Roman" w:eastAsia="方正仿宋简体" w:cs="方正仿宋简体"/>
          <w:snapToGrid/>
          <w:sz w:val="32"/>
          <w:szCs w:val="32"/>
          <w:highlight w:val="none"/>
        </w:rPr>
        <w:t>全面初评。</w:t>
      </w:r>
    </w:p>
    <w:p>
      <w:pPr>
        <w:spacing w:line="600" w:lineRule="exact"/>
        <w:ind w:firstLine="635" w:firstLineChars="200"/>
        <w:rPr>
          <w:rFonts w:ascii="方正楷体简体" w:hAnsi="方正楷体简体" w:eastAsia="方正楷体简体" w:cs="方正楷体简体"/>
          <w:color w:val="auto"/>
          <w:spacing w:val="-2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pacing w:val="-2"/>
          <w:sz w:val="32"/>
          <w:szCs w:val="32"/>
        </w:rPr>
        <w:t>（二）评价内容</w:t>
      </w:r>
    </w:p>
    <w:p>
      <w:pPr>
        <w:widowControl w:val="0"/>
        <w:kinsoku/>
        <w:snapToGrid/>
        <w:spacing w:before="182" w:line="293" w:lineRule="auto"/>
        <w:ind w:right="163" w:firstLine="63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pacing w:val="-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按照《评价细则》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基础工作、能力建设、生产经营状况三大项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</w:rPr>
        <w:t>72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个指标，根据《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操作指南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逐一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评分。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资料审查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共查阅创建材料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</w:rPr>
        <w:t>2800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。现场检查共</w:t>
      </w:r>
      <w:r>
        <w:rPr>
          <w:rFonts w:hint="eastAsia" w:ascii="方正仿宋简体" w:hAnsi="方正仿宋简体" w:eastAsia="方正仿宋简体" w:cs="方正仿宋简体"/>
          <w:spacing w:val="-2"/>
          <w:sz w:val="32"/>
          <w:szCs w:val="32"/>
        </w:rPr>
        <w:t>抽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查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</w:rPr>
        <w:t>170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个点位，其中明查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pacing w:val="-2"/>
          <w:sz w:val="32"/>
          <w:szCs w:val="32"/>
        </w:rPr>
        <w:t>区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pacing w:val="-2"/>
          <w:sz w:val="32"/>
          <w:szCs w:val="32"/>
        </w:rPr>
        <w:t>县，覆盖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</w:rPr>
        <w:t>21</w:t>
      </w:r>
      <w:r>
        <w:rPr>
          <w:rFonts w:hint="eastAsia" w:ascii="方正仿宋简体" w:hAnsi="方正仿宋简体" w:eastAsia="方正仿宋简体" w:cs="方正仿宋简体"/>
          <w:spacing w:val="-2"/>
          <w:sz w:val="32"/>
          <w:szCs w:val="32"/>
        </w:rPr>
        <w:t>类业态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</w:rPr>
        <w:t>110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  <w:lang w:eastAsia="zh-CN"/>
        </w:rPr>
        <w:t>个</w:t>
      </w:r>
      <w:r>
        <w:rPr>
          <w:rFonts w:hint="eastAsia" w:ascii="方正仿宋简体" w:hAnsi="方正仿宋简体" w:eastAsia="方正仿宋简体" w:cs="方正仿宋简体"/>
          <w:spacing w:val="-2"/>
          <w:sz w:val="32"/>
          <w:szCs w:val="32"/>
        </w:rPr>
        <w:t>点位；暗访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pacing w:val="-2"/>
          <w:sz w:val="32"/>
          <w:szCs w:val="32"/>
        </w:rPr>
        <w:t>区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pacing w:val="-2"/>
          <w:sz w:val="32"/>
          <w:szCs w:val="32"/>
        </w:rPr>
        <w:t>县，覆盖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</w:rPr>
        <w:t>9</w:t>
      </w:r>
      <w:r>
        <w:rPr>
          <w:rFonts w:hint="eastAsia" w:ascii="方正仿宋简体" w:hAnsi="方正仿宋简体" w:eastAsia="方正仿宋简体" w:cs="方正仿宋简体"/>
          <w:spacing w:val="-2"/>
          <w:sz w:val="32"/>
          <w:szCs w:val="32"/>
        </w:rPr>
        <w:t>类业态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</w:rPr>
        <w:t>60</w:t>
      </w:r>
      <w:r>
        <w:rPr>
          <w:rFonts w:hint="eastAsia" w:ascii="方正仿宋简体" w:hAnsi="方正仿宋简体" w:eastAsia="方正仿宋简体" w:cs="方正仿宋简体"/>
          <w:spacing w:val="-2"/>
          <w:sz w:val="32"/>
          <w:szCs w:val="32"/>
        </w:rPr>
        <w:t>个点位。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由省食安办、省食安委相关成员单位负责人和评估专家组成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个访谈组，对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泸州市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党政负责同志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及市食安委相关成员单位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负责同志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进行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深度访谈。</w:t>
      </w:r>
    </w:p>
    <w:p>
      <w:pPr>
        <w:spacing w:before="182" w:line="293" w:lineRule="auto"/>
        <w:ind w:right="163" w:firstLine="632" w:firstLineChars="200"/>
        <w:rPr>
          <w:rFonts w:ascii="方正黑体简体" w:hAnsi="方正黑体简体" w:eastAsia="方正黑体简体" w:cs="方正黑体简体"/>
          <w:color w:val="auto"/>
          <w:spacing w:val="-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auto"/>
          <w:spacing w:val="-2"/>
          <w:sz w:val="32"/>
          <w:szCs w:val="32"/>
        </w:rPr>
        <w:t>二、泸州市食品安全总体情况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FF0000"/>
          <w:spacing w:val="-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napToGrid/>
          <w:sz w:val="32"/>
          <w:szCs w:val="32"/>
        </w:rPr>
        <w:t>2016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</w:rPr>
        <w:t>泸州市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  <w:lang w:val="en-US" w:eastAsia="zh-CN"/>
        </w:rPr>
        <w:t>获批成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</w:rPr>
        <w:t>为第三批国家食品安全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  <w:lang w:eastAsia="zh-CN"/>
        </w:rPr>
        <w:t>示范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</w:rPr>
        <w:t>城市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  <w:lang w:eastAsia="zh-CN"/>
        </w:rPr>
        <w:t>试点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</w:rPr>
        <w:t>城市以来，全市各级各部门以更高的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  <w:lang w:eastAsia="zh-CN"/>
        </w:rPr>
        <w:t>政治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</w:rPr>
        <w:t>站位全面推动食品安全工作，坚持把抓好食品安全作为重大政治任务，统筹全市力量，创新举措，高位推进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  <w:lang w:val="en-US" w:eastAsia="zh-CN"/>
        </w:rPr>
        <w:t>积极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</w:rPr>
        <w:t>推动食品安全治理体系和治理能力现代化。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  <w:lang w:eastAsia="zh-CN"/>
        </w:rPr>
        <w:t>泸州市</w:t>
      </w:r>
      <w:r>
        <w:rPr>
          <w:rStyle w:val="13"/>
          <w:rFonts w:ascii="Times New Roman" w:hAnsi="Times New Roman" w:eastAsia="方正仿宋简体" w:cs="Times New Roman"/>
          <w:b w:val="0"/>
          <w:kern w:val="2"/>
          <w:sz w:val="32"/>
          <w:szCs w:val="32"/>
        </w:rPr>
        <w:t>连续两年</w:t>
      </w:r>
      <w:r>
        <w:rPr>
          <w:rStyle w:val="13"/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eastAsia="zh-CN"/>
        </w:rPr>
        <w:t>在省委、省政府</w:t>
      </w:r>
      <w:r>
        <w:rPr>
          <w:rStyle w:val="13"/>
          <w:rFonts w:ascii="Times New Roman" w:hAnsi="Times New Roman" w:eastAsia="方正仿宋简体" w:cs="Times New Roman"/>
          <w:b w:val="0"/>
          <w:kern w:val="2"/>
          <w:sz w:val="32"/>
          <w:szCs w:val="32"/>
        </w:rPr>
        <w:t>食品安全党政同责评议考核中排名全省第一</w:t>
      </w:r>
      <w:r>
        <w:rPr>
          <w:rStyle w:val="13"/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  <w:highlight w:val="none"/>
        </w:rPr>
        <w:t>食品评价性抽检合格率持续保持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  <w:highlight w:val="none"/>
          <w:lang w:eastAsia="zh-CN"/>
        </w:rPr>
        <w:t>在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  <w:highlight w:val="none"/>
        </w:rPr>
        <w:t>99%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  <w:highlight w:val="none"/>
        </w:rPr>
        <w:t>以上，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  <w:highlight w:val="none"/>
          <w:lang w:eastAsia="zh-CN"/>
        </w:rPr>
        <w:t>连续三年在省食安办组织开展的民意调查中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  <w:highlight w:val="none"/>
        </w:rPr>
        <w:t>食品安全满意度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  <w:highlight w:val="none"/>
          <w:lang w:eastAsia="zh-CN"/>
        </w:rPr>
        <w:t>排名全省第一，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  <w:highlight w:val="none"/>
        </w:rPr>
        <w:t>未发生重大及以上食品安全事故。</w:t>
      </w:r>
    </w:p>
    <w:p>
      <w:pPr>
        <w:spacing w:line="600" w:lineRule="exact"/>
        <w:ind w:firstLine="476" w:firstLineChars="150"/>
        <w:rPr>
          <w:rFonts w:ascii="方正楷体简体" w:hAnsi="方正楷体简体" w:eastAsia="方正楷体简体" w:cs="方正楷体简体"/>
          <w:b/>
          <w:bCs/>
          <w:color w:val="auto"/>
          <w:spacing w:val="-2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pacing w:val="-2"/>
          <w:sz w:val="32"/>
          <w:szCs w:val="32"/>
        </w:rPr>
        <w:t>（一）示范创建工作成效</w:t>
      </w:r>
    </w:p>
    <w:p>
      <w:pPr>
        <w:spacing w:line="60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color w:val="auto"/>
          <w:spacing w:val="-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napToGrid/>
          <w:sz w:val="32"/>
          <w:szCs w:val="32"/>
        </w:rPr>
        <w:t>1.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pacing w:val="-2"/>
          <w:sz w:val="32"/>
          <w:szCs w:val="32"/>
        </w:rPr>
        <w:t>坚持党政同责，食品安全机制体制不断完善</w:t>
      </w:r>
    </w:p>
    <w:p>
      <w:pPr>
        <w:spacing w:line="600" w:lineRule="exact"/>
        <w:ind w:firstLine="482" w:firstLineChars="15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napToGrid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）切实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履行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食品安全属地责任</w:t>
      </w:r>
      <w:r>
        <w:rPr>
          <w:rFonts w:hint="eastAsia" w:ascii="CESI仿宋-GB13000" w:eastAsia="CESI仿宋-GB13000" w:cs="方正仿宋简体"/>
          <w:b/>
          <w:bCs/>
          <w:color w:val="auto"/>
          <w:sz w:val="32"/>
          <w:szCs w:val="32"/>
        </w:rPr>
        <w:t>。</w:t>
      </w:r>
      <w:r>
        <w:rPr>
          <w:rFonts w:ascii="Times New Roman" w:hAnsi="Times New Roman" w:eastAsia="方正仿宋简体" w:cs="Times New Roman"/>
          <w:sz w:val="32"/>
          <w:szCs w:val="32"/>
        </w:rPr>
        <w:t>将食品安全创建工作纳入“十三五”“十四五”发展规划，市委、市政府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制定</w:t>
      </w:r>
      <w:r>
        <w:rPr>
          <w:rFonts w:ascii="Times New Roman" w:hAnsi="Times New Roman" w:eastAsia="方正仿宋简体" w:cs="Times New Roman"/>
          <w:sz w:val="32"/>
          <w:szCs w:val="32"/>
        </w:rPr>
        <w:t>《泸州市市级党政领导干部食品安全工作责任清单》《泸州市市级党政领导干部食品安全工作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协助人制度</w:t>
      </w:r>
      <w:r>
        <w:rPr>
          <w:rFonts w:ascii="Times New Roman" w:hAnsi="Times New Roman" w:eastAsia="方正仿宋简体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等</w:t>
      </w:r>
      <w:r>
        <w:rPr>
          <w:rFonts w:ascii="Times New Roman" w:hAnsi="Times New Roman" w:eastAsia="方正仿宋简体" w:cs="Times New Roman"/>
          <w:sz w:val="32"/>
          <w:szCs w:val="32"/>
        </w:rPr>
        <w:t>，明确各级各部门食品安全责任，确保各级部门照单履责，形成强大的食品安全工作合力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市委每年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食品安全履职巡察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市人大常委会多次开展《食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法》贯彻情况检查。</w:t>
      </w:r>
    </w:p>
    <w:p>
      <w:pPr>
        <w:spacing w:line="600" w:lineRule="exact"/>
        <w:ind w:firstLine="482" w:firstLineChars="15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napToGrid/>
          <w:sz w:val="32"/>
          <w:szCs w:val="32"/>
        </w:rPr>
        <w:t>2）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高位推动示范创建工作</w:t>
      </w:r>
      <w:r>
        <w:rPr>
          <w:rFonts w:hint="eastAsia" w:ascii="CESI仿宋-GB13000" w:eastAsia="CESI仿宋-GB13000" w:cs="方正仿宋简体"/>
          <w:b/>
          <w:bCs/>
          <w:color w:val="auto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市委、市政府定期召开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</w:rPr>
        <w:t>专题会议，建立“五级联创”工作体系，将创建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</w:rPr>
        <w:t>纳入各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级党委政府高质量发展体系和经济社会发展体系。制定创建工作方案，成立示范创建指挥部，市委、市政府主要领导任指挥长。将食品安全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工作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经费列入财政预算，逐年加大投入，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近两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年追加创建经费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近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</w:rPr>
        <w:t>00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万元，投入增长率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</w:rPr>
        <w:t>46.38%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</w:t>
      </w:r>
    </w:p>
    <w:p>
      <w:pPr>
        <w:spacing w:line="600" w:lineRule="exact"/>
        <w:ind w:firstLine="482" w:firstLineChars="150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napToGrid/>
          <w:sz w:val="32"/>
          <w:szCs w:val="32"/>
        </w:rPr>
        <w:t>2.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注重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关口前移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，源头治理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成效持续巩固</w:t>
      </w:r>
    </w:p>
    <w:p>
      <w:pPr>
        <w:spacing w:line="600" w:lineRule="exact"/>
        <w:ind w:firstLine="482" w:firstLineChars="15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napToGrid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）强化耕地土壤污染治理。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开展全市范围产地环境净化行动，完成耕地土壤质量类别划分，实施分类管控。落实水肥调控、优化施肥等农艺措施，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推动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退耕还林还草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种植结构调整。积极推广生物农药、绿色防控技术，开展农药减量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化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行动，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严格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查处违规使用禁限用农药行为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连续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年实现农药使用量零增长。</w:t>
      </w:r>
    </w:p>
    <w:p>
      <w:pPr>
        <w:spacing w:line="600" w:lineRule="exact"/>
        <w:ind w:firstLine="482" w:firstLineChars="15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napToGrid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）强化畜禽市场治理。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严格生猪定点屠宰管理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构建覆盖饲养、屠宰、经营、运输等环节监管机制，实现病死畜禽及时处理、过程清洁环保、产物合理利用。开展屠宰环节大检查和屠宰企业清查登记、提档升级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压减淘汰落后产能。</w:t>
      </w:r>
    </w:p>
    <w:p>
      <w:pPr>
        <w:spacing w:line="600" w:lineRule="exact"/>
        <w:ind w:firstLine="482" w:firstLineChars="150"/>
        <w:rPr>
          <w:rFonts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napToGrid/>
          <w:sz w:val="32"/>
          <w:szCs w:val="32"/>
        </w:rPr>
        <w:t>3）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加强粮食质量监管。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建立完善市、县两级超标粮食处置长效机制，在全省率先实现区县粮食质检能力全覆盖。扎实开展粮食收储备案管理，实施“放心粮油”示范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创建，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加强定点收储、定向处置，禁止不合格粮食进入市场。开展粮油安全隐患监测，每年库存粮食监测覆盖比例超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  <w:lang w:val="en-US" w:eastAsia="zh-CN"/>
        </w:rPr>
        <w:t>25%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，问题处置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率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达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  <w:lang w:val="en-US" w:eastAsia="zh-CN"/>
        </w:rPr>
        <w:t>100%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napToGrid/>
          <w:sz w:val="32"/>
          <w:szCs w:val="32"/>
        </w:rPr>
        <w:t>3.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着力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过程管控，全链条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综合施治不断强化</w:t>
      </w:r>
    </w:p>
    <w:p>
      <w:pPr>
        <w:spacing w:line="600" w:lineRule="exact"/>
        <w:ind w:firstLine="643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napToGrid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snapToGrid/>
          <w:sz w:val="32"/>
          <w:szCs w:val="32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snapToGrid/>
          <w:sz w:val="32"/>
          <w:szCs w:val="32"/>
          <w:lang w:eastAsia="zh-CN"/>
        </w:rPr>
        <w:t>规范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组织食品抽检。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突出重点领域、重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点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品种，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  <w:lang w:val="en-US" w:eastAsia="zh-CN"/>
        </w:rPr>
        <w:t>均衡推进食品抽检。食品安全抽检覆盖率达100%，农产品检测量居全省前列。2020年、2021年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食品安全抽检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量分别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  <w:lang w:val="en-US" w:eastAsia="zh-CN"/>
        </w:rPr>
        <w:t>达4.43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批次/千人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  <w:lang w:val="en-US" w:eastAsia="zh-CN"/>
        </w:rPr>
        <w:t>、4.44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批次/千人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  <w:lang w:val="en-US" w:eastAsia="zh-CN"/>
        </w:rPr>
        <w:t>不合格食品核查处置完成率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达</w:t>
      </w:r>
      <w:r>
        <w:rPr>
          <w:rFonts w:hint="eastAsia" w:ascii="Times New Roman" w:hAnsi="Times New Roman" w:eastAsia="方正仿宋简体" w:cs="Times New Roman"/>
          <w:snapToGrid/>
          <w:sz w:val="32"/>
          <w:szCs w:val="32"/>
          <w:lang w:val="en-US" w:eastAsia="zh-CN"/>
        </w:rPr>
        <w:t>100%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。依法依规向社会公开监督抽检结果及不合格食品处置情况，</w:t>
      </w:r>
      <w:r>
        <w:rPr>
          <w:rFonts w:hint="eastAsia" w:ascii="Times New Roman" w:hAnsi="Times New Roman" w:eastAsia="方正仿宋简体" w:cs="Times New Roman"/>
          <w:snapToGrid/>
          <w:color w:val="auto"/>
          <w:sz w:val="32"/>
          <w:szCs w:val="32"/>
          <w:lang w:val="en-US" w:eastAsia="zh-CN"/>
        </w:rPr>
        <w:t>2020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年以来公示食品安全抽检信息</w:t>
      </w:r>
      <w:r>
        <w:rPr>
          <w:rFonts w:hint="eastAsia" w:ascii="Times New Roman" w:hAnsi="Times New Roman" w:eastAsia="方正仿宋简体" w:cs="Times New Roman"/>
          <w:snapToGrid/>
          <w:color w:val="auto"/>
          <w:sz w:val="32"/>
          <w:szCs w:val="32"/>
          <w:lang w:val="en-US" w:eastAsia="zh-CN"/>
        </w:rPr>
        <w:t>92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期，公开监督抽检结果核查处置</w:t>
      </w:r>
      <w:r>
        <w:rPr>
          <w:rFonts w:hint="eastAsia" w:ascii="Times New Roman" w:hAnsi="Times New Roman" w:eastAsia="方正仿宋简体" w:cs="Times New Roman"/>
          <w:snapToGrid/>
          <w:color w:val="auto"/>
          <w:sz w:val="32"/>
          <w:szCs w:val="32"/>
          <w:lang w:val="en-US" w:eastAsia="zh-CN"/>
        </w:rPr>
        <w:t>48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期，涉及</w:t>
      </w:r>
      <w:r>
        <w:rPr>
          <w:rFonts w:hint="eastAsia" w:ascii="Times New Roman" w:hAnsi="Times New Roman" w:eastAsia="方正仿宋简体" w:cs="Times New Roman"/>
          <w:snapToGrid/>
          <w:color w:val="auto"/>
          <w:sz w:val="32"/>
          <w:szCs w:val="32"/>
          <w:lang w:val="en-US" w:eastAsia="zh-CN"/>
        </w:rPr>
        <w:t>30266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批次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</w:p>
    <w:p>
      <w:pPr>
        <w:kinsoku/>
        <w:autoSpaceDE/>
        <w:autoSpaceDN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snapToGrid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napToGrid/>
          <w:sz w:val="32"/>
          <w:szCs w:val="32"/>
          <w:lang w:val="en-US" w:eastAsia="zh-CN"/>
        </w:rPr>
        <w:t>2）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严格生产经营过程监管。</w:t>
      </w:r>
      <w:r>
        <w:rPr>
          <w:rFonts w:hint="eastAsia" w:ascii="Times New Roman" w:hAnsi="Times New Roman" w:eastAsia="方正仿宋简体" w:cs="Times New Roman"/>
          <w:snapToGrid/>
          <w:color w:val="000000"/>
          <w:sz w:val="32"/>
          <w:szCs w:val="32"/>
          <w:lang w:val="en-US" w:eastAsia="zh-CN" w:bidi="ar-SA"/>
        </w:rPr>
        <w:t>实施校园食品安全守护行动，持续开展春、秋两季多部门联合专项检查；建立食品生产可追溯监管，全市在产494家食品生产企业均纳入监管平台。强化先进管理体系认证，全市101家企业获得HACCP认证。实施食品生产经营主体风险分级动态管理，完成全市3.78万家食品经营单位、614家食品生产企业风险等级评定，建成以风险分级管理为基础、“双随机、一公开”监管为基本手段、飞行检查为重点、体系检查为补充的全覆盖监督检查机制。</w:t>
      </w:r>
    </w:p>
    <w:p>
      <w:pPr>
        <w:widowControl w:val="0"/>
        <w:kinsoku/>
        <w:autoSpaceDE/>
        <w:autoSpaceDN/>
        <w:adjustRightInd/>
        <w:snapToGrid/>
        <w:spacing w:line="598" w:lineRule="exact"/>
        <w:ind w:firstLine="630" w:firstLineChars="196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napToGrid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napToGrid/>
          <w:color w:val="000000"/>
          <w:sz w:val="32"/>
          <w:szCs w:val="32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snapToGrid/>
          <w:kern w:val="0"/>
          <w:sz w:val="32"/>
          <w:szCs w:val="32"/>
          <w:lang w:val="en-US"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snapToGrid/>
          <w:kern w:val="0"/>
          <w:sz w:val="32"/>
          <w:szCs w:val="32"/>
        </w:rPr>
        <w:t>强化冷链物流疫情防控</w:t>
      </w:r>
      <w:r>
        <w:rPr>
          <w:rFonts w:hint="eastAsia" w:ascii="方正仿宋简体" w:hAnsi="方正仿宋简体" w:eastAsia="方正仿宋简体" w:cs="方正仿宋简体"/>
          <w:b/>
          <w:bCs/>
          <w:snapToGrid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napToGrid/>
          <w:kern w:val="0"/>
          <w:sz w:val="32"/>
          <w:szCs w:val="32"/>
        </w:rPr>
        <w:t>建立市级部门冷链食品防控联席会议制度，开展冷链食品疫情防控联合检查。全市1980家冷链食品生产经营者在“川冷链”完成备案登记，录入往来供销单位706家，确保冷链食品“来源可查、去向可追”。全市建立7个集中监管仓，1303家冻库全部按要求挂牌公示“一库三长”，强力推进集中监管仓和冷库库长责任制落地落实。</w:t>
      </w:r>
    </w:p>
    <w:p>
      <w:pPr>
        <w:pStyle w:val="2"/>
        <w:spacing w:line="600" w:lineRule="exact"/>
        <w:ind w:left="0" w:leftChars="0" w:firstLine="643" w:firstLineChars="200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napToGrid/>
          <w:color w:val="000000"/>
          <w:sz w:val="32"/>
          <w:szCs w:val="32"/>
          <w:lang w:val="en-US" w:eastAsia="zh-CN" w:bidi="ar-SA"/>
        </w:rPr>
        <w:t>4.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加大执法力度，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食品安全违法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犯罪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有效遏制</w:t>
      </w:r>
    </w:p>
    <w:p>
      <w:pPr>
        <w:pStyle w:val="2"/>
        <w:spacing w:line="600" w:lineRule="exact"/>
        <w:ind w:left="0" w:leftChars="0" w:firstLine="643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napToGrid/>
          <w:color w:val="000000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加强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案件查办</w:t>
      </w:r>
      <w:r>
        <w:rPr>
          <w:rFonts w:hint="eastAsia" w:ascii="CESI仿宋-GB13000" w:eastAsia="CESI仿宋-GB13000" w:cs="仿宋"/>
          <w:color w:val="auto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依法严厉打击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各类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食品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安全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违法行为，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整治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网络餐饮、农村假冒伪劣食品、农兽药残留超标、保健食品违法等突出问题。全力查办民生领域突出案件，</w:t>
      </w:r>
      <w:r>
        <w:rPr>
          <w:rFonts w:hint="eastAsia" w:ascii="Times New Roman" w:hAnsi="Times New Roman" w:eastAsia="方正仿宋简体" w:cs="Times New Roman"/>
          <w:snapToGrid/>
          <w:color w:val="000000"/>
          <w:kern w:val="0"/>
          <w:sz w:val="32"/>
          <w:szCs w:val="32"/>
          <w:lang w:val="en-US" w:eastAsia="zh-CN" w:bidi="ar-SA"/>
        </w:rPr>
        <w:t>2020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年以来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全市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查处食品安全违法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案件</w:t>
      </w:r>
      <w:r>
        <w:rPr>
          <w:rFonts w:hint="eastAsia" w:ascii="Times New Roman" w:hAnsi="Times New Roman" w:eastAsia="方正仿宋简体" w:cs="Times New Roman"/>
          <w:snapToGrid/>
          <w:color w:val="000000"/>
          <w:kern w:val="0"/>
          <w:sz w:val="32"/>
          <w:szCs w:val="32"/>
          <w:lang w:val="en-US" w:eastAsia="zh-CN" w:bidi="ar-SA"/>
        </w:rPr>
        <w:t>3993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余件，立案率和办结率均达</w:t>
      </w:r>
      <w:r>
        <w:rPr>
          <w:rFonts w:hint="eastAsia" w:ascii="Times New Roman" w:hAnsi="Times New Roman" w:eastAsia="方正仿宋简体" w:cs="Times New Roman"/>
          <w:snapToGrid/>
          <w:color w:val="000000"/>
          <w:kern w:val="0"/>
          <w:sz w:val="32"/>
          <w:szCs w:val="32"/>
          <w:lang w:val="en-US" w:eastAsia="zh-CN" w:bidi="ar-SA"/>
        </w:rPr>
        <w:t>100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%；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公安机关侦办食品安全类刑事犯罪案件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kern w:val="0"/>
          <w:sz w:val="32"/>
          <w:szCs w:val="32"/>
          <w:lang w:val="en" w:eastAsia="zh-CN" w:bidi="ar-SA"/>
        </w:rPr>
        <w:t>129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  <w:t>件，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移送起诉案件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auto"/>
          <w:kern w:val="0"/>
          <w:sz w:val="32"/>
          <w:szCs w:val="32"/>
          <w:lang w:val="en-US" w:eastAsia="zh-CN" w:bidi="ar-SA"/>
        </w:rPr>
        <w:t>88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件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  <w:t>，移送审查起诉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auto"/>
          <w:kern w:val="0"/>
          <w:sz w:val="32"/>
          <w:szCs w:val="32"/>
          <w:lang w:val="en-US" w:eastAsia="zh-CN" w:bidi="ar-SA"/>
        </w:rPr>
        <w:t>179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  <w:t>人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加强违法案件曝光力度，提高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社会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震慑效果。</w:t>
      </w:r>
    </w:p>
    <w:p>
      <w:pPr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napToGrid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健全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执法机制。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建立重大案件挂牌督办制度，将重大案件查办与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坚持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党政同责紧密联系，搭建跨部门执法共享信息平台。推动行政执法与刑事司法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有效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衔接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“公检法司”联合震慑作用得到充分发挥。实施部门联合惩戒，严格落实“处罚到人”要求，实行从业禁止、终身禁业，对再犯从严从重处罚。</w:t>
      </w:r>
    </w:p>
    <w:p>
      <w:pPr>
        <w:spacing w:line="60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napToGrid/>
          <w:sz w:val="32"/>
          <w:szCs w:val="32"/>
        </w:rPr>
        <w:t>5.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严格风险防控，食品安全隐患整治成效明显</w:t>
      </w:r>
    </w:p>
    <w:p>
      <w:pPr>
        <w:kinsoku/>
        <w:autoSpaceDE/>
        <w:autoSpaceDN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napToGrid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）健全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食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品安全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风险防控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区域协作机制。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推进川南食品安全风险监测区域合作，建立健全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项区域协作机制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建立食品安全风险监测会商机制，定期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进行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风险监测会商，通报风险监测情况，研判解决主要问题，提升食品安全风险防控区域协作能力。</w:t>
      </w:r>
    </w:p>
    <w:p>
      <w:pPr>
        <w:pStyle w:val="15"/>
        <w:widowControl w:val="0"/>
        <w:kinsoku/>
        <w:autoSpaceDE/>
        <w:autoSpaceDN/>
        <w:adjustRightInd/>
        <w:snapToGrid/>
        <w:spacing w:line="540" w:lineRule="exact"/>
        <w:ind w:left="0" w:leftChars="0" w:firstLine="643" w:firstLineChars="200"/>
        <w:jc w:val="both"/>
        <w:rPr>
          <w:rFonts w:ascii="Times New Roman" w:hAnsi="Times New Roman" w:eastAsia="方正仿宋简体" w:cs="Times New Roman"/>
          <w:snapToGrid/>
          <w:color w:val="auto"/>
          <w:kern w:val="0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napToGrid/>
          <w:color w:val="000000"/>
          <w:sz w:val="32"/>
          <w:szCs w:val="32"/>
          <w:lang w:val="en-US" w:eastAsia="zh-CN" w:bidi="ar-SA"/>
        </w:rPr>
        <w:t>2）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提升食品安全应急处置能力。</w:t>
      </w:r>
      <w:r>
        <w:rPr>
          <w:rFonts w:ascii="Times New Roman" w:hAnsi="Times New Roman" w:eastAsia="方正仿宋简体" w:cs="Times New Roman"/>
          <w:snapToGrid/>
          <w:color w:val="auto"/>
          <w:kern w:val="0"/>
        </w:rPr>
        <w:t>2018—2020年，市食安办2次组织开展泸州市食品安全突发事件（Ⅲ级）应急处置实战演练，</w:t>
      </w:r>
      <w:r>
        <w:rPr>
          <w:rFonts w:hint="eastAsia" w:ascii="Times New Roman" w:hAnsi="Times New Roman" w:eastAsia="方正仿宋简体" w:cs="Times New Roman"/>
          <w:snapToGrid/>
          <w:color w:val="auto"/>
          <w:kern w:val="0"/>
        </w:rPr>
        <w:t>2021年承办了由国务院食品安全办、四川省食安委主办的重大食品安全事故应急演练现场点位展示任务</w:t>
      </w:r>
      <w:r>
        <w:rPr>
          <w:rFonts w:hint="eastAsia" w:ascii="Times New Roman" w:hAnsi="Times New Roman" w:eastAsia="方正仿宋简体" w:cs="Times New Roman"/>
          <w:snapToGrid/>
          <w:color w:val="auto"/>
          <w:kern w:val="0"/>
          <w:lang w:eastAsia="zh-CN"/>
        </w:rPr>
        <w:t>。</w:t>
      </w:r>
      <w:r>
        <w:rPr>
          <w:rFonts w:ascii="Times New Roman" w:hAnsi="Times New Roman" w:eastAsia="方正仿宋简体" w:cs="Times New Roman"/>
          <w:snapToGrid/>
          <w:color w:val="auto"/>
          <w:kern w:val="0"/>
        </w:rPr>
        <w:t>按照“一镇（街）一企，一年一次”原则，采取桌面演练、实战演练等多种形式开展食品安全“百企演练”活动。</w:t>
      </w:r>
    </w:p>
    <w:p>
      <w:pPr>
        <w:pStyle w:val="15"/>
        <w:widowControl w:val="0"/>
        <w:kinsoku/>
        <w:autoSpaceDE/>
        <w:autoSpaceDN/>
        <w:adjustRightInd/>
        <w:snapToGrid/>
        <w:spacing w:line="540" w:lineRule="exact"/>
        <w:ind w:left="0" w:leftChars="0" w:firstLine="643" w:firstLineChars="200"/>
        <w:jc w:val="both"/>
        <w:rPr>
          <w:rFonts w:ascii="Times New Roman" w:hAnsi="Times New Roman" w:eastAsia="方正楷体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snapToGrid/>
          <w:color w:val="000000"/>
          <w:sz w:val="32"/>
          <w:szCs w:val="32"/>
          <w:lang w:val="en-US" w:eastAsia="zh-CN" w:bidi="ar-SA"/>
        </w:rPr>
        <w:t>6.</w:t>
      </w:r>
      <w:r>
        <w:rPr>
          <w:rFonts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社会共治</w:t>
      </w:r>
      <w:r>
        <w:rPr>
          <w:rFonts w:hint="eastAsia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共享</w:t>
      </w:r>
      <w:r>
        <w:rPr>
          <w:rFonts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，群众获得感持续提高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710" w:firstLineChars="221"/>
        <w:jc w:val="both"/>
        <w:textAlignment w:val="auto"/>
        <w:rPr>
          <w:rFonts w:ascii="Times New Roman" w:hAnsi="Times New Roman" w:eastAsia="方正仿宋简体" w:cs="Times New Roman"/>
          <w:snapToGrid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napToGrid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napToGrid/>
          <w:color w:val="000000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snapToGrid/>
          <w:kern w:val="0"/>
          <w:sz w:val="32"/>
          <w:szCs w:val="32"/>
        </w:rPr>
        <w:t>）主体责任全面落实</w:t>
      </w:r>
      <w:r>
        <w:rPr>
          <w:rFonts w:ascii="Times New Roman" w:hAnsi="Times New Roman" w:eastAsia="方正仿宋简体" w:cs="Times New Roman"/>
          <w:b/>
          <w:bCs/>
          <w:snapToGrid/>
          <w:kern w:val="0"/>
          <w:sz w:val="32"/>
          <w:szCs w:val="32"/>
        </w:rPr>
        <w:t>。</w:t>
      </w:r>
      <w:r>
        <w:rPr>
          <w:rFonts w:ascii="Times New Roman" w:hAnsi="Times New Roman" w:eastAsia="方正仿宋简体" w:cs="Times New Roman"/>
          <w:snapToGrid/>
          <w:kern w:val="0"/>
          <w:sz w:val="32"/>
          <w:szCs w:val="32"/>
        </w:rPr>
        <w:t>组织开展食品生产经营企业主体履责报告会27期，1000余名企业负责人公开接受案例警示教育和人大代表、政协委员、消费者、新闻媒体以及行业专家质询</w:t>
      </w:r>
      <w:r>
        <w:rPr>
          <w:rFonts w:hint="eastAsia" w:ascii="Times New Roman" w:hAnsi="Times New Roman" w:eastAsia="方正仿宋简体" w:cs="Times New Roman"/>
          <w:snapToGrid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snapToGrid/>
          <w:kern w:val="0"/>
          <w:sz w:val="32"/>
          <w:szCs w:val="32"/>
        </w:rPr>
        <w:t>倒逼企业增强依法从业意识。推进</w:t>
      </w:r>
      <w:r>
        <w:rPr>
          <w:rFonts w:hint="eastAsia" w:ascii="Times New Roman" w:hAnsi="Times New Roman" w:eastAsia="方正仿宋简体" w:cs="Times New Roman"/>
          <w:snapToGrid/>
          <w:kern w:val="0"/>
          <w:sz w:val="32"/>
          <w:szCs w:val="32"/>
          <w:lang w:eastAsia="zh-CN"/>
        </w:rPr>
        <w:t>学生</w:t>
      </w:r>
      <w:r>
        <w:rPr>
          <w:rFonts w:ascii="Times New Roman" w:hAnsi="Times New Roman" w:eastAsia="方正仿宋简体" w:cs="Times New Roman"/>
          <w:snapToGrid/>
          <w:kern w:val="0"/>
          <w:sz w:val="32"/>
          <w:szCs w:val="32"/>
        </w:rPr>
        <w:t>食堂标准化建设，全市92个学校食堂被评为“市级示范性学生食堂”；强化从业人员培训，全市各类学校1936名食品安全管理人员通过了网上集中考核。</w:t>
      </w:r>
    </w:p>
    <w:p>
      <w:pPr>
        <w:widowControl w:val="0"/>
        <w:spacing w:line="540" w:lineRule="exact"/>
        <w:ind w:firstLine="680"/>
        <w:jc w:val="both"/>
        <w:textAlignment w:val="baseline"/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napToGrid/>
          <w:color w:val="000000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sz w:val="32"/>
          <w:szCs w:val="32"/>
          <w:lang w:val="en-US" w:eastAsia="zh-CN" w:bidi="ar-SA"/>
        </w:rPr>
        <w:t>）食安责任保险推进有序。</w:t>
      </w: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以农村群宴、校园食堂为重点，推动食品安全责任保险全覆盖。在叙永县开展试点，实现了食品生产企业、学校食堂、农村自办宴席投保率三个100%。2021年全市累计保费171万元，同比增长71.8%，为全市3993个经营主体提供风险保障72.1亿元，保额同比增长149.5%。</w:t>
      </w:r>
    </w:p>
    <w:p>
      <w:pPr>
        <w:widowControl w:val="0"/>
        <w:spacing w:line="540" w:lineRule="exact"/>
        <w:ind w:firstLine="680"/>
        <w:jc w:val="both"/>
        <w:textAlignment w:val="baseline"/>
        <w:rPr>
          <w:rFonts w:hint="eastAsi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napToGrid/>
          <w:color w:val="000000"/>
          <w:sz w:val="32"/>
          <w:szCs w:val="32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sz w:val="32"/>
          <w:szCs w:val="32"/>
          <w:lang w:val="en-US" w:eastAsia="zh-CN" w:bidi="ar-SA"/>
        </w:rPr>
        <w:t>）社会多元力量参与共治。</w:t>
      </w: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成立粮食行业、烹饪餐饮行业等行业协会，发挥行业自律作用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市餐饮行业协会组织专家团队规范打造泸菜品牌，制定泸菜标准52个，评选10家泸菜名店，获评“中餐特色美食地标城市”。组建泸州市食品安全专家委员会，出具专家意见书4份，为食品安全案件处罚提供决策参考。加强12315、12345政务热线投诉举报受理办理，2019年至今，累计受理涉及食品类投诉举报2743件，办结率达100%。</w:t>
      </w:r>
    </w:p>
    <w:p>
      <w:pPr>
        <w:pStyle w:val="2"/>
        <w:spacing w:line="600" w:lineRule="exact"/>
        <w:ind w:left="0" w:leftChars="0" w:firstLine="643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napToGrid/>
          <w:color w:val="000000"/>
          <w:sz w:val="32"/>
          <w:szCs w:val="32"/>
          <w:lang w:val="en-US" w:eastAsia="zh-CN" w:bidi="ar-SA"/>
        </w:rPr>
        <w:t>7.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强化监管支撑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，食品安全综合保障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更加有力</w:t>
      </w:r>
    </w:p>
    <w:p>
      <w:pPr>
        <w:kinsoku/>
        <w:autoSpaceDE/>
        <w:autoSpaceDN/>
        <w:spacing w:line="600" w:lineRule="exact"/>
        <w:ind w:right="-105"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napToGrid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增强科研技术带动力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市委、市政府将食品安全纳入科技计划，近年来，批准科技项目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sz w:val="32"/>
          <w:szCs w:val="32"/>
        </w:rPr>
        <w:t>28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个，取得科研成果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项，获省级科技进步奖二等奖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项、三等奖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sz w:val="32"/>
          <w:szCs w:val="32"/>
        </w:rPr>
        <w:t>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项。市政府和四川大学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达成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战略合作，支持食品安全关键技术研发。建成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各级各类食品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质量检验中心、工程技术研究中心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技术创新中心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重点实验室等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余个。</w:t>
      </w:r>
    </w:p>
    <w:p>
      <w:pPr>
        <w:kinsoku/>
        <w:autoSpaceDE/>
        <w:autoSpaceDN/>
        <w:spacing w:line="600" w:lineRule="exact"/>
        <w:ind w:right="-105" w:firstLine="643" w:firstLineChars="200"/>
        <w:textAlignment w:val="auto"/>
        <w:rPr>
          <w:rFonts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napToGrid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强化信息技术支撑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运用“互联网+”、物联网、大数据、人工智能等技术，建立食品安全动态信息监管系统，推动传统监管向智慧监管转变。建立进口冷链食品追溯管理平台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农产品质量追溯平台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“食政通”信息追溯系统。</w:t>
      </w:r>
    </w:p>
    <w:p>
      <w:pPr>
        <w:pStyle w:val="10"/>
        <w:widowControl/>
        <w:kinsoku/>
        <w:autoSpaceDE/>
        <w:autoSpaceDN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snapToGrid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napToGrid/>
          <w:color w:val="000000"/>
          <w:sz w:val="32"/>
          <w:szCs w:val="32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加大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财政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投入保障力度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。</w:t>
      </w:r>
      <w:r>
        <w:rPr>
          <w:rFonts w:ascii="Times New Roman" w:hAnsi="Times New Roman" w:eastAsia="方正仿宋简体" w:cs="Times New Roman"/>
          <w:snapToGrid/>
          <w:kern w:val="0"/>
          <w:sz w:val="32"/>
          <w:szCs w:val="32"/>
        </w:rPr>
        <w:t>食品安全工作经费列入本级预算，</w:t>
      </w:r>
      <w:r>
        <w:rPr>
          <w:rFonts w:ascii="Times New Roman" w:hAnsi="Times New Roman" w:eastAsia="方正仿宋简体" w:cs="Times New Roman"/>
          <w:snapToGrid/>
          <w:color w:val="auto"/>
          <w:kern w:val="0"/>
          <w:sz w:val="32"/>
          <w:szCs w:val="32"/>
        </w:rPr>
        <w:t>2017</w:t>
      </w:r>
      <w:r>
        <w:rPr>
          <w:rFonts w:hint="eastAsia" w:ascii="Times New Roman" w:hAnsi="Times New Roman" w:eastAsia="方正仿宋简体" w:cs="Times New Roman"/>
          <w:snapToGrid/>
          <w:color w:val="auto"/>
          <w:kern w:val="0"/>
          <w:sz w:val="32"/>
          <w:szCs w:val="32"/>
          <w:lang w:eastAsia="zh-CN"/>
        </w:rPr>
        <w:t>－</w:t>
      </w:r>
      <w:r>
        <w:rPr>
          <w:rFonts w:ascii="Times New Roman" w:hAnsi="Times New Roman" w:eastAsia="方正仿宋简体" w:cs="Times New Roman"/>
          <w:snapToGrid/>
          <w:color w:val="auto"/>
          <w:kern w:val="0"/>
          <w:sz w:val="32"/>
          <w:szCs w:val="32"/>
        </w:rPr>
        <w:t>20</w:t>
      </w:r>
      <w:r>
        <w:rPr>
          <w:rFonts w:hint="eastAsia" w:ascii="Times New Roman" w:hAnsi="Times New Roman" w:eastAsia="方正仿宋简体" w:cs="Times New Roman"/>
          <w:snapToGrid/>
          <w:color w:val="auto"/>
          <w:kern w:val="0"/>
          <w:sz w:val="32"/>
          <w:szCs w:val="32"/>
        </w:rPr>
        <w:t>21</w:t>
      </w:r>
      <w:r>
        <w:rPr>
          <w:rFonts w:hint="eastAsia" w:ascii="Times New Roman" w:hAnsi="Times New Roman" w:eastAsia="方正仿宋简体" w:cs="Times New Roman"/>
          <w:snapToGrid/>
          <w:color w:val="auto"/>
          <w:kern w:val="0"/>
          <w:sz w:val="32"/>
          <w:szCs w:val="32"/>
          <w:lang w:eastAsia="zh-CN"/>
        </w:rPr>
        <w:t>年</w:t>
      </w:r>
      <w:r>
        <w:rPr>
          <w:rFonts w:ascii="Times New Roman" w:hAnsi="Times New Roman" w:eastAsia="方正仿宋简体" w:cs="Times New Roman"/>
          <w:snapToGrid/>
          <w:color w:val="auto"/>
          <w:kern w:val="0"/>
          <w:sz w:val="32"/>
          <w:szCs w:val="32"/>
        </w:rPr>
        <w:t>投入食品安全经费合计约7.01亿元。配备食品安全协管员1567名，每人每月按800元标准</w:t>
      </w:r>
      <w:r>
        <w:rPr>
          <w:rFonts w:ascii="Times New Roman" w:hAnsi="Times New Roman" w:eastAsia="方正仿宋简体" w:cs="Times New Roman"/>
          <w:snapToGrid/>
          <w:kern w:val="0"/>
          <w:sz w:val="32"/>
          <w:szCs w:val="32"/>
        </w:rPr>
        <w:t>补贴，累计发放补贴4500余万元。投入近3000万元，建成泸州市食品安全检（监）测能力建设项目。投资1700余万元，建立食品安全智慧监管平台。投资2.46亿元</w:t>
      </w:r>
      <w:r>
        <w:rPr>
          <w:rFonts w:hint="eastAsia" w:ascii="Times New Roman" w:hAnsi="Times New Roman" w:eastAsia="方正仿宋简体" w:cs="Times New Roman"/>
          <w:snapToGrid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snapToGrid/>
          <w:kern w:val="0"/>
          <w:sz w:val="32"/>
          <w:szCs w:val="32"/>
        </w:rPr>
        <w:t>建设城市有机废物协同处理项目，解决餐厨垃圾收运处置。</w:t>
      </w:r>
    </w:p>
    <w:p>
      <w:pPr>
        <w:pStyle w:val="2"/>
        <w:spacing w:line="600" w:lineRule="exact"/>
        <w:ind w:left="0" w:leftChars="0" w:firstLine="643" w:firstLineChars="200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napToGrid/>
          <w:color w:val="000000"/>
          <w:sz w:val="32"/>
          <w:szCs w:val="32"/>
          <w:lang w:val="en-US" w:eastAsia="zh-CN" w:bidi="ar-SA"/>
        </w:rPr>
        <w:t>8.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大力推动工作创新，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示范引领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作用全面彰显</w:t>
      </w:r>
    </w:p>
    <w:p>
      <w:pPr>
        <w:pStyle w:val="15"/>
        <w:numPr>
          <w:ilvl w:val="0"/>
          <w:numId w:val="0"/>
        </w:numPr>
        <w:spacing w:line="540" w:lineRule="exact"/>
        <w:ind w:firstLine="643" w:firstLineChars="200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napToGrid/>
          <w:color w:val="000000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）探索监管体制机制取得新突破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highlight w:val="none"/>
          <w:lang w:val="en-US" w:eastAsia="zh-CN"/>
        </w:rPr>
        <w:t>创新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highlight w:val="none"/>
        </w:rPr>
        <w:t>食品生产经营企业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highlight w:val="none"/>
          <w:lang w:val="en-US" w:eastAsia="zh-CN"/>
        </w:rPr>
        <w:t>履行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highlight w:val="none"/>
        </w:rPr>
        <w:t>主体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highlight w:val="none"/>
          <w:lang w:val="en-US" w:eastAsia="zh-CN"/>
        </w:rPr>
        <w:t>责任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highlight w:val="none"/>
        </w:rPr>
        <w:t>报告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highlight w:val="none"/>
          <w:lang w:val="en-US" w:eastAsia="zh-CN"/>
        </w:rPr>
        <w:t>制度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highlight w:val="none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highlight w:val="none"/>
        </w:rPr>
        <w:t>连续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000000"/>
          <w:sz w:val="32"/>
          <w:szCs w:val="32"/>
          <w:highlight w:val="none"/>
          <w:lang w:val="en-US" w:eastAsia="zh-CN" w:bidi="ar-SA"/>
        </w:rPr>
        <w:t>6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highlight w:val="none"/>
        </w:rPr>
        <w:t>年组织履责报告会，邀请人大代表、政协委员、消费者、新闻媒体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highlight w:val="none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highlight w:val="none"/>
        </w:rPr>
        <w:t>行业专家等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highlight w:val="none"/>
          <w:lang w:val="en-US" w:eastAsia="zh-CN"/>
        </w:rPr>
        <w:t>监督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highlight w:val="none"/>
        </w:rPr>
        <w:t>质询。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val="en-US" w:eastAsia="zh-CN"/>
        </w:rPr>
        <w:t>二是在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全省率先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val="en-US" w:eastAsia="zh-CN"/>
        </w:rPr>
        <w:t>实施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“仅销售预包装食品许可改备案”改革，纳入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多证合一”管理，发出全省第一张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val="en-US" w:eastAsia="zh-CN"/>
        </w:rPr>
        <w:t>备案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营业执照。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val="en-US" w:eastAsia="zh-CN"/>
        </w:rPr>
        <w:t>三是创新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“产销互查”机制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对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val="en-US" w:eastAsia="zh-CN"/>
        </w:rPr>
        <w:t>大宗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供货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val="en-US" w:eastAsia="zh-CN"/>
        </w:rPr>
        <w:t>商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通过突击飞行检查、评比打分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定期回访等方式评判食品安全保障能力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对执行较好的企业给予优惠待遇。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val="en-US" w:eastAsia="zh-CN"/>
        </w:rPr>
        <w:t>四是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加强基层监管队伍规范化建设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出台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val="en-US" w:eastAsia="zh-CN"/>
        </w:rPr>
        <w:t>配套制度规范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，明确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val="en-US" w:eastAsia="zh-CN"/>
        </w:rPr>
        <w:t>工作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职责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val="en-US" w:eastAsia="zh-CN"/>
        </w:rPr>
        <w:t>细化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班子建设、干部素质、日常监管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eastAsia="zh-CN"/>
        </w:rPr>
        <w:t>等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000000"/>
          <w:sz w:val="32"/>
          <w:szCs w:val="32"/>
          <w:lang w:val="en-US" w:eastAsia="zh-CN" w:bidi="ar-SA"/>
        </w:rPr>
        <w:t>6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个方面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000000"/>
          <w:sz w:val="32"/>
          <w:szCs w:val="32"/>
          <w:lang w:val="en-US" w:eastAsia="zh-CN" w:bidi="ar-SA"/>
        </w:rPr>
        <w:t>31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项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val="en-US" w:eastAsia="zh-CN"/>
        </w:rPr>
        <w:t>评价指标，走在全省前列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。</w:t>
      </w:r>
    </w:p>
    <w:p>
      <w:pPr>
        <w:pStyle w:val="15"/>
        <w:numPr>
          <w:ilvl w:val="0"/>
          <w:numId w:val="0"/>
        </w:numPr>
        <w:spacing w:line="540" w:lineRule="exact"/>
        <w:ind w:firstLine="643" w:firstLineChars="200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napToGrid/>
          <w:color w:val="000000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）创新</w:t>
      </w:r>
      <w:r>
        <w:rPr>
          <w:rStyle w:val="13"/>
          <w:rFonts w:hint="eastAsia" w:ascii="方正仿宋简体" w:hAnsi="方正仿宋简体" w:eastAsia="方正仿宋简体" w:cs="方正仿宋简体"/>
          <w:b/>
          <w:bCs/>
          <w:color w:val="auto"/>
        </w:rPr>
        <w:t>信用监管</w:t>
      </w:r>
      <w:r>
        <w:rPr>
          <w:rStyle w:val="13"/>
          <w:rFonts w:hint="eastAsia" w:ascii="方正仿宋简体" w:hAnsi="方正仿宋简体" w:eastAsia="方正仿宋简体" w:cs="方正仿宋简体"/>
          <w:b/>
          <w:bCs/>
          <w:color w:val="auto"/>
          <w:lang w:val="en-US" w:eastAsia="zh-CN"/>
        </w:rPr>
        <w:t>取得新成效。</w:t>
      </w:r>
      <w:r>
        <w:rPr>
          <w:rStyle w:val="13"/>
          <w:rFonts w:hint="eastAsia" w:ascii="方正仿宋简体" w:hAnsi="方正仿宋简体" w:eastAsia="方正仿宋简体" w:cs="方正仿宋简体"/>
          <w:b w:val="0"/>
          <w:bCs w:val="0"/>
          <w:color w:val="auto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val="en-US" w:eastAsia="zh-CN"/>
        </w:rPr>
        <w:t>创新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“黑名单”管理制度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细化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000000"/>
          <w:sz w:val="32"/>
          <w:szCs w:val="32"/>
          <w:lang w:val="en-US" w:eastAsia="zh-CN" w:bidi="ar-SA"/>
        </w:rPr>
        <w:t>6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种被列入“黑名单”的情形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val="en-US" w:eastAsia="zh-CN"/>
        </w:rPr>
        <w:t>对相关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企业和负责人记入监管信用档案，列入重点监管对象，增加检查频次，追踪整改。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val="en-US" w:eastAsia="zh-CN"/>
        </w:rPr>
        <w:t>二是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推进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val="en-US" w:eastAsia="zh-CN"/>
        </w:rPr>
        <w:t>失信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联合惩戒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市场监管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法院签署合作备忘录，推进多领域联合信用惩戒。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val="en-US" w:eastAsia="zh-CN"/>
        </w:rPr>
        <w:t>三是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推进“信息化+信用监管”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建成企业信用档案管理系统，细化明确信用分级标准、评定程序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监管举措，督促企业提高食品安全保障能力。</w:t>
      </w:r>
    </w:p>
    <w:p>
      <w:pPr>
        <w:pStyle w:val="15"/>
        <w:spacing w:line="540" w:lineRule="exact"/>
        <w:ind w:firstLine="643" w:firstLineChars="200"/>
        <w:rPr>
          <w:rFonts w:ascii="Times New Roman" w:hAnsi="Times New Roman" w:eastAsia="方正仿宋简体"/>
          <w:b w:val="0"/>
          <w:bCs w:val="0"/>
          <w:color w:val="auto"/>
          <w:kern w:val="0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napToGrid/>
          <w:color w:val="000000"/>
          <w:sz w:val="32"/>
          <w:szCs w:val="32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lang w:val="en-US" w:eastAsia="zh-CN"/>
        </w:rPr>
        <w:t>推动</w:t>
      </w:r>
      <w:r>
        <w:rPr>
          <w:rStyle w:val="13"/>
          <w:rFonts w:hint="eastAsia" w:ascii="方正仿宋简体" w:hAnsi="方正仿宋简体" w:eastAsia="方正仿宋简体" w:cs="方正仿宋简体"/>
          <w:b/>
          <w:bCs/>
          <w:color w:val="auto"/>
        </w:rPr>
        <w:t>智慧</w:t>
      </w:r>
      <w:r>
        <w:rPr>
          <w:rStyle w:val="13"/>
          <w:rFonts w:hint="eastAsia" w:ascii="方正仿宋简体" w:hAnsi="方正仿宋简体" w:eastAsia="方正仿宋简体" w:cs="方正仿宋简体"/>
          <w:b/>
          <w:bCs/>
          <w:color w:val="auto"/>
          <w:lang w:val="en-US" w:eastAsia="zh-CN"/>
        </w:rPr>
        <w:t>监</w:t>
      </w:r>
      <w:r>
        <w:rPr>
          <w:rStyle w:val="13"/>
          <w:rFonts w:hint="eastAsia" w:ascii="方正仿宋简体" w:hAnsi="方正仿宋简体" w:eastAsia="方正仿宋简体" w:cs="方正仿宋简体"/>
          <w:b/>
          <w:bCs/>
          <w:color w:val="auto"/>
        </w:rPr>
        <w:t>管</w:t>
      </w:r>
      <w:r>
        <w:rPr>
          <w:rStyle w:val="13"/>
          <w:rFonts w:hint="eastAsia" w:ascii="方正仿宋简体" w:hAnsi="方正仿宋简体" w:eastAsia="方正仿宋简体" w:cs="方正仿宋简体"/>
          <w:b/>
          <w:bCs/>
          <w:color w:val="auto"/>
          <w:lang w:val="en-US" w:eastAsia="zh-CN"/>
        </w:rPr>
        <w:t>取得新提升。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建立食品安全监测预警中心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研发食品溯源系统、市场主体分析研判系统等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000000"/>
          <w:sz w:val="32"/>
          <w:szCs w:val="32"/>
          <w:lang w:val="en-US" w:eastAsia="zh-CN" w:bidi="ar-SA"/>
        </w:rPr>
        <w:t>33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个子系统，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val="en-US" w:eastAsia="zh-CN"/>
        </w:rPr>
        <w:t>实现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多项业务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val="en-US" w:eastAsia="zh-CN"/>
        </w:rPr>
        <w:t>集成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eastAsia="zh-CN"/>
        </w:rPr>
        <w:t>、</w:t>
      </w:r>
      <w:r>
        <w:rPr>
          <w:rFonts w:ascii="Times New Roman" w:hAnsi="Times New Roman" w:eastAsia="方正仿宋简体"/>
          <w:b w:val="0"/>
          <w:bCs w:val="0"/>
          <w:color w:val="auto"/>
          <w:kern w:val="0"/>
        </w:rPr>
        <w:t>在线监管，构建</w:t>
      </w:r>
      <w:r>
        <w:rPr>
          <w:rFonts w:hint="eastAsia" w:ascii="Times New Roman" w:hAnsi="Times New Roman" w:eastAsia="方正仿宋简体"/>
          <w:b w:val="0"/>
          <w:bCs w:val="0"/>
          <w:color w:val="auto"/>
          <w:kern w:val="0"/>
          <w:lang w:val="en-US" w:eastAsia="zh-CN"/>
        </w:rPr>
        <w:t>立体</w:t>
      </w:r>
      <w:r>
        <w:rPr>
          <w:rFonts w:ascii="Times New Roman" w:hAnsi="Times New Roman" w:eastAsia="方正仿宋简体"/>
          <w:b w:val="0"/>
          <w:bCs w:val="0"/>
          <w:color w:val="auto"/>
          <w:kern w:val="0"/>
        </w:rPr>
        <w:t>智慧监管矩阵。</w:t>
      </w:r>
      <w:r>
        <w:rPr>
          <w:rFonts w:hint="eastAsia" w:ascii="Times New Roman" w:hAnsi="Times New Roman" w:eastAsia="方正仿宋简体"/>
          <w:b w:val="0"/>
          <w:bCs w:val="0"/>
          <w:color w:val="auto"/>
          <w:kern w:val="0"/>
          <w:lang w:val="en-US" w:eastAsia="zh-CN"/>
        </w:rPr>
        <w:t>二是</w:t>
      </w:r>
      <w:r>
        <w:rPr>
          <w:rFonts w:ascii="Times New Roman" w:hAnsi="Times New Roman" w:eastAsia="方正仿宋简体"/>
          <w:b w:val="0"/>
          <w:bCs w:val="0"/>
          <w:color w:val="auto"/>
          <w:kern w:val="0"/>
        </w:rPr>
        <w:t>加强电子追溯链条建设</w:t>
      </w:r>
      <w:r>
        <w:rPr>
          <w:rFonts w:hint="eastAsia" w:ascii="Times New Roman" w:hAnsi="Times New Roman" w:eastAsia="方正仿宋简体"/>
          <w:b w:val="0"/>
          <w:bCs w:val="0"/>
          <w:color w:val="auto"/>
          <w:kern w:val="0"/>
          <w:lang w:eastAsia="zh-CN"/>
        </w:rPr>
        <w:t>，</w:t>
      </w:r>
      <w:r>
        <w:rPr>
          <w:rFonts w:ascii="Times New Roman" w:hAnsi="Times New Roman" w:eastAsia="方正仿宋简体"/>
          <w:b w:val="0"/>
          <w:bCs w:val="0"/>
          <w:color w:val="auto"/>
          <w:kern w:val="0"/>
        </w:rPr>
        <w:t>完善从田间到餐桌追溯链条，入驻农产品</w:t>
      </w:r>
      <w:r>
        <w:rPr>
          <w:rFonts w:hint="eastAsia" w:ascii="Times New Roman" w:hAnsi="Times New Roman" w:eastAsia="方正仿宋简体"/>
          <w:b w:val="0"/>
          <w:bCs w:val="0"/>
          <w:color w:val="auto"/>
          <w:kern w:val="0"/>
          <w:lang w:val="en-US" w:eastAsia="zh-CN"/>
        </w:rPr>
        <w:t>经营主体</w:t>
      </w:r>
      <w:r>
        <w:rPr>
          <w:rFonts w:ascii="Times New Roman" w:hAnsi="Times New Roman" w:eastAsia="方正仿宋简体"/>
          <w:b w:val="0"/>
          <w:bCs w:val="0"/>
          <w:color w:val="auto"/>
          <w:kern w:val="0"/>
        </w:rPr>
        <w:t>23</w:t>
      </w:r>
      <w:r>
        <w:rPr>
          <w:rFonts w:hint="eastAsia" w:ascii="Times New Roman" w:hAnsi="Times New Roman" w:eastAsia="方正仿宋简体"/>
          <w:b w:val="0"/>
          <w:bCs w:val="0"/>
          <w:color w:val="auto"/>
          <w:kern w:val="0"/>
          <w:lang w:val="en-US" w:eastAsia="zh-CN"/>
        </w:rPr>
        <w:t>00余</w:t>
      </w:r>
      <w:r>
        <w:rPr>
          <w:rFonts w:ascii="Times New Roman" w:hAnsi="Times New Roman" w:eastAsia="方正仿宋简体"/>
          <w:b w:val="0"/>
          <w:bCs w:val="0"/>
          <w:color w:val="auto"/>
          <w:kern w:val="0"/>
        </w:rPr>
        <w:t>家。</w:t>
      </w:r>
      <w:r>
        <w:rPr>
          <w:rFonts w:hint="eastAsia" w:ascii="Times New Roman" w:hAnsi="Times New Roman" w:eastAsia="方正仿宋简体"/>
          <w:b w:val="0"/>
          <w:bCs w:val="0"/>
          <w:color w:val="auto"/>
          <w:kern w:val="0"/>
          <w:lang w:val="en-US" w:eastAsia="zh-CN"/>
        </w:rPr>
        <w:t>三是</w:t>
      </w:r>
      <w:r>
        <w:rPr>
          <w:rFonts w:ascii="Times New Roman" w:hAnsi="Times New Roman" w:eastAsia="方正仿宋简体"/>
          <w:b w:val="0"/>
          <w:bCs w:val="0"/>
          <w:color w:val="auto"/>
          <w:kern w:val="0"/>
        </w:rPr>
        <w:t>建立统一“食政通”信息追溯系统</w:t>
      </w:r>
      <w:r>
        <w:rPr>
          <w:rFonts w:hint="eastAsia" w:ascii="Times New Roman" w:hAnsi="Times New Roman" w:eastAsia="方正仿宋简体"/>
          <w:b w:val="0"/>
          <w:bCs w:val="0"/>
          <w:color w:val="auto"/>
          <w:kern w:val="0"/>
          <w:lang w:eastAsia="zh-CN"/>
        </w:rPr>
        <w:t>，</w:t>
      </w:r>
      <w:r>
        <w:rPr>
          <w:rFonts w:ascii="Times New Roman" w:hAnsi="Times New Roman" w:eastAsia="方正仿宋简体"/>
          <w:b w:val="0"/>
          <w:bCs w:val="0"/>
          <w:color w:val="auto"/>
          <w:kern w:val="0"/>
        </w:rPr>
        <w:t>生成追溯信息9</w:t>
      </w:r>
      <w:r>
        <w:rPr>
          <w:rFonts w:hint="eastAsia" w:ascii="Times New Roman" w:hAnsi="Times New Roman" w:eastAsia="方正仿宋简体"/>
          <w:b w:val="0"/>
          <w:bCs w:val="0"/>
          <w:color w:val="auto"/>
          <w:kern w:val="0"/>
          <w:lang w:val="en-US" w:eastAsia="zh-CN"/>
        </w:rPr>
        <w:t>.</w:t>
      </w:r>
      <w:r>
        <w:rPr>
          <w:rFonts w:ascii="Times New Roman" w:hAnsi="Times New Roman" w:eastAsia="方正仿宋简体"/>
          <w:b w:val="0"/>
          <w:bCs w:val="0"/>
          <w:color w:val="auto"/>
          <w:kern w:val="0"/>
        </w:rPr>
        <w:t>9</w:t>
      </w:r>
      <w:r>
        <w:rPr>
          <w:rFonts w:hint="eastAsia" w:ascii="Times New Roman" w:hAnsi="Times New Roman" w:eastAsia="方正仿宋简体"/>
          <w:b w:val="0"/>
          <w:bCs w:val="0"/>
          <w:color w:val="auto"/>
          <w:kern w:val="0"/>
          <w:lang w:val="en-US" w:eastAsia="zh-CN"/>
        </w:rPr>
        <w:t>万</w:t>
      </w:r>
      <w:r>
        <w:rPr>
          <w:rFonts w:ascii="Times New Roman" w:hAnsi="Times New Roman" w:eastAsia="方正仿宋简体"/>
          <w:b w:val="0"/>
          <w:bCs w:val="0"/>
          <w:color w:val="auto"/>
          <w:kern w:val="0"/>
        </w:rPr>
        <w:t>余条，</w:t>
      </w:r>
      <w:r>
        <w:rPr>
          <w:rFonts w:hint="eastAsia" w:ascii="Times New Roman" w:hAnsi="Times New Roman" w:eastAsia="方正仿宋简体"/>
          <w:b w:val="0"/>
          <w:bCs w:val="0"/>
          <w:color w:val="auto"/>
          <w:kern w:val="0"/>
          <w:lang w:val="en-US" w:eastAsia="zh-CN"/>
        </w:rPr>
        <w:t>实现</w:t>
      </w:r>
      <w:r>
        <w:rPr>
          <w:rFonts w:ascii="Times New Roman" w:hAnsi="Times New Roman" w:eastAsia="方正仿宋简体"/>
          <w:b w:val="0"/>
          <w:bCs w:val="0"/>
          <w:color w:val="auto"/>
          <w:kern w:val="0"/>
        </w:rPr>
        <w:t>数据互通共享</w:t>
      </w:r>
      <w:r>
        <w:rPr>
          <w:rFonts w:hint="eastAsia" w:ascii="Times New Roman" w:hAnsi="Times New Roman" w:eastAsia="方正仿宋简体"/>
          <w:b w:val="0"/>
          <w:bCs w:val="0"/>
          <w:color w:val="auto"/>
          <w:kern w:val="0"/>
          <w:lang w:eastAsia="zh-CN"/>
        </w:rPr>
        <w:t>，</w:t>
      </w:r>
      <w:r>
        <w:rPr>
          <w:rFonts w:ascii="Times New Roman" w:hAnsi="Times New Roman" w:eastAsia="方正仿宋简体"/>
          <w:b w:val="0"/>
          <w:bCs w:val="0"/>
          <w:color w:val="auto"/>
          <w:kern w:val="0"/>
        </w:rPr>
        <w:t>自动化风险分级、信用评级。</w:t>
      </w:r>
    </w:p>
    <w:p>
      <w:pPr>
        <w:pStyle w:val="15"/>
        <w:spacing w:line="540" w:lineRule="exact"/>
        <w:ind w:firstLine="643" w:firstLineChars="200"/>
        <w:rPr>
          <w:rFonts w:hint="eastAsia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/>
          <w:b/>
          <w:bCs/>
          <w:color w:val="auto"/>
          <w:kern w:val="0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napToGrid/>
          <w:color w:val="000000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方正仿宋简体"/>
          <w:b/>
          <w:bCs/>
          <w:color w:val="auto"/>
          <w:kern w:val="0"/>
          <w:lang w:eastAsia="zh-CN"/>
        </w:rPr>
        <w:t>）</w:t>
      </w:r>
      <w:r>
        <w:rPr>
          <w:rFonts w:hint="eastAsia" w:ascii="Times New Roman" w:hAnsi="Times New Roman" w:eastAsia="方正仿宋简体"/>
          <w:b/>
          <w:bCs/>
          <w:color w:val="auto"/>
          <w:kern w:val="0"/>
          <w:lang w:val="en-US" w:eastAsia="zh-CN"/>
        </w:rPr>
        <w:t>科技创新赋能再上新台阶</w:t>
      </w:r>
      <w:r>
        <w:rPr>
          <w:rFonts w:hint="eastAsia" w:ascii="Times New Roman" w:hAnsi="Times New Roman" w:eastAsia="方正仿宋简体"/>
          <w:b w:val="0"/>
          <w:bCs w:val="0"/>
          <w:color w:val="auto"/>
          <w:kern w:val="0"/>
          <w:lang w:val="en-US" w:eastAsia="zh-CN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val="en-US" w:eastAsia="zh-CN"/>
        </w:rPr>
        <w:t>一是加强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科技项目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val="en-US" w:eastAsia="zh-CN"/>
        </w:rPr>
        <w:t>引领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将食品安全纳入重点科技计划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建成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000000"/>
          <w:sz w:val="32"/>
          <w:szCs w:val="32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个省级科技扶贫示范基地，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val="en-US" w:eastAsia="zh-CN"/>
        </w:rPr>
        <w:t>支持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食品安全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val="en-US" w:eastAsia="zh-CN"/>
        </w:rPr>
        <w:t>科技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项目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000000"/>
          <w:sz w:val="32"/>
          <w:szCs w:val="32"/>
          <w:lang w:val="en-US" w:eastAsia="zh-CN" w:bidi="ar-SA"/>
        </w:rPr>
        <w:t>25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个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强化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val="en-US" w:eastAsia="zh-CN"/>
        </w:rPr>
        <w:t>特色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产业技术支撑。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val="en-US" w:eastAsia="zh-CN"/>
        </w:rPr>
        <w:t>二是激励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企业技术创新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</w:rPr>
        <w:t>积极培育龙头企业，推进产业化经营，促进传统农业生产转型升级。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lang w:val="en-US" w:eastAsia="zh-CN"/>
        </w:rPr>
        <w:t>三是科技助推产业加快发展，优化升级白酒工艺，实现扩能提质增效，</w:t>
      </w:r>
      <w:r>
        <w:rPr>
          <w:rFonts w:ascii="Times New Roman" w:hAnsi="Times New Roman" w:eastAsia="方正仿宋简体"/>
          <w:color w:val="auto"/>
          <w:kern w:val="0"/>
        </w:rPr>
        <w:t>建成全国规模最大、产业链最完备的白酒产业园区，</w:t>
      </w:r>
      <w:r>
        <w:rPr>
          <w:rFonts w:hint="eastAsia" w:ascii="Times New Roman" w:hAnsi="Times New Roman" w:eastAsia="方正仿宋简体"/>
          <w:color w:val="auto"/>
          <w:kern w:val="0"/>
          <w:lang w:val="en-US" w:eastAsia="zh-CN"/>
        </w:rPr>
        <w:t>形成强劲的经济增长极。</w:t>
      </w:r>
    </w:p>
    <w:p>
      <w:pPr>
        <w:widowControl w:val="0"/>
        <w:spacing w:line="540" w:lineRule="exact"/>
        <w:ind w:firstLine="643" w:firstLineChars="200"/>
        <w:jc w:val="both"/>
        <w:textAlignment w:val="baseline"/>
        <w:rPr>
          <w:rFonts w:hint="default" w:ascii="Times New Roman" w:hAnsi="Times New Roman" w:eastAsia="方正仿宋简体"/>
          <w:color w:val="auto"/>
          <w:kern w:val="0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（5）</w:t>
      </w:r>
      <w:r>
        <w:rPr>
          <w:rFonts w:hint="eastAsia" w:ascii="Times New Roman" w:hAnsi="Times New Roman" w:eastAsia="方正仿宋简体" w:cs="Arial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食品产业高质量发展步入快车道。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一是</w:t>
      </w: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调整优化食品产业布局，最大限度地促进资源共享，优化发展空间。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  <w:highlight w:val="none"/>
        </w:rPr>
        <w:t>创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</w:rPr>
        <w:t>建活动助推白酒优势产业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  <w:lang w:val="en-US" w:eastAsia="zh-CN"/>
        </w:rPr>
        <w:t>发展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</w:rPr>
        <w:t>，成功打造“千亿酒业园区”，获“中国酒城”“世界级白酒产业集群”“世界十大烈酒产区”等殊荣</w:t>
      </w:r>
      <w:r>
        <w:rPr>
          <w:rFonts w:hint="eastAsia" w:ascii="方正仿宋简体" w:hAnsi="方正仿宋简体" w:eastAsia="方正仿宋简体" w:cs="方正仿宋简体"/>
          <w:color w:val="auto"/>
          <w:spacing w:val="-2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2020年，泸州白酒产业园区营业收入1005亿元，成功实现“千亿酒业园区”目标。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二是</w:t>
      </w: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构建泸州经重庆至北部湾地区南向陆海新通道，深化泸州与重庆江津等地在水水、铁水以及公水联运方面的合作，推动生鲜食品冷链物流基础设施建设。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三是</w:t>
      </w: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全市</w:t>
      </w: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lang w:val="zh-TW" w:eastAsia="zh-TW" w:bidi="ar-SA"/>
        </w:rPr>
        <w:t>食品行业拥有中国驰名商标</w:t>
      </w: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21</w:t>
      </w: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lang w:val="zh-TW" w:eastAsia="zh-TW" w:bidi="ar-SA"/>
        </w:rPr>
        <w:t>件、</w:t>
      </w: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省级品牌资源75个</w:t>
      </w: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lang w:val="zh-TW" w:eastAsia="zh-TW" w:bidi="ar-SA"/>
        </w:rPr>
        <w:t>、地理标志商标15件</w:t>
      </w: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lang w:val="zh-TW" w:eastAsia="zh-CN" w:bidi="ar-SA"/>
        </w:rPr>
        <w:t>、</w:t>
      </w: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lang w:val="zh-TW" w:eastAsia="zh-TW" w:bidi="ar-SA"/>
        </w:rPr>
        <w:t>中华老字号</w:t>
      </w: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lang w:val="zh-TW" w:eastAsia="zh-TW" w:bidi="ar-SA"/>
        </w:rPr>
        <w:t>个</w:t>
      </w: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lang w:val="zh-TW" w:eastAsia="zh-TW" w:bidi="ar-SA"/>
        </w:rPr>
        <w:t>地理标志保护产品</w:t>
      </w: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14</w:t>
      </w: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lang w:val="zh-TW" w:eastAsia="zh-TW" w:bidi="ar-SA"/>
        </w:rPr>
        <w:t>个。</w:t>
      </w:r>
    </w:p>
    <w:p>
      <w:pPr>
        <w:pStyle w:val="2"/>
        <w:spacing w:line="600" w:lineRule="exact"/>
        <w:ind w:left="0" w:leftChars="0" w:firstLine="643" w:firstLineChars="200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下一步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工作建议</w:t>
      </w:r>
    </w:p>
    <w:p>
      <w:pPr>
        <w:widowControl/>
        <w:spacing w:before="0" w:beforeAutospacing="0" w:after="0" w:afterAutospacing="0" w:line="54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围绕创建目标任务，泸州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市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食品安全综合治理取得了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明显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成效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但对照人民群众日益增长的美好生活需要和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对食品安全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的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更高期待，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泸州市</w:t>
      </w:r>
      <w:r>
        <w:rPr>
          <w:rFonts w:hint="eastAsia" w:ascii="方正仿宋简体" w:hAnsi="方正仿宋简体" w:eastAsia="方正仿宋简体" w:cs="方正仿宋简体"/>
          <w:snapToGrid/>
          <w:color w:val="auto"/>
          <w:kern w:val="0"/>
          <w:sz w:val="32"/>
          <w:szCs w:val="32"/>
          <w:lang w:val="en-US" w:eastAsia="zh-CN" w:bidi="ar"/>
        </w:rPr>
        <w:t>食品安全工作仍面临着严峻复杂的新形势、新任务和新挑战。一是食品安全问题燃点低、舆论关注度高，食品安全风险防控机制有待加强。二是直播带货、网络订餐等新业态、新资源潜在风险增多，现有监管方式仍需持续改进，</w:t>
      </w: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食品安全监管专业能力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仍</w:t>
      </w: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需大力提升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。三是</w:t>
      </w:r>
      <w:r>
        <w:rPr>
          <w:rFonts w:hint="eastAsia" w:ascii="方正仿宋简体" w:hAnsi="方正仿宋简体" w:eastAsia="方正仿宋简体" w:cs="方正仿宋简体"/>
          <w:snapToGrid/>
          <w:color w:val="auto"/>
          <w:kern w:val="0"/>
          <w:sz w:val="32"/>
          <w:szCs w:val="32"/>
          <w:lang w:val="en-US" w:eastAsia="zh-CN" w:bidi="ar"/>
        </w:rPr>
        <w:t xml:space="preserve">人民群众对食品安全工作的感知不够深，食品安全宣传的广度和深度有待进一步拓宽做实。四是个别食品生产经营者成本意识强、安全意识差，需不断督促其落实主体责任。建议泸州市持续深化食品安全示范创建工作，夯实基础工作，打造创新亮点，着力构建食品安全社会共建共治共享格局，不断提升人民群众对食品安全工作的满意度和知晓率、支持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kern w:val="2"/>
          <w:sz w:val="32"/>
          <w:szCs w:val="32"/>
          <w:lang w:val="en-US" w:eastAsia="zh-CN" w:bidi="ar-SA"/>
        </w:rPr>
        <w:t>1.压紧压实各方工作责任。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" w:eastAsia="zh-CN" w:bidi="ar-SA"/>
        </w:rPr>
        <w:t>泸州市各级党委、政府要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" w:eastAsia="zh-CN" w:bidi="ar-SA"/>
        </w:rPr>
        <w:t>严格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" w:eastAsia="zh-CN" w:bidi="ar-SA"/>
        </w:rPr>
        <w:t>落实党政同责工作要求，切实履行食品安全属地管理责任。充分发挥食安委组织领导、食安办统筹协调的作用，强化部门间的协作配合，确保各项工作落实落细。要加大督查力度，定期开展督促检查，对发现的问题即知即改，确保高质量完成创建目标。</w:t>
      </w:r>
    </w:p>
    <w:p>
      <w:pPr>
        <w:kinsoku/>
        <w:autoSpaceDE/>
        <w:autoSpaceDN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kern w:val="2"/>
          <w:sz w:val="32"/>
          <w:szCs w:val="32"/>
          <w:lang w:val="en-US" w:eastAsia="zh-CN" w:bidi="ar-SA"/>
        </w:rPr>
        <w:t>2.强化食品安全风险防控。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sz w:val="32"/>
          <w:szCs w:val="32"/>
          <w:lang w:val="en-US" w:eastAsia="zh-CN" w:bidi="ar-SA"/>
        </w:rPr>
        <w:t>坚持问题导向、目标导向，持续开展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食品安全风险隐患排查整治，切实有效化解食品安全风险，守牢食品安全底线。</w:t>
      </w:r>
    </w:p>
    <w:p>
      <w:pPr>
        <w:kinsoku/>
        <w:autoSpaceDE/>
        <w:autoSpaceDN/>
        <w:adjustRightInd/>
        <w:snapToGrid/>
        <w:spacing w:line="600" w:lineRule="exact"/>
        <w:ind w:firstLine="643" w:firstLineChars="200"/>
        <w:textAlignment w:val="auto"/>
        <w:rPr>
          <w:rFonts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kern w:val="2"/>
          <w:sz w:val="32"/>
          <w:szCs w:val="32"/>
          <w:lang w:val="en-US" w:eastAsia="zh-CN" w:bidi="ar-SA"/>
        </w:rPr>
        <w:t>3.加强食品新业态监管。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sz w:val="32"/>
          <w:szCs w:val="32"/>
          <w:lang w:val="en-US" w:eastAsia="zh-CN" w:bidi="ar-SA"/>
        </w:rPr>
        <w:t>聚焦食品新业态、新消费模式，加强直播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带货、网络订餐、电商、团购、代购等行业食品安全监管，提升新业态专业化监管水平。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jc w:val="both"/>
        <w:textAlignment w:val="auto"/>
        <w:rPr>
          <w:rFonts w:hint="eastAsia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000000"/>
          <w:kern w:val="2"/>
          <w:sz w:val="32"/>
          <w:szCs w:val="32"/>
          <w:lang w:val="en-US" w:eastAsia="zh-CN" w:bidi="ar-SA"/>
        </w:rPr>
        <w:t>4.持续营造浓厚创建氛围。</w:t>
      </w:r>
      <w:r>
        <w:rPr>
          <w:rFonts w:hint="eastAsia" w:ascii="方正仿宋简体" w:hAnsi="方正仿宋简体" w:eastAsia="方正仿宋简体" w:cs="方正仿宋简体"/>
          <w:snapToGrid/>
          <w:color w:val="auto"/>
          <w:kern w:val="0"/>
          <w:sz w:val="32"/>
          <w:szCs w:val="32"/>
          <w:lang w:val="en-US" w:eastAsia="zh-CN" w:bidi="ar"/>
        </w:rPr>
        <w:t>要持续深入开展食品安全宣传活动，抓住重要时间节点，以社会关注点、热点作为宣传的重点、亮点，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有针对性、有重点、全方位推进创建国家食品安全示范城市宣传工作，营造创建工作良好社会氛围，切实提升市民知晓率和满意度。</w:t>
      </w:r>
    </w:p>
    <w:p>
      <w:pPr>
        <w:pStyle w:val="2"/>
        <w:spacing w:line="600" w:lineRule="exact"/>
        <w:ind w:left="0" w:leftChars="0" w:firstLine="640"/>
        <w:rPr>
          <w:rFonts w:ascii="方正黑体简体" w:hAnsi="方正黑体简体" w:eastAsia="方正黑体简体" w:cs="方正黑体简体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 xml:space="preserve">三、省级初评意见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根据省级初评情况，评审组认为泸州市坚决贯彻执行党中央、国务院和省委、省政府食品安全工作部署，坚持依法治理、综合施策，</w:t>
      </w:r>
      <w:r>
        <w:rPr>
          <w:rFonts w:ascii="Times New Roman" w:hAnsi="Times New Roman" w:eastAsia="方正仿宋简体" w:cs="Times New Roman"/>
          <w:sz w:val="32"/>
          <w:szCs w:val="32"/>
        </w:rPr>
        <w:t>构建纵向联动、横向协同、齐抓共管的工作格局，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实现了</w:t>
      </w: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</w:rPr>
        <w:t>食品安全状况良好、党政同责</w:t>
      </w: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和“四个最严”要求全面</w:t>
      </w: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</w:rPr>
        <w:t>落实</w:t>
      </w: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、食品安全放心工程成效显著、食品生产经营者主体责任意识普遍增强、食品产业高质量发展、食品安全风险管理能力提升和食品安全社会共治格局形成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等创建工作要求</w:t>
      </w: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信用监管、智慧监管等创新工作发挥了示范引领作用，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食品安全总体状况达到国家食品安全示范城市标准。</w:t>
      </w:r>
    </w:p>
    <w:p>
      <w:pPr>
        <w:pStyle w:val="2"/>
        <w:spacing w:line="600" w:lineRule="exact"/>
        <w:ind w:left="0" w:leftChars="0" w:firstLine="640"/>
        <w:rPr>
          <w:rFonts w:ascii="CESI仿宋-GB13000" w:eastAsia="CESI仿宋-GB13000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CS仿宋体">
    <w:altName w:val="黑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script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revisionView w:markup="0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5YjY0ZDZhNGI1MDI5NWM3YTViOTViODI4ZmVhNjYifQ=="/>
  </w:docVars>
  <w:rsids>
    <w:rsidRoot w:val="007C3C26"/>
    <w:rsid w:val="00044EF2"/>
    <w:rsid w:val="000B699B"/>
    <w:rsid w:val="0031517F"/>
    <w:rsid w:val="003357D8"/>
    <w:rsid w:val="003429BF"/>
    <w:rsid w:val="00417EF4"/>
    <w:rsid w:val="004B5DDC"/>
    <w:rsid w:val="00577A4F"/>
    <w:rsid w:val="007529C1"/>
    <w:rsid w:val="00755273"/>
    <w:rsid w:val="00783433"/>
    <w:rsid w:val="007A406D"/>
    <w:rsid w:val="007C3C26"/>
    <w:rsid w:val="00802E78"/>
    <w:rsid w:val="00864CDE"/>
    <w:rsid w:val="008D1BA2"/>
    <w:rsid w:val="009A7605"/>
    <w:rsid w:val="009B5472"/>
    <w:rsid w:val="009B7383"/>
    <w:rsid w:val="00C2009A"/>
    <w:rsid w:val="00EC318D"/>
    <w:rsid w:val="00F941FA"/>
    <w:rsid w:val="00FE25C7"/>
    <w:rsid w:val="013B0DE8"/>
    <w:rsid w:val="014C11D0"/>
    <w:rsid w:val="0160084E"/>
    <w:rsid w:val="01853350"/>
    <w:rsid w:val="01B85F94"/>
    <w:rsid w:val="01DD5369"/>
    <w:rsid w:val="01E90844"/>
    <w:rsid w:val="021D3D6F"/>
    <w:rsid w:val="027345B1"/>
    <w:rsid w:val="02F67A3E"/>
    <w:rsid w:val="03280EF8"/>
    <w:rsid w:val="039A566D"/>
    <w:rsid w:val="03B7227C"/>
    <w:rsid w:val="047F2D99"/>
    <w:rsid w:val="04855EE4"/>
    <w:rsid w:val="04A722F0"/>
    <w:rsid w:val="050B3813"/>
    <w:rsid w:val="054A19C3"/>
    <w:rsid w:val="05EF3111"/>
    <w:rsid w:val="05F20275"/>
    <w:rsid w:val="0639341C"/>
    <w:rsid w:val="06BC6527"/>
    <w:rsid w:val="06CF5931"/>
    <w:rsid w:val="06DB1FC1"/>
    <w:rsid w:val="06DF0467"/>
    <w:rsid w:val="06F127CA"/>
    <w:rsid w:val="06F25AAD"/>
    <w:rsid w:val="06F70059"/>
    <w:rsid w:val="070659F4"/>
    <w:rsid w:val="078D7EC3"/>
    <w:rsid w:val="07CB7718"/>
    <w:rsid w:val="07F41CF0"/>
    <w:rsid w:val="084B5F1F"/>
    <w:rsid w:val="086E55FF"/>
    <w:rsid w:val="089332B7"/>
    <w:rsid w:val="08964B56"/>
    <w:rsid w:val="08A059D4"/>
    <w:rsid w:val="095567BF"/>
    <w:rsid w:val="09594501"/>
    <w:rsid w:val="09840698"/>
    <w:rsid w:val="099C20BF"/>
    <w:rsid w:val="09A17C56"/>
    <w:rsid w:val="09AA4D5C"/>
    <w:rsid w:val="09B72FD5"/>
    <w:rsid w:val="09D25064"/>
    <w:rsid w:val="09D26061"/>
    <w:rsid w:val="0A0F2E11"/>
    <w:rsid w:val="0A5A0F52"/>
    <w:rsid w:val="0AAC0660"/>
    <w:rsid w:val="0B2B77D7"/>
    <w:rsid w:val="0B550CF8"/>
    <w:rsid w:val="0B662F05"/>
    <w:rsid w:val="0B8B296C"/>
    <w:rsid w:val="0B8E5E80"/>
    <w:rsid w:val="0B9C2483"/>
    <w:rsid w:val="0BBE240E"/>
    <w:rsid w:val="0BCD088E"/>
    <w:rsid w:val="0C0A2F3A"/>
    <w:rsid w:val="0C497634"/>
    <w:rsid w:val="0C8573BB"/>
    <w:rsid w:val="0CA14F93"/>
    <w:rsid w:val="0CE340E1"/>
    <w:rsid w:val="0D501777"/>
    <w:rsid w:val="0D652607"/>
    <w:rsid w:val="0D804980"/>
    <w:rsid w:val="0D8256A8"/>
    <w:rsid w:val="0DC108C7"/>
    <w:rsid w:val="0DC34E14"/>
    <w:rsid w:val="0E977B4B"/>
    <w:rsid w:val="0EA53D44"/>
    <w:rsid w:val="0F152C78"/>
    <w:rsid w:val="0F184516"/>
    <w:rsid w:val="0F2F1860"/>
    <w:rsid w:val="0F474DFC"/>
    <w:rsid w:val="0F59068B"/>
    <w:rsid w:val="0F8702A6"/>
    <w:rsid w:val="0F8E47D8"/>
    <w:rsid w:val="0F916077"/>
    <w:rsid w:val="105570A4"/>
    <w:rsid w:val="10922838"/>
    <w:rsid w:val="109A0FBC"/>
    <w:rsid w:val="109C5975"/>
    <w:rsid w:val="10BA72BF"/>
    <w:rsid w:val="110C3C07"/>
    <w:rsid w:val="113028E2"/>
    <w:rsid w:val="11377D78"/>
    <w:rsid w:val="11A726EA"/>
    <w:rsid w:val="11B5429E"/>
    <w:rsid w:val="11BA3663"/>
    <w:rsid w:val="12490E8B"/>
    <w:rsid w:val="124D449C"/>
    <w:rsid w:val="127C300E"/>
    <w:rsid w:val="12A64675"/>
    <w:rsid w:val="12A97C83"/>
    <w:rsid w:val="12B04A66"/>
    <w:rsid w:val="12F1125A"/>
    <w:rsid w:val="131E7C21"/>
    <w:rsid w:val="13280AA0"/>
    <w:rsid w:val="132F0080"/>
    <w:rsid w:val="13675A6C"/>
    <w:rsid w:val="136E2957"/>
    <w:rsid w:val="13871C04"/>
    <w:rsid w:val="13A740BB"/>
    <w:rsid w:val="13C133CE"/>
    <w:rsid w:val="13FE2369"/>
    <w:rsid w:val="14157276"/>
    <w:rsid w:val="141F13AA"/>
    <w:rsid w:val="147E4E1C"/>
    <w:rsid w:val="14EB7FD7"/>
    <w:rsid w:val="15007F26"/>
    <w:rsid w:val="150E0D92"/>
    <w:rsid w:val="15E213DA"/>
    <w:rsid w:val="16204A74"/>
    <w:rsid w:val="16216DE2"/>
    <w:rsid w:val="16302145"/>
    <w:rsid w:val="164107F7"/>
    <w:rsid w:val="16D026BB"/>
    <w:rsid w:val="172B4755"/>
    <w:rsid w:val="17435EA8"/>
    <w:rsid w:val="1755215E"/>
    <w:rsid w:val="17563E2E"/>
    <w:rsid w:val="178A5C9F"/>
    <w:rsid w:val="17A22C3F"/>
    <w:rsid w:val="17AF79E2"/>
    <w:rsid w:val="188E5E3A"/>
    <w:rsid w:val="190B50EC"/>
    <w:rsid w:val="19B32E94"/>
    <w:rsid w:val="1A0C111B"/>
    <w:rsid w:val="1A226249"/>
    <w:rsid w:val="1A472154"/>
    <w:rsid w:val="1A4C093D"/>
    <w:rsid w:val="1A750A6F"/>
    <w:rsid w:val="1A7F369B"/>
    <w:rsid w:val="1AFA5F43"/>
    <w:rsid w:val="1B0E2C71"/>
    <w:rsid w:val="1B157B5C"/>
    <w:rsid w:val="1B520CC5"/>
    <w:rsid w:val="1B5508A0"/>
    <w:rsid w:val="1BC05D1A"/>
    <w:rsid w:val="1BCD0437"/>
    <w:rsid w:val="1BD9502D"/>
    <w:rsid w:val="1BF956CF"/>
    <w:rsid w:val="1C0302FC"/>
    <w:rsid w:val="1C0A168B"/>
    <w:rsid w:val="1C330A15"/>
    <w:rsid w:val="1C37598E"/>
    <w:rsid w:val="1C424981"/>
    <w:rsid w:val="1CB9459A"/>
    <w:rsid w:val="1CF33ECD"/>
    <w:rsid w:val="1D1C33A3"/>
    <w:rsid w:val="1D79273D"/>
    <w:rsid w:val="1D8A4831"/>
    <w:rsid w:val="1D9E652E"/>
    <w:rsid w:val="1DED6B6E"/>
    <w:rsid w:val="1E0E4529"/>
    <w:rsid w:val="1E4A0577"/>
    <w:rsid w:val="1E4A5D6E"/>
    <w:rsid w:val="1E4C2341"/>
    <w:rsid w:val="1E871148"/>
    <w:rsid w:val="1E890F8D"/>
    <w:rsid w:val="1ECC0E79"/>
    <w:rsid w:val="1F010B23"/>
    <w:rsid w:val="1F187E58"/>
    <w:rsid w:val="1F291E28"/>
    <w:rsid w:val="1F6D7F66"/>
    <w:rsid w:val="1FF1794B"/>
    <w:rsid w:val="20012DA5"/>
    <w:rsid w:val="20124FB2"/>
    <w:rsid w:val="20174376"/>
    <w:rsid w:val="201B4EAC"/>
    <w:rsid w:val="207417C9"/>
    <w:rsid w:val="20A43E5C"/>
    <w:rsid w:val="20C87685"/>
    <w:rsid w:val="20D15043"/>
    <w:rsid w:val="20FA3A7C"/>
    <w:rsid w:val="2129610F"/>
    <w:rsid w:val="212C3511"/>
    <w:rsid w:val="214236C8"/>
    <w:rsid w:val="218E2416"/>
    <w:rsid w:val="21B300CF"/>
    <w:rsid w:val="21C62FE3"/>
    <w:rsid w:val="21D56822"/>
    <w:rsid w:val="22A441C7"/>
    <w:rsid w:val="22B42350"/>
    <w:rsid w:val="22BB4222"/>
    <w:rsid w:val="2335523F"/>
    <w:rsid w:val="23702361"/>
    <w:rsid w:val="237F470C"/>
    <w:rsid w:val="238B30B1"/>
    <w:rsid w:val="23BA5744"/>
    <w:rsid w:val="23F8626D"/>
    <w:rsid w:val="241035B6"/>
    <w:rsid w:val="24923F65"/>
    <w:rsid w:val="249E0BC2"/>
    <w:rsid w:val="24BD4B2E"/>
    <w:rsid w:val="24D91187"/>
    <w:rsid w:val="2504136D"/>
    <w:rsid w:val="2556149D"/>
    <w:rsid w:val="25787587"/>
    <w:rsid w:val="257A093C"/>
    <w:rsid w:val="25DC7BF4"/>
    <w:rsid w:val="264D3989"/>
    <w:rsid w:val="26881B2A"/>
    <w:rsid w:val="271C2272"/>
    <w:rsid w:val="276F12DF"/>
    <w:rsid w:val="27A24E6D"/>
    <w:rsid w:val="27F54F9D"/>
    <w:rsid w:val="28096C9A"/>
    <w:rsid w:val="281A2C55"/>
    <w:rsid w:val="28397580"/>
    <w:rsid w:val="283F3EE2"/>
    <w:rsid w:val="286F595B"/>
    <w:rsid w:val="288203D0"/>
    <w:rsid w:val="288527C5"/>
    <w:rsid w:val="28CF57EE"/>
    <w:rsid w:val="28F72937"/>
    <w:rsid w:val="29564161"/>
    <w:rsid w:val="295D54F0"/>
    <w:rsid w:val="29622B06"/>
    <w:rsid w:val="298B445D"/>
    <w:rsid w:val="29BE254F"/>
    <w:rsid w:val="29F86FC6"/>
    <w:rsid w:val="2A067935"/>
    <w:rsid w:val="2A0E0598"/>
    <w:rsid w:val="2A1738F0"/>
    <w:rsid w:val="2A783938"/>
    <w:rsid w:val="2A7B1BCA"/>
    <w:rsid w:val="2AAB4039"/>
    <w:rsid w:val="2AB32EED"/>
    <w:rsid w:val="2AF91248"/>
    <w:rsid w:val="2B231E21"/>
    <w:rsid w:val="2B54647E"/>
    <w:rsid w:val="2B7F6702"/>
    <w:rsid w:val="2B97482B"/>
    <w:rsid w:val="2BD266CD"/>
    <w:rsid w:val="2BDB2782"/>
    <w:rsid w:val="2C1B1B6C"/>
    <w:rsid w:val="2C5129BE"/>
    <w:rsid w:val="2CB11E6D"/>
    <w:rsid w:val="2CF972DD"/>
    <w:rsid w:val="2D2D6F87"/>
    <w:rsid w:val="2D46629B"/>
    <w:rsid w:val="2D622067"/>
    <w:rsid w:val="2D6D363B"/>
    <w:rsid w:val="2D8A285E"/>
    <w:rsid w:val="2D9D235F"/>
    <w:rsid w:val="2F1403FE"/>
    <w:rsid w:val="2F436F36"/>
    <w:rsid w:val="2F5702EB"/>
    <w:rsid w:val="2F8C4439"/>
    <w:rsid w:val="2FEF2ACF"/>
    <w:rsid w:val="30850E88"/>
    <w:rsid w:val="30986E0D"/>
    <w:rsid w:val="30B31E99"/>
    <w:rsid w:val="31153F26"/>
    <w:rsid w:val="313A1C72"/>
    <w:rsid w:val="31771119"/>
    <w:rsid w:val="321921D0"/>
    <w:rsid w:val="321E77E6"/>
    <w:rsid w:val="323764F8"/>
    <w:rsid w:val="32755658"/>
    <w:rsid w:val="328F5FEE"/>
    <w:rsid w:val="32D54572"/>
    <w:rsid w:val="32D700C1"/>
    <w:rsid w:val="33092244"/>
    <w:rsid w:val="332D37FB"/>
    <w:rsid w:val="33477B8B"/>
    <w:rsid w:val="33CA19D4"/>
    <w:rsid w:val="33CF0D98"/>
    <w:rsid w:val="340D366E"/>
    <w:rsid w:val="346906DB"/>
    <w:rsid w:val="347B4A7C"/>
    <w:rsid w:val="350F5771"/>
    <w:rsid w:val="35431A3E"/>
    <w:rsid w:val="357A4D33"/>
    <w:rsid w:val="358131B3"/>
    <w:rsid w:val="35D95EFE"/>
    <w:rsid w:val="36724CB7"/>
    <w:rsid w:val="36835E6A"/>
    <w:rsid w:val="368A544A"/>
    <w:rsid w:val="369242A1"/>
    <w:rsid w:val="36981915"/>
    <w:rsid w:val="3713682A"/>
    <w:rsid w:val="37215C8A"/>
    <w:rsid w:val="372D487E"/>
    <w:rsid w:val="372E04CB"/>
    <w:rsid w:val="37337890"/>
    <w:rsid w:val="374F5C96"/>
    <w:rsid w:val="37543CF6"/>
    <w:rsid w:val="37D526F5"/>
    <w:rsid w:val="37E64902"/>
    <w:rsid w:val="37F92887"/>
    <w:rsid w:val="38433B03"/>
    <w:rsid w:val="384D2BD3"/>
    <w:rsid w:val="38A722E3"/>
    <w:rsid w:val="38BE13DB"/>
    <w:rsid w:val="38D155B2"/>
    <w:rsid w:val="38E70932"/>
    <w:rsid w:val="38E95002"/>
    <w:rsid w:val="390F482E"/>
    <w:rsid w:val="393209A3"/>
    <w:rsid w:val="39346C55"/>
    <w:rsid w:val="39623E18"/>
    <w:rsid w:val="39641F82"/>
    <w:rsid w:val="398443D3"/>
    <w:rsid w:val="39E135D3"/>
    <w:rsid w:val="39F03816"/>
    <w:rsid w:val="39FF1CAB"/>
    <w:rsid w:val="3A0F6392"/>
    <w:rsid w:val="3A192D6D"/>
    <w:rsid w:val="3A1C460B"/>
    <w:rsid w:val="3A3758E9"/>
    <w:rsid w:val="3A7601BF"/>
    <w:rsid w:val="3A7A7584"/>
    <w:rsid w:val="3A8E3775"/>
    <w:rsid w:val="3A8F302F"/>
    <w:rsid w:val="3A9D1889"/>
    <w:rsid w:val="3AA20FB4"/>
    <w:rsid w:val="3B060337"/>
    <w:rsid w:val="3B0752BB"/>
    <w:rsid w:val="3BBE3383"/>
    <w:rsid w:val="3BEB698B"/>
    <w:rsid w:val="3C0043A5"/>
    <w:rsid w:val="3C1B599D"/>
    <w:rsid w:val="3C335C3C"/>
    <w:rsid w:val="3C681D8A"/>
    <w:rsid w:val="3C6A1695"/>
    <w:rsid w:val="3C771FCD"/>
    <w:rsid w:val="3CB12751"/>
    <w:rsid w:val="3CDC62D4"/>
    <w:rsid w:val="3D321D80"/>
    <w:rsid w:val="3D3A7941"/>
    <w:rsid w:val="3D9F76BF"/>
    <w:rsid w:val="3DD05E38"/>
    <w:rsid w:val="3DDE3340"/>
    <w:rsid w:val="3DE170F6"/>
    <w:rsid w:val="3DE74F30"/>
    <w:rsid w:val="3E210442"/>
    <w:rsid w:val="3E77577D"/>
    <w:rsid w:val="3E8135D7"/>
    <w:rsid w:val="3E9F580B"/>
    <w:rsid w:val="3EBB7322"/>
    <w:rsid w:val="3EF43DA9"/>
    <w:rsid w:val="3F03223E"/>
    <w:rsid w:val="3F3E3B34"/>
    <w:rsid w:val="3F566811"/>
    <w:rsid w:val="3F762A0F"/>
    <w:rsid w:val="3F786788"/>
    <w:rsid w:val="3F89538C"/>
    <w:rsid w:val="3F9F56F9"/>
    <w:rsid w:val="3FB86B84"/>
    <w:rsid w:val="3FC90D91"/>
    <w:rsid w:val="40316936"/>
    <w:rsid w:val="404865C2"/>
    <w:rsid w:val="40EA5463"/>
    <w:rsid w:val="411F02FE"/>
    <w:rsid w:val="4142704D"/>
    <w:rsid w:val="41841B41"/>
    <w:rsid w:val="418807D8"/>
    <w:rsid w:val="4194717D"/>
    <w:rsid w:val="41990C37"/>
    <w:rsid w:val="419D0727"/>
    <w:rsid w:val="41A53138"/>
    <w:rsid w:val="41C00B52"/>
    <w:rsid w:val="41E023C2"/>
    <w:rsid w:val="41EE4ADF"/>
    <w:rsid w:val="42C972FA"/>
    <w:rsid w:val="43036368"/>
    <w:rsid w:val="430420E0"/>
    <w:rsid w:val="43615785"/>
    <w:rsid w:val="439E6699"/>
    <w:rsid w:val="43AB1C41"/>
    <w:rsid w:val="43B41D58"/>
    <w:rsid w:val="43EF4B3E"/>
    <w:rsid w:val="440426ED"/>
    <w:rsid w:val="449851D6"/>
    <w:rsid w:val="44AE67A8"/>
    <w:rsid w:val="44B52F3D"/>
    <w:rsid w:val="45865C90"/>
    <w:rsid w:val="459E1862"/>
    <w:rsid w:val="45C67B21"/>
    <w:rsid w:val="461D4589"/>
    <w:rsid w:val="463351B6"/>
    <w:rsid w:val="4687662B"/>
    <w:rsid w:val="468E063F"/>
    <w:rsid w:val="46A95479"/>
    <w:rsid w:val="46B02CAB"/>
    <w:rsid w:val="46FA3F26"/>
    <w:rsid w:val="470B3A79"/>
    <w:rsid w:val="473122B1"/>
    <w:rsid w:val="47363DBC"/>
    <w:rsid w:val="47665118"/>
    <w:rsid w:val="477B4DB0"/>
    <w:rsid w:val="47811F51"/>
    <w:rsid w:val="47976823"/>
    <w:rsid w:val="47D05003"/>
    <w:rsid w:val="4881312E"/>
    <w:rsid w:val="489F6B33"/>
    <w:rsid w:val="48EB7FCA"/>
    <w:rsid w:val="48FA1FBB"/>
    <w:rsid w:val="48FB011C"/>
    <w:rsid w:val="49042E3A"/>
    <w:rsid w:val="49465201"/>
    <w:rsid w:val="497F6A07"/>
    <w:rsid w:val="499C3073"/>
    <w:rsid w:val="49AF5A14"/>
    <w:rsid w:val="49FF7EF9"/>
    <w:rsid w:val="4A4C28F5"/>
    <w:rsid w:val="4A745D9D"/>
    <w:rsid w:val="4AD55B40"/>
    <w:rsid w:val="4AE90539"/>
    <w:rsid w:val="4B36139E"/>
    <w:rsid w:val="4B3A6FE7"/>
    <w:rsid w:val="4B5420E6"/>
    <w:rsid w:val="4B7E5372"/>
    <w:rsid w:val="4BB511C6"/>
    <w:rsid w:val="4BBD5522"/>
    <w:rsid w:val="4BCE5F0E"/>
    <w:rsid w:val="4BEDC4B7"/>
    <w:rsid w:val="4C01437F"/>
    <w:rsid w:val="4C107D48"/>
    <w:rsid w:val="4C742085"/>
    <w:rsid w:val="4C9444D5"/>
    <w:rsid w:val="4CAE2606"/>
    <w:rsid w:val="4CF030CE"/>
    <w:rsid w:val="4D7560B4"/>
    <w:rsid w:val="4DA0550D"/>
    <w:rsid w:val="4DAB5F7A"/>
    <w:rsid w:val="4DBF5582"/>
    <w:rsid w:val="4DD16F8C"/>
    <w:rsid w:val="4E127DA7"/>
    <w:rsid w:val="4E281379"/>
    <w:rsid w:val="4E3917D8"/>
    <w:rsid w:val="4E6B62AA"/>
    <w:rsid w:val="4E9764FE"/>
    <w:rsid w:val="4EAC1FAA"/>
    <w:rsid w:val="4EC92B5C"/>
    <w:rsid w:val="4EF15C0F"/>
    <w:rsid w:val="4EF179BD"/>
    <w:rsid w:val="4EF95E37"/>
    <w:rsid w:val="4F043D9E"/>
    <w:rsid w:val="4F4626F3"/>
    <w:rsid w:val="4F4A3571"/>
    <w:rsid w:val="4F5B752C"/>
    <w:rsid w:val="4F820F5D"/>
    <w:rsid w:val="4FAC4F42"/>
    <w:rsid w:val="4FB3209D"/>
    <w:rsid w:val="4FE13ED5"/>
    <w:rsid w:val="500D0826"/>
    <w:rsid w:val="504D4A2D"/>
    <w:rsid w:val="50EC2B32"/>
    <w:rsid w:val="50FB4B23"/>
    <w:rsid w:val="51316796"/>
    <w:rsid w:val="518B5E0F"/>
    <w:rsid w:val="525B2DC2"/>
    <w:rsid w:val="526E7576"/>
    <w:rsid w:val="52734B8D"/>
    <w:rsid w:val="527903F5"/>
    <w:rsid w:val="528F7C18"/>
    <w:rsid w:val="529E60AD"/>
    <w:rsid w:val="52A1794C"/>
    <w:rsid w:val="52E361B6"/>
    <w:rsid w:val="53364665"/>
    <w:rsid w:val="538C23AA"/>
    <w:rsid w:val="53BA6F17"/>
    <w:rsid w:val="53BD3808"/>
    <w:rsid w:val="54372316"/>
    <w:rsid w:val="543A3BB4"/>
    <w:rsid w:val="5491423F"/>
    <w:rsid w:val="54B908EF"/>
    <w:rsid w:val="54DE17E0"/>
    <w:rsid w:val="54E30E33"/>
    <w:rsid w:val="54F26714"/>
    <w:rsid w:val="55CF0BC5"/>
    <w:rsid w:val="55E97640"/>
    <w:rsid w:val="55EC5052"/>
    <w:rsid w:val="55FB5FD9"/>
    <w:rsid w:val="56372AA1"/>
    <w:rsid w:val="5647080A"/>
    <w:rsid w:val="56820E94"/>
    <w:rsid w:val="56AD68BF"/>
    <w:rsid w:val="56DA600B"/>
    <w:rsid w:val="575C7805"/>
    <w:rsid w:val="576A47B0"/>
    <w:rsid w:val="57740C54"/>
    <w:rsid w:val="57AF30A7"/>
    <w:rsid w:val="57C55E8A"/>
    <w:rsid w:val="57FD5624"/>
    <w:rsid w:val="58022C3B"/>
    <w:rsid w:val="581E27FC"/>
    <w:rsid w:val="58915E9A"/>
    <w:rsid w:val="589F0489"/>
    <w:rsid w:val="58A253FD"/>
    <w:rsid w:val="58EF78CA"/>
    <w:rsid w:val="59301A29"/>
    <w:rsid w:val="59B85CA7"/>
    <w:rsid w:val="59D14FBA"/>
    <w:rsid w:val="59F667CF"/>
    <w:rsid w:val="5A4568CF"/>
    <w:rsid w:val="5AB521E6"/>
    <w:rsid w:val="5AC30164"/>
    <w:rsid w:val="5ADD2C4A"/>
    <w:rsid w:val="5AF47CBA"/>
    <w:rsid w:val="5B2829B8"/>
    <w:rsid w:val="5B330D80"/>
    <w:rsid w:val="5B4E6197"/>
    <w:rsid w:val="5BC634A0"/>
    <w:rsid w:val="5BC87CF7"/>
    <w:rsid w:val="5BD82630"/>
    <w:rsid w:val="5BF9175D"/>
    <w:rsid w:val="5C3F445D"/>
    <w:rsid w:val="5CA34DC8"/>
    <w:rsid w:val="5D041203"/>
    <w:rsid w:val="5D064F7B"/>
    <w:rsid w:val="5D115AAB"/>
    <w:rsid w:val="5D1E0517"/>
    <w:rsid w:val="5D403C8D"/>
    <w:rsid w:val="5D537A94"/>
    <w:rsid w:val="5D5F28DD"/>
    <w:rsid w:val="5D915FE6"/>
    <w:rsid w:val="5DEA3DD8"/>
    <w:rsid w:val="5E086D76"/>
    <w:rsid w:val="5E2A6A47"/>
    <w:rsid w:val="5E7C04D8"/>
    <w:rsid w:val="5EB3311C"/>
    <w:rsid w:val="5EBF3633"/>
    <w:rsid w:val="5ED15115"/>
    <w:rsid w:val="5EE66E12"/>
    <w:rsid w:val="5F667F53"/>
    <w:rsid w:val="5FAF36A8"/>
    <w:rsid w:val="5FBB23D9"/>
    <w:rsid w:val="5FC133DB"/>
    <w:rsid w:val="5FE80968"/>
    <w:rsid w:val="60196D73"/>
    <w:rsid w:val="607C7302"/>
    <w:rsid w:val="60B732F5"/>
    <w:rsid w:val="60C541B5"/>
    <w:rsid w:val="60C74A21"/>
    <w:rsid w:val="62166DC4"/>
    <w:rsid w:val="629673D7"/>
    <w:rsid w:val="62BC7E8A"/>
    <w:rsid w:val="62C70D09"/>
    <w:rsid w:val="6300421A"/>
    <w:rsid w:val="63092A34"/>
    <w:rsid w:val="634520A2"/>
    <w:rsid w:val="634975F7"/>
    <w:rsid w:val="638E5DB2"/>
    <w:rsid w:val="63AA090A"/>
    <w:rsid w:val="63C87B70"/>
    <w:rsid w:val="63E94CAF"/>
    <w:rsid w:val="63F36710"/>
    <w:rsid w:val="645E38EF"/>
    <w:rsid w:val="64616F3B"/>
    <w:rsid w:val="64CD519D"/>
    <w:rsid w:val="651B19AF"/>
    <w:rsid w:val="65733C50"/>
    <w:rsid w:val="659C6808"/>
    <w:rsid w:val="65A92947"/>
    <w:rsid w:val="65AA392C"/>
    <w:rsid w:val="65EB09B2"/>
    <w:rsid w:val="65EC0A86"/>
    <w:rsid w:val="65EE0CA2"/>
    <w:rsid w:val="661E3335"/>
    <w:rsid w:val="665C20B0"/>
    <w:rsid w:val="668C1B4A"/>
    <w:rsid w:val="66B07D06"/>
    <w:rsid w:val="66BA652F"/>
    <w:rsid w:val="66D02156"/>
    <w:rsid w:val="66E16111"/>
    <w:rsid w:val="6751773B"/>
    <w:rsid w:val="67713939"/>
    <w:rsid w:val="679338AF"/>
    <w:rsid w:val="67FF7197"/>
    <w:rsid w:val="681D3974"/>
    <w:rsid w:val="681D761D"/>
    <w:rsid w:val="683B02F3"/>
    <w:rsid w:val="684E5A28"/>
    <w:rsid w:val="68A11A77"/>
    <w:rsid w:val="68A33268"/>
    <w:rsid w:val="692C5D69"/>
    <w:rsid w:val="693D1D24"/>
    <w:rsid w:val="695928D6"/>
    <w:rsid w:val="698A2A90"/>
    <w:rsid w:val="6A152CA1"/>
    <w:rsid w:val="6A326E04"/>
    <w:rsid w:val="6A372D2A"/>
    <w:rsid w:val="6A641533"/>
    <w:rsid w:val="6AC761CE"/>
    <w:rsid w:val="6AFB6832"/>
    <w:rsid w:val="6AFC6D40"/>
    <w:rsid w:val="6B706B97"/>
    <w:rsid w:val="6B824366"/>
    <w:rsid w:val="6BAC75D4"/>
    <w:rsid w:val="6BDB5825"/>
    <w:rsid w:val="6BDF3567"/>
    <w:rsid w:val="6BE05AB1"/>
    <w:rsid w:val="6C5A2BED"/>
    <w:rsid w:val="6C8B2DA7"/>
    <w:rsid w:val="6CE16E6B"/>
    <w:rsid w:val="6D4223DD"/>
    <w:rsid w:val="6D4B2536"/>
    <w:rsid w:val="6D5E5B2C"/>
    <w:rsid w:val="6D68758C"/>
    <w:rsid w:val="6D7221B9"/>
    <w:rsid w:val="6DA5433C"/>
    <w:rsid w:val="6DA73C10"/>
    <w:rsid w:val="6DB519B1"/>
    <w:rsid w:val="6DBC51E2"/>
    <w:rsid w:val="6DC8031A"/>
    <w:rsid w:val="6DE24C48"/>
    <w:rsid w:val="6DEF9EAA"/>
    <w:rsid w:val="6E82467D"/>
    <w:rsid w:val="6E8968C4"/>
    <w:rsid w:val="6EBE56B6"/>
    <w:rsid w:val="6ED547AD"/>
    <w:rsid w:val="6F563B40"/>
    <w:rsid w:val="6F993A2D"/>
    <w:rsid w:val="6F9C52CB"/>
    <w:rsid w:val="6FA523D2"/>
    <w:rsid w:val="6FA7EA01"/>
    <w:rsid w:val="6FB16FC8"/>
    <w:rsid w:val="6FBC771B"/>
    <w:rsid w:val="6FCC3E02"/>
    <w:rsid w:val="6FFEB0C1"/>
    <w:rsid w:val="70180DF5"/>
    <w:rsid w:val="70351F79"/>
    <w:rsid w:val="7036127C"/>
    <w:rsid w:val="703D6AAE"/>
    <w:rsid w:val="704B11CB"/>
    <w:rsid w:val="70630A2F"/>
    <w:rsid w:val="706C5B05"/>
    <w:rsid w:val="708E730A"/>
    <w:rsid w:val="70A72FF8"/>
    <w:rsid w:val="70C90342"/>
    <w:rsid w:val="70CB40BA"/>
    <w:rsid w:val="710870BC"/>
    <w:rsid w:val="71DC7C05"/>
    <w:rsid w:val="71F16BB3"/>
    <w:rsid w:val="72077373"/>
    <w:rsid w:val="721F2CC4"/>
    <w:rsid w:val="729F75AC"/>
    <w:rsid w:val="72A9042B"/>
    <w:rsid w:val="72D74F98"/>
    <w:rsid w:val="72F33F2B"/>
    <w:rsid w:val="730B69EF"/>
    <w:rsid w:val="733C304D"/>
    <w:rsid w:val="73942E89"/>
    <w:rsid w:val="750A7972"/>
    <w:rsid w:val="750E27C7"/>
    <w:rsid w:val="752E7510"/>
    <w:rsid w:val="753552A2"/>
    <w:rsid w:val="75866801"/>
    <w:rsid w:val="75A31161"/>
    <w:rsid w:val="75FC6AC3"/>
    <w:rsid w:val="761C40C1"/>
    <w:rsid w:val="762322A2"/>
    <w:rsid w:val="76302D15"/>
    <w:rsid w:val="76B3017A"/>
    <w:rsid w:val="76C010E3"/>
    <w:rsid w:val="76F459ED"/>
    <w:rsid w:val="77476464"/>
    <w:rsid w:val="77493F8A"/>
    <w:rsid w:val="774F7BA9"/>
    <w:rsid w:val="77BD2282"/>
    <w:rsid w:val="77CA22DF"/>
    <w:rsid w:val="77D31AA6"/>
    <w:rsid w:val="77DA4BE2"/>
    <w:rsid w:val="77F71FC7"/>
    <w:rsid w:val="77FBC6E9"/>
    <w:rsid w:val="780D320A"/>
    <w:rsid w:val="781F4CEB"/>
    <w:rsid w:val="783DFCFB"/>
    <w:rsid w:val="788916B9"/>
    <w:rsid w:val="78A41665"/>
    <w:rsid w:val="79052133"/>
    <w:rsid w:val="79A45AB2"/>
    <w:rsid w:val="79BF5F72"/>
    <w:rsid w:val="79D57D57"/>
    <w:rsid w:val="79EE2BC7"/>
    <w:rsid w:val="7A23147A"/>
    <w:rsid w:val="7A2F56B9"/>
    <w:rsid w:val="7A6B246A"/>
    <w:rsid w:val="7A70182E"/>
    <w:rsid w:val="7A7F1A71"/>
    <w:rsid w:val="7A8A6D94"/>
    <w:rsid w:val="7AB67B89"/>
    <w:rsid w:val="7AD718AD"/>
    <w:rsid w:val="7ADD4692"/>
    <w:rsid w:val="7AF34939"/>
    <w:rsid w:val="7B2965AD"/>
    <w:rsid w:val="7B42540E"/>
    <w:rsid w:val="7B4E1B6F"/>
    <w:rsid w:val="7B917CAE"/>
    <w:rsid w:val="7B9B2F04"/>
    <w:rsid w:val="7BC02341"/>
    <w:rsid w:val="7BC97448"/>
    <w:rsid w:val="7C0B664A"/>
    <w:rsid w:val="7C376AA7"/>
    <w:rsid w:val="7C7D2630"/>
    <w:rsid w:val="7C991510"/>
    <w:rsid w:val="7CB63E70"/>
    <w:rsid w:val="7D050953"/>
    <w:rsid w:val="7D0E4DAE"/>
    <w:rsid w:val="7D6FDF7D"/>
    <w:rsid w:val="7DE93DD1"/>
    <w:rsid w:val="7DF74740"/>
    <w:rsid w:val="7E110BC2"/>
    <w:rsid w:val="7E576F8D"/>
    <w:rsid w:val="7E6D67B0"/>
    <w:rsid w:val="7EE31C41"/>
    <w:rsid w:val="7EFC7B34"/>
    <w:rsid w:val="7F0C421B"/>
    <w:rsid w:val="7F0E5AF6"/>
    <w:rsid w:val="7F5D6825"/>
    <w:rsid w:val="7F8738A2"/>
    <w:rsid w:val="7F8F7C51"/>
    <w:rsid w:val="7FC5F8EB"/>
    <w:rsid w:val="7FDD9631"/>
    <w:rsid w:val="9FF7C847"/>
    <w:rsid w:val="AF745AB7"/>
    <w:rsid w:val="D777429D"/>
    <w:rsid w:val="DA2E4D97"/>
    <w:rsid w:val="DD75C901"/>
    <w:rsid w:val="F3AF8472"/>
    <w:rsid w:val="F4D636BF"/>
    <w:rsid w:val="FB57C8CB"/>
    <w:rsid w:val="FCFE323B"/>
    <w:rsid w:val="FEB72BE0"/>
    <w:rsid w:val="FF3729A0"/>
    <w:rsid w:val="FF5ADC01"/>
    <w:rsid w:val="FF7ADAC4"/>
    <w:rsid w:val="FFEF5EA0"/>
    <w:rsid w:val="FFF6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left="200" w:leftChars="200"/>
    </w:pPr>
  </w:style>
  <w:style w:type="paragraph" w:styleId="7">
    <w:name w:val="Body Text"/>
    <w:basedOn w:val="1"/>
    <w:next w:val="1"/>
    <w:qFormat/>
    <w:uiPriority w:val="0"/>
    <w:pPr>
      <w:spacing w:after="120"/>
    </w:pPr>
    <w:rPr>
      <w:rFonts w:hAnsi="Times New Roman"/>
      <w:sz w:val="34"/>
    </w:rPr>
  </w:style>
  <w:style w:type="paragraph" w:styleId="8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kern w:val="2"/>
      <w:sz w:val="18"/>
      <w:szCs w:val="24"/>
      <w:lang w:val="en-US" w:eastAsia="zh-CN" w:bidi="ar-SA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NormalIndent"/>
    <w:basedOn w:val="1"/>
    <w:qFormat/>
    <w:uiPriority w:val="0"/>
    <w:pPr>
      <w:ind w:firstLine="680"/>
      <w:textAlignment w:val="baseline"/>
    </w:pPr>
    <w:rPr>
      <w:rFonts w:eastAsia="文鼎CS仿宋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6234</Words>
  <Characters>6517</Characters>
  <Lines>44</Lines>
  <Paragraphs>12</Paragraphs>
  <TotalTime>86</TotalTime>
  <ScaleCrop>false</ScaleCrop>
  <LinksUpToDate>false</LinksUpToDate>
  <CharactersWithSpaces>6550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2022-05-17T18:13:00Z</dcterms:created>
  <dc:creator>Administrator</dc:creator>
  <cp:lastModifiedBy>Administrator</cp:lastModifiedBy>
  <cp:lastPrinted>2022-05-21T13:38:00Z</cp:lastPrinted>
  <dcterms:modified xsi:type="dcterms:W3CDTF">2022-05-20T01:47:21Z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7BF113526F814DD68AD9EF9A79B68B3A</vt:lpwstr>
  </property>
</Properties>
</file>