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全省机关事务工作会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暨党风廉政建设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党建工作会议</w:t>
      </w:r>
      <w:r>
        <w:rPr>
          <w:rFonts w:hint="eastAsia" w:ascii="方正小标宋简体" w:eastAsia="方正小标宋简体"/>
          <w:sz w:val="44"/>
          <w:szCs w:val="44"/>
        </w:rPr>
        <w:t>在成都召开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28日</w:t>
      </w:r>
      <w:r>
        <w:rPr>
          <w:rFonts w:ascii="Times New Roman" w:hAnsi="Times New Roman" w:eastAsia="仿宋_GB2312" w:cs="Times New Roman"/>
          <w:sz w:val="32"/>
          <w:szCs w:val="32"/>
        </w:rPr>
        <w:t>，全省机关事务工作会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暨党风廉政建设党建工作会</w:t>
      </w:r>
      <w:r>
        <w:rPr>
          <w:rFonts w:ascii="Times New Roman" w:hAnsi="Times New Roman" w:eastAsia="仿宋_GB2312" w:cs="Times New Roman"/>
          <w:sz w:val="32"/>
          <w:szCs w:val="32"/>
        </w:rPr>
        <w:t>议在成都召开。会议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深入学习贯彻党的十九大精神，以及习近平总书记对四川工作系列重要指示精神，全面贯彻落实省委十一届三次、四次全会精神，认真落实省委省政府和国管局部署要求，回顾总结2018年全省机关事务工作，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分析研判面临的新形势新任务新要求，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安排部署2019年重点任务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省政府副秘书长，</w:t>
      </w:r>
      <w:r>
        <w:rPr>
          <w:rFonts w:ascii="Times New Roman" w:hAnsi="Times New Roman" w:eastAsia="仿宋_GB2312" w:cs="Times New Roman"/>
          <w:sz w:val="32"/>
          <w:szCs w:val="32"/>
        </w:rPr>
        <w:t>省机关事务管理局党组书记、局长郭春英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出席会议并讲话</w:t>
      </w:r>
      <w:r>
        <w:rPr>
          <w:rFonts w:hint="eastAsia" w:ascii="Times New Roman" w:cs="Times New Roman"/>
          <w:sz w:val="32"/>
          <w:szCs w:val="32"/>
          <w:lang w:eastAsia="zh-CN"/>
        </w:rPr>
        <w:t>。</w:t>
      </w:r>
      <w:r>
        <w:rPr>
          <w:rFonts w:hint="eastAsia" w:ascii="Times New Roman"/>
          <w:lang w:eastAsia="zh-CN"/>
        </w:rPr>
        <w:t>省纪委监委驻</w:t>
      </w:r>
      <w:r>
        <w:rPr>
          <w:rFonts w:hint="eastAsia" w:ascii="Times New Roman"/>
        </w:rPr>
        <w:t>局纪检</w:t>
      </w:r>
      <w:r>
        <w:rPr>
          <w:rFonts w:hint="eastAsia" w:ascii="Times New Roman"/>
          <w:lang w:eastAsia="zh-CN"/>
        </w:rPr>
        <w:t>监察组</w:t>
      </w:r>
      <w:r>
        <w:rPr>
          <w:rFonts w:hint="eastAsia" w:ascii="Times New Roman"/>
        </w:rPr>
        <w:t>组长、</w:t>
      </w:r>
      <w:r>
        <w:rPr>
          <w:rFonts w:hint="eastAsia" w:ascii="Times New Roman"/>
          <w:lang w:eastAsia="zh-CN"/>
        </w:rPr>
        <w:t>局</w:t>
      </w:r>
      <w:r>
        <w:rPr>
          <w:rFonts w:hint="eastAsia" w:ascii="Times New Roman"/>
        </w:rPr>
        <w:t>党组成员苏虎彪</w:t>
      </w:r>
      <w:r>
        <w:rPr>
          <w:rFonts w:hint="eastAsia" w:ascii="Times New Roman" w:eastAsia="宋体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局党组成员、机关党委书记舒渠丰分别就</w:t>
      </w:r>
      <w:r>
        <w:rPr>
          <w:rFonts w:hint="eastAsia" w:ascii="Times New Roman"/>
          <w:lang w:eastAsia="zh-CN"/>
        </w:rPr>
        <w:t>党风廉政建设和</w:t>
      </w:r>
      <w:r>
        <w:rPr>
          <w:rFonts w:hint="eastAsia" w:eastAsia="仿宋_GB2312"/>
          <w:sz w:val="32"/>
          <w:szCs w:val="32"/>
          <w:lang w:eastAsia="zh-CN"/>
        </w:rPr>
        <w:t>党建工作</w:t>
      </w:r>
      <w:r>
        <w:rPr>
          <w:rFonts w:hint="eastAsia"/>
          <w:sz w:val="32"/>
          <w:szCs w:val="32"/>
          <w:lang w:eastAsia="zh-CN"/>
        </w:rPr>
        <w:t>作了讲话</w:t>
      </w:r>
      <w:r>
        <w:rPr>
          <w:rFonts w:hint="eastAsia" w:ascii="Times New Roman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/>
        </w:rPr>
      </w:pPr>
      <w:r>
        <w:rPr>
          <w:rFonts w:hint="eastAsia" w:ascii="Times New Roman"/>
        </w:rPr>
        <w:t>会议认为，2018年，</w:t>
      </w:r>
      <w:r>
        <w:rPr>
          <w:rFonts w:hint="eastAsia" w:ascii="Times New Roman"/>
          <w:lang w:eastAsia="zh-CN"/>
        </w:rPr>
        <w:t>全省机关事务管理系统聚焦</w:t>
      </w:r>
      <w:r>
        <w:rPr>
          <w:rFonts w:hint="eastAsia" w:ascii="Times New Roman"/>
        </w:rPr>
        <w:t>“西部领先、全国一流”工作目标，</w:t>
      </w:r>
      <w:r>
        <w:rPr>
          <w:rFonts w:hint="default" w:ascii="Times New Roman"/>
        </w:rPr>
        <w:t>围绕中心</w:t>
      </w:r>
      <w:r>
        <w:rPr>
          <w:rFonts w:hint="eastAsia" w:ascii="Times New Roman"/>
          <w:lang w:eastAsia="zh-CN"/>
        </w:rPr>
        <w:t>，</w:t>
      </w:r>
      <w:r>
        <w:rPr>
          <w:rFonts w:hint="default" w:ascii="Times New Roman"/>
        </w:rPr>
        <w:t>服务大局</w:t>
      </w:r>
      <w:r>
        <w:rPr>
          <w:rFonts w:hint="eastAsia" w:ascii="Times New Roman"/>
          <w:lang w:eastAsia="zh-CN"/>
        </w:rPr>
        <w:t>，</w:t>
      </w:r>
      <w:r>
        <w:rPr>
          <w:rFonts w:hint="default" w:ascii="Times New Roman"/>
        </w:rPr>
        <w:t>创新开展“质量提升年”</w:t>
      </w:r>
      <w:r>
        <w:rPr>
          <w:rFonts w:hint="eastAsia" w:ascii="Times New Roman"/>
          <w:lang w:eastAsia="zh-CN"/>
        </w:rPr>
        <w:t>活动和</w:t>
      </w:r>
      <w:r>
        <w:rPr>
          <w:rFonts w:hint="default" w:ascii="Times New Roman"/>
        </w:rPr>
        <w:t>“法治化+机关事务”“标准化+机关事务”</w:t>
      </w:r>
      <w:r>
        <w:rPr>
          <w:rFonts w:hint="eastAsia" w:ascii="Times New Roman"/>
          <w:lang w:eastAsia="zh-CN"/>
        </w:rPr>
        <w:t>“信息化</w:t>
      </w:r>
      <w:r>
        <w:rPr>
          <w:rFonts w:hint="eastAsia" w:ascii="Times New Roman"/>
          <w:lang w:val="en-US" w:eastAsia="zh-CN"/>
        </w:rPr>
        <w:t>+机关事务</w:t>
      </w:r>
      <w:r>
        <w:rPr>
          <w:rFonts w:hint="eastAsia" w:ascii="Times New Roman"/>
          <w:lang w:eastAsia="zh-CN"/>
        </w:rPr>
        <w:t>”</w:t>
      </w:r>
      <w:r>
        <w:rPr>
          <w:rFonts w:hint="default" w:ascii="Times New Roman"/>
        </w:rPr>
        <w:t>建设，</w:t>
      </w:r>
      <w:r>
        <w:rPr>
          <w:rFonts w:hint="eastAsia" w:ascii="Times New Roman"/>
          <w:lang w:eastAsia="zh-CN"/>
        </w:rPr>
        <w:t>推动工作提质增效；</w:t>
      </w:r>
      <w:r>
        <w:rPr>
          <w:rFonts w:hint="default" w:ascii="Times New Roman"/>
        </w:rPr>
        <w:t>突出公共机构节能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</w:rPr>
        <w:t>国有资产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</w:rPr>
        <w:t>办公用房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</w:rPr>
        <w:t>公务用车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</w:rPr>
        <w:t>国内公务接待</w:t>
      </w:r>
      <w:r>
        <w:rPr>
          <w:rFonts w:hint="eastAsia" w:ascii="Times New Roman"/>
          <w:lang w:eastAsia="zh-CN"/>
        </w:rPr>
        <w:t>等</w:t>
      </w:r>
      <w:r>
        <w:rPr>
          <w:rFonts w:hint="default" w:ascii="Times New Roman"/>
        </w:rPr>
        <w:t>重点领域</w:t>
      </w:r>
      <w:r>
        <w:rPr>
          <w:rFonts w:hint="eastAsia" w:ascii="Times New Roman"/>
          <w:lang w:eastAsia="zh-CN"/>
        </w:rPr>
        <w:t>，不断强化科学管理；狠抓</w:t>
      </w:r>
      <w:r>
        <w:rPr>
          <w:rFonts w:hint="default" w:ascii="Times New Roman"/>
        </w:rPr>
        <w:t>机构改革资产保障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</w:rPr>
        <w:t>职能</w:t>
      </w:r>
      <w:r>
        <w:rPr>
          <w:rFonts w:hint="eastAsia" w:ascii="Times New Roman"/>
          <w:lang w:eastAsia="zh-CN"/>
        </w:rPr>
        <w:t>服务和</w:t>
      </w:r>
      <w:r>
        <w:rPr>
          <w:rFonts w:hint="default" w:ascii="Times New Roman"/>
        </w:rPr>
        <w:t>精准开展扶贫</w:t>
      </w:r>
      <w:r>
        <w:rPr>
          <w:rFonts w:hint="eastAsia" w:ascii="Times New Roman"/>
          <w:lang w:eastAsia="zh-CN"/>
        </w:rPr>
        <w:t>，持续提升保障水平；扎实</w:t>
      </w:r>
      <w:r>
        <w:rPr>
          <w:rFonts w:hint="default" w:ascii="Times New Roman"/>
        </w:rPr>
        <w:t>推进</w:t>
      </w:r>
      <w:r>
        <w:rPr>
          <w:rFonts w:hint="eastAsia" w:ascii="Times New Roman"/>
          <w:lang w:eastAsia="zh-CN"/>
        </w:rPr>
        <w:t>党风廉政建设、</w:t>
      </w:r>
      <w:r>
        <w:rPr>
          <w:rFonts w:hint="default" w:ascii="Times New Roman"/>
        </w:rPr>
        <w:t>“大学习、大讨论、大调研”活动</w:t>
      </w:r>
      <w:r>
        <w:rPr>
          <w:rFonts w:hint="eastAsia" w:ascii="Times New Roman"/>
          <w:lang w:eastAsia="zh-CN"/>
        </w:rPr>
        <w:t>、</w:t>
      </w:r>
      <w:r>
        <w:rPr>
          <w:rFonts w:hint="default" w:ascii="Times New Roman"/>
        </w:rPr>
        <w:t>干部队伍</w:t>
      </w:r>
      <w:r>
        <w:rPr>
          <w:rFonts w:hint="eastAsia" w:ascii="Times New Roman"/>
          <w:lang w:eastAsia="zh-CN"/>
        </w:rPr>
        <w:t>和</w:t>
      </w:r>
      <w:r>
        <w:rPr>
          <w:rFonts w:hint="default" w:ascii="Times New Roman"/>
        </w:rPr>
        <w:t>行业建设</w:t>
      </w:r>
      <w:r>
        <w:rPr>
          <w:rFonts w:hint="eastAsia" w:ascii="Times New Roman"/>
          <w:lang w:eastAsia="zh-CN"/>
        </w:rPr>
        <w:t>，着力提升履职能力。一年来，机关事务</w:t>
      </w:r>
      <w:r>
        <w:rPr>
          <w:rFonts w:hint="eastAsia" w:ascii="Times New Roman"/>
        </w:rPr>
        <w:t>各项工作取得新的进步和成效，</w:t>
      </w:r>
      <w:r>
        <w:rPr>
          <w:rFonts w:hint="default" w:ascii="Times New Roman"/>
        </w:rPr>
        <w:t>为党委政府中心工作提供了坚强有力的服务保障。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会议指出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2019年是新中国成立70周年，是全面建成小康社会、实现第一个百年奋斗目标的关键之年，是全面贯彻省委十一届三次、四次全会部署的落实之年。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深刻认识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政治建设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的新要求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，进一步提高全省机关事务工作政治站位</w:t>
      </w:r>
      <w:r>
        <w:rPr>
          <w:rFonts w:hint="eastAsia" w:ascii="Times New Roman" w:cs="Times New Roman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深刻认识改革开放永远在路上的新要求，进一步以改革创新精神推动机关事务事业发展</w:t>
      </w:r>
      <w:r>
        <w:rPr>
          <w:rFonts w:hint="eastAsia" w:ascii="Times New Roman" w:cs="Times New Roman"/>
          <w:b w:val="0"/>
          <w:bCs w:val="0"/>
          <w:color w:val="000000"/>
          <w:sz w:val="32"/>
          <w:szCs w:val="32"/>
          <w:lang w:eastAsia="zh-CN"/>
        </w:rPr>
        <w:t>；要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深刻认识推动高质量发展的新要求，进一步提升全省机关事务工作效能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会议强调，201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年全省机关事务工作总体思路是：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习近平新时代中国特色社会主义思想为指导，全面贯彻党的十九大精神，认真落实省委十一届三次、四次全会和省纪委十一届三次全会部署，紧紧围绕“西部领先、全国一流”工作目标，坚持高质量管理服务保障理念，坚持推动“三个转变”（机关事务工作从经验管理向科学管理转变，从被动服务向主动服务转变，从粗放保障向高效保障转变），坚持打造“五型机关”（学习型机关、创新型机关、服务型机关、节约型机关、廉洁型机关），坚持深化“六化建设”（法治化、标准化、信息化、集约化、精准化、专业化建设），重点推进“质量提升年”活动，节约型和廉洁型机关建设，法治化+机关事务、标准化+机关事务、信息化+机关事务，全面提升全省机关事务服务保障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会议明确，要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着力抓好七个方面工作。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着力抓好国有资产管理。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建立国有资产调配处置服务机制，争取年内上线运行省级机关国有资产处置服务平台。探索创建“公物仓”国有资产管理模式，推进机关国有资产共享、公用和集约化管理。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着力抓好办公用房管理。完善办公用房管理配套制度建设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优化省级机关办公用房配置，开展省直机关办公楼测绘和调查统计工作，建设四川省党政机关房地产管理信息化平台。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着力抓好公务用车管理。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构建完善的公务用车配备使用管理制度体系，加大全省公务用车管理平台应用推广力度。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着力抓好公共机构节能工作。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探索源资源消费基准线和能耗定额标准，编制出台节电节水规范地方标准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抓好示范单位创建。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着力抓好其他管理服务工作。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开展政府部门机关运行成本统计调查工作，建立年度服务需求工作台账，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认真做好后勤服务保障工作。六是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着力抓好自身建设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强化政策理论研究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，抓好干部队伍建设，加强机关事务文化建设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七是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着力抓好党建和党风廉政建设。深刻汲取蒲波严重违纪违法案教训，持续推进“两学一做”学习教育常态化制度化，扎实开展“不忘初心、牢记使命”主题教育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持续开展内部作风巡察及意见反馈整改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会议要求，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全省机关事务管理系统要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习近平新时代中国特色社会主义思想为指导，不断强化“四个意识”，坚定“四个自信”，切实做到“两个维护”，进一步围绕党委政府中心工作，狠抓落实、奋力前行，不断提升新时代机关事务服务保障质量和水平，为推动治蜀兴川再上新台阶作出新的更大贡献，以优异成绩迎接中华人民共和国成立70周年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会议期间，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四川大学公共管理学院党委书记姜晓萍教授围绕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机关效能建设与服务能力提升，四川大学公共管理学院王谦教授</w:t>
      </w:r>
      <w:r>
        <w:rPr>
          <w:rFonts w:hint="eastAsia" w:eastAsia="仿宋_GB2312"/>
          <w:sz w:val="32"/>
          <w:szCs w:val="32"/>
          <w:lang w:val="en-US" w:eastAsia="zh-CN"/>
        </w:rPr>
        <w:t>围绕</w:t>
      </w:r>
      <w:r>
        <w:rPr>
          <w:rFonts w:hint="eastAsia" w:eastAsia="仿宋_GB2312"/>
          <w:sz w:val="32"/>
          <w:szCs w:val="32"/>
        </w:rPr>
        <w:t>互联网+、大数据与政府治理创新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，分别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作了专题授课；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省局二级巡视员李士达通报了全省公务用车平台建设及使用情况；成都市机关事务管理局、宜宾市委机关事务管理局、省统计局、广元市人民政府驻成都办事处作了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发言交流；与会人员围绕高质量推进机关事务服务保障水平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等方面开展了分组讨论。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各市（州）机关事务</w:t>
      </w:r>
      <w:r>
        <w:rPr>
          <w:rFonts w:hint="eastAsia" w:eastAsia="仿宋_GB2312"/>
          <w:sz w:val="32"/>
          <w:szCs w:val="32"/>
        </w:rPr>
        <w:t>主管</w:t>
      </w:r>
      <w:r>
        <w:rPr>
          <w:rFonts w:eastAsia="仿宋_GB2312"/>
          <w:sz w:val="32"/>
          <w:szCs w:val="32"/>
        </w:rPr>
        <w:t>部门主要负责同志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派驻纪检监察组组长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办公室负责同志，省直有关部门机关事务管理机构负责同志，市（州）人民政府驻蓉办事处有关负责同志，省局领导班子成员、机关处（室）</w:t>
      </w:r>
      <w:r>
        <w:rPr>
          <w:rFonts w:hint="eastAsia"/>
          <w:sz w:val="32"/>
          <w:szCs w:val="32"/>
          <w:lang w:eastAsia="zh-CN"/>
        </w:rPr>
        <w:t>全体干部职工</w:t>
      </w:r>
      <w:r>
        <w:rPr>
          <w:rFonts w:eastAsia="仿宋_GB2312"/>
          <w:sz w:val="32"/>
          <w:szCs w:val="32"/>
        </w:rPr>
        <w:t>、局属单位班子成员及离休、退休支部书记</w:t>
      </w:r>
      <w:r>
        <w:rPr>
          <w:rFonts w:ascii="Times New Roman" w:hAnsi="Times New Roman" w:eastAsia="仿宋_GB2312" w:cs="Times New Roman"/>
          <w:sz w:val="32"/>
          <w:szCs w:val="32"/>
        </w:rPr>
        <w:t>参加会议。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758815" cy="3544570"/>
            <wp:effectExtent l="0" t="0" r="13335" b="17780"/>
            <wp:docPr id="9" name="图片 9" descr="6S4A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S4A8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754370" cy="3796030"/>
            <wp:effectExtent l="0" t="0" r="17780" b="13970"/>
            <wp:docPr id="10" name="图片 10" descr="6S4A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S4A87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3520" w:firstLineChars="11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图为：会议现场</w:t>
      </w:r>
    </w:p>
    <w:p>
      <w:pPr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753100" cy="3886835"/>
            <wp:effectExtent l="0" t="0" r="0" b="18415"/>
            <wp:docPr id="3" name="图片 3" descr="DSC_017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0174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758815" cy="3720465"/>
            <wp:effectExtent l="0" t="0" r="13335" b="13335"/>
            <wp:docPr id="7" name="图片 7" descr="6S4A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S4A85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图为：专家授课</w:t>
      </w:r>
    </w:p>
    <w:p>
      <w:pPr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01335" cy="3435350"/>
            <wp:effectExtent l="0" t="0" r="18415" b="12700"/>
            <wp:docPr id="8" name="图片 8" descr="6S4A8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S4A88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3219" w:firstLineChars="100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图为：会议交流</w:t>
      </w:r>
    </w:p>
    <w:p>
      <w:pPr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38165" cy="3503295"/>
            <wp:effectExtent l="0" t="0" r="635" b="1905"/>
            <wp:docPr id="11" name="图片 11" descr="DSC_012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SC_0121_副本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图为：与会人员分组交流</w:t>
      </w:r>
    </w:p>
    <w:sectPr>
      <w:footerReference r:id="rId3" w:type="default"/>
      <w:pgSz w:w="11906" w:h="16838"/>
      <w:pgMar w:top="2098" w:right="1418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A8"/>
    <w:rsid w:val="00015FF8"/>
    <w:rsid w:val="000253BD"/>
    <w:rsid w:val="00033652"/>
    <w:rsid w:val="000503BA"/>
    <w:rsid w:val="00087C74"/>
    <w:rsid w:val="000B11F5"/>
    <w:rsid w:val="000F0246"/>
    <w:rsid w:val="000F6042"/>
    <w:rsid w:val="001067A8"/>
    <w:rsid w:val="00113672"/>
    <w:rsid w:val="001632AE"/>
    <w:rsid w:val="00193D90"/>
    <w:rsid w:val="001B234A"/>
    <w:rsid w:val="001D2B8C"/>
    <w:rsid w:val="001F0275"/>
    <w:rsid w:val="0025088E"/>
    <w:rsid w:val="00254D72"/>
    <w:rsid w:val="00271F00"/>
    <w:rsid w:val="00291F6A"/>
    <w:rsid w:val="00321DCB"/>
    <w:rsid w:val="00365EF4"/>
    <w:rsid w:val="00377458"/>
    <w:rsid w:val="004521D0"/>
    <w:rsid w:val="00457C08"/>
    <w:rsid w:val="004862FA"/>
    <w:rsid w:val="004B7CE5"/>
    <w:rsid w:val="004C262F"/>
    <w:rsid w:val="004C3E24"/>
    <w:rsid w:val="004F1C29"/>
    <w:rsid w:val="00503058"/>
    <w:rsid w:val="005368CD"/>
    <w:rsid w:val="00540E71"/>
    <w:rsid w:val="00542AF7"/>
    <w:rsid w:val="00553F45"/>
    <w:rsid w:val="00581281"/>
    <w:rsid w:val="005A6250"/>
    <w:rsid w:val="005B457C"/>
    <w:rsid w:val="005C073C"/>
    <w:rsid w:val="005C17A8"/>
    <w:rsid w:val="005D6931"/>
    <w:rsid w:val="005F56EE"/>
    <w:rsid w:val="005F76F2"/>
    <w:rsid w:val="006003EE"/>
    <w:rsid w:val="0063054A"/>
    <w:rsid w:val="006455E4"/>
    <w:rsid w:val="00667DC2"/>
    <w:rsid w:val="0067698E"/>
    <w:rsid w:val="006810A0"/>
    <w:rsid w:val="006854F4"/>
    <w:rsid w:val="00693404"/>
    <w:rsid w:val="006A460F"/>
    <w:rsid w:val="006B7D44"/>
    <w:rsid w:val="006D6680"/>
    <w:rsid w:val="0075611E"/>
    <w:rsid w:val="00777F41"/>
    <w:rsid w:val="00792ACB"/>
    <w:rsid w:val="007A63FB"/>
    <w:rsid w:val="007D71FE"/>
    <w:rsid w:val="008704B3"/>
    <w:rsid w:val="00894925"/>
    <w:rsid w:val="0089713F"/>
    <w:rsid w:val="00897911"/>
    <w:rsid w:val="008D6EF3"/>
    <w:rsid w:val="00930B35"/>
    <w:rsid w:val="009507A5"/>
    <w:rsid w:val="00962EFE"/>
    <w:rsid w:val="009703B9"/>
    <w:rsid w:val="00973483"/>
    <w:rsid w:val="00991543"/>
    <w:rsid w:val="009C6790"/>
    <w:rsid w:val="009C67EB"/>
    <w:rsid w:val="009E0790"/>
    <w:rsid w:val="009E51FA"/>
    <w:rsid w:val="009E53C9"/>
    <w:rsid w:val="00A10BBC"/>
    <w:rsid w:val="00A11797"/>
    <w:rsid w:val="00A34AE4"/>
    <w:rsid w:val="00A361C8"/>
    <w:rsid w:val="00A416DD"/>
    <w:rsid w:val="00A928E5"/>
    <w:rsid w:val="00A95FEF"/>
    <w:rsid w:val="00AC7014"/>
    <w:rsid w:val="00AF1182"/>
    <w:rsid w:val="00B11213"/>
    <w:rsid w:val="00B30557"/>
    <w:rsid w:val="00B331DE"/>
    <w:rsid w:val="00B42C24"/>
    <w:rsid w:val="00B45C8E"/>
    <w:rsid w:val="00B46F4C"/>
    <w:rsid w:val="00B60BB5"/>
    <w:rsid w:val="00B6117A"/>
    <w:rsid w:val="00B67ADE"/>
    <w:rsid w:val="00B821F9"/>
    <w:rsid w:val="00B957BF"/>
    <w:rsid w:val="00B97094"/>
    <w:rsid w:val="00BC22ED"/>
    <w:rsid w:val="00BE492F"/>
    <w:rsid w:val="00C3347A"/>
    <w:rsid w:val="00C438F3"/>
    <w:rsid w:val="00C94231"/>
    <w:rsid w:val="00CA221E"/>
    <w:rsid w:val="00CC79FE"/>
    <w:rsid w:val="00CD0490"/>
    <w:rsid w:val="00CF693F"/>
    <w:rsid w:val="00D20EE3"/>
    <w:rsid w:val="00D41782"/>
    <w:rsid w:val="00E0575F"/>
    <w:rsid w:val="00E42195"/>
    <w:rsid w:val="00E57D13"/>
    <w:rsid w:val="00E91F2E"/>
    <w:rsid w:val="00E94CC1"/>
    <w:rsid w:val="00EA2929"/>
    <w:rsid w:val="00EF235A"/>
    <w:rsid w:val="00F0602B"/>
    <w:rsid w:val="00F14E75"/>
    <w:rsid w:val="00F15F84"/>
    <w:rsid w:val="00F43FD3"/>
    <w:rsid w:val="00F8272F"/>
    <w:rsid w:val="00FD1B55"/>
    <w:rsid w:val="00FD3854"/>
    <w:rsid w:val="00FE1B99"/>
    <w:rsid w:val="00FF3574"/>
    <w:rsid w:val="00FF3ED7"/>
    <w:rsid w:val="01032F24"/>
    <w:rsid w:val="015B3B2B"/>
    <w:rsid w:val="02CB1141"/>
    <w:rsid w:val="05826E62"/>
    <w:rsid w:val="078B4176"/>
    <w:rsid w:val="07CF79DF"/>
    <w:rsid w:val="07EE0BAF"/>
    <w:rsid w:val="0A196976"/>
    <w:rsid w:val="0A645B60"/>
    <w:rsid w:val="0BDD4D0F"/>
    <w:rsid w:val="0C802A3E"/>
    <w:rsid w:val="0E3F63FA"/>
    <w:rsid w:val="127B4B38"/>
    <w:rsid w:val="144A5749"/>
    <w:rsid w:val="179557BE"/>
    <w:rsid w:val="190F7F26"/>
    <w:rsid w:val="1D9E1082"/>
    <w:rsid w:val="1F4A670E"/>
    <w:rsid w:val="1FFE3BE0"/>
    <w:rsid w:val="20032CCA"/>
    <w:rsid w:val="20E61FA5"/>
    <w:rsid w:val="21C81008"/>
    <w:rsid w:val="2A121E40"/>
    <w:rsid w:val="2A5F78A4"/>
    <w:rsid w:val="2C017351"/>
    <w:rsid w:val="2C230974"/>
    <w:rsid w:val="2D692ED6"/>
    <w:rsid w:val="32E9087B"/>
    <w:rsid w:val="35354C0E"/>
    <w:rsid w:val="357F4660"/>
    <w:rsid w:val="35F32B7A"/>
    <w:rsid w:val="3972726F"/>
    <w:rsid w:val="3B835766"/>
    <w:rsid w:val="412F0A57"/>
    <w:rsid w:val="45B11B4F"/>
    <w:rsid w:val="493B6916"/>
    <w:rsid w:val="4AFF7674"/>
    <w:rsid w:val="4CDC4F75"/>
    <w:rsid w:val="4F8E639C"/>
    <w:rsid w:val="5705072E"/>
    <w:rsid w:val="58A90A48"/>
    <w:rsid w:val="59DF2B29"/>
    <w:rsid w:val="5BB87B7F"/>
    <w:rsid w:val="5C797F9F"/>
    <w:rsid w:val="60001ACC"/>
    <w:rsid w:val="62AC484D"/>
    <w:rsid w:val="64BC2C08"/>
    <w:rsid w:val="6772440F"/>
    <w:rsid w:val="68316D37"/>
    <w:rsid w:val="6D006260"/>
    <w:rsid w:val="6E552A94"/>
    <w:rsid w:val="755C5DD4"/>
    <w:rsid w:val="7975253C"/>
    <w:rsid w:val="7C6A4E2C"/>
    <w:rsid w:val="7CD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ksi正文"/>
    <w:qFormat/>
    <w:uiPriority w:val="0"/>
    <w:pPr>
      <w:spacing w:line="560" w:lineRule="exact"/>
    </w:pPr>
    <w:rPr>
      <w:rFonts w:ascii="仿宋_GB2312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1526</Characters>
  <Lines>12</Lines>
  <Paragraphs>3</Paragraphs>
  <TotalTime>46</TotalTime>
  <ScaleCrop>false</ScaleCrop>
  <LinksUpToDate>false</LinksUpToDate>
  <CharactersWithSpaces>1790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2018-02-02T01:30:00Z</dcterms:created>
  <dc:creator>kenshin</dc:creator>
  <cp:lastModifiedBy>admin</cp:lastModifiedBy>
  <cp:lastPrinted>2019-03-01T08:41:00Z</cp:lastPrinted>
  <dcterms:modified xsi:type="dcterms:W3CDTF">2019-03-01T09:20:23Z</dcterms:modified>
  <cp:revision>413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