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4" w:lineRule="exact"/>
        <w:ind w:firstLine="640" w:firstLineChars="200"/>
        <w:jc w:val="center"/>
        <w:rPr>
          <w:rFonts w:hint="eastAsia" w:ascii="方正小标宋简体" w:eastAsia="方正小标宋简体" w:hAnsiTheme="minorEastAsia" w:cstheme="minorEastAsia"/>
          <w:color w:val="000000"/>
          <w:sz w:val="32"/>
          <w:szCs w:val="32"/>
        </w:rPr>
      </w:pPr>
      <w:r>
        <w:rPr>
          <w:rFonts w:hint="eastAsia" w:ascii="方正小标宋简体" w:eastAsia="方正小标宋简体" w:hAnsiTheme="minorEastAsia" w:cstheme="minorEastAsia"/>
          <w:color w:val="000000"/>
          <w:sz w:val="32"/>
          <w:szCs w:val="32"/>
        </w:rPr>
        <w:t>联合惩戒——让失信者步履为艰</w:t>
      </w:r>
    </w:p>
    <w:p>
      <w:pPr>
        <w:spacing w:line="544" w:lineRule="exact"/>
        <w:ind w:firstLine="560" w:firstLineChars="200"/>
        <w:jc w:val="center"/>
        <w:rPr>
          <w:rFonts w:hint="eastAsia" w:ascii="方正小标宋简体" w:eastAsia="方正小标宋简体" w:hAnsiTheme="minorEastAsia" w:cstheme="minorEastAsia"/>
          <w:color w:val="000000"/>
          <w:sz w:val="28"/>
          <w:szCs w:val="28"/>
        </w:rPr>
      </w:pPr>
      <w:r>
        <w:rPr>
          <w:rFonts w:hint="eastAsia" w:ascii="方正小标宋简体" w:eastAsia="方正小标宋简体" w:hAnsiTheme="minorEastAsia" w:cstheme="minorEastAsia"/>
          <w:color w:val="000000"/>
          <w:sz w:val="28"/>
          <w:szCs w:val="28"/>
        </w:rPr>
        <w:t>——《关于建立完善守信联合激励和失信联合惩戒制度加快推进社会诚信建设的指导意见》的解读</w:t>
      </w:r>
    </w:p>
    <w:p>
      <w:pPr>
        <w:spacing w:line="544" w:lineRule="exact"/>
        <w:ind w:firstLine="560" w:firstLineChars="200"/>
        <w:jc w:val="left"/>
        <w:rPr>
          <w:rFonts w:hint="eastAsia" w:ascii="仿宋_GB2312" w:eastAsia="仿宋_GB2312" w:hAnsiTheme="minorEastAsia" w:cstheme="minorEastAsia"/>
          <w:bCs/>
          <w:color w:val="000000"/>
          <w:sz w:val="28"/>
          <w:szCs w:val="28"/>
        </w:rPr>
      </w:pPr>
    </w:p>
    <w:p>
      <w:pPr>
        <w:spacing w:line="544" w:lineRule="exact"/>
        <w:ind w:firstLine="560" w:firstLineChars="200"/>
        <w:jc w:val="left"/>
        <w:rPr>
          <w:rFonts w:hint="eastAsia" w:ascii="仿宋_GB2312" w:eastAsia="仿宋_GB2312" w:hAnsiTheme="minorEastAsia" w:cstheme="minorEastAsia"/>
          <w:bCs/>
          <w:color w:val="000000"/>
          <w:sz w:val="28"/>
          <w:szCs w:val="28"/>
        </w:rPr>
      </w:pPr>
      <w:r>
        <w:rPr>
          <w:rFonts w:hint="eastAsia" w:ascii="仿宋_GB2312" w:eastAsia="仿宋_GB2312" w:hAnsiTheme="minorEastAsia" w:cstheme="minorEastAsia"/>
          <w:bCs/>
          <w:color w:val="000000"/>
          <w:sz w:val="28"/>
          <w:szCs w:val="28"/>
        </w:rPr>
        <w:t>日前，国务院印发了《关于建立完善守信联合激励和失信联合惩戒制度加快推进社会诚信建设的指导意见》(国发〔2016〕33号)(以下简称《指导意见》)，明确了守信联合激励和失信联合惩戒的指导思想、基本原则、</w:t>
      </w:r>
      <w:r>
        <w:rPr>
          <w:rFonts w:hint="eastAsia" w:ascii="仿宋_GB2312" w:eastAsia="仿宋_GB2312" w:hAnsiTheme="minorEastAsia" w:cstheme="minorEastAsia"/>
          <w:bCs/>
          <w:color w:val="000000"/>
          <w:sz w:val="28"/>
          <w:szCs w:val="28"/>
          <w:lang w:eastAsia="zh-CN"/>
        </w:rPr>
        <w:t>协同</w:t>
      </w:r>
      <w:r>
        <w:rPr>
          <w:rFonts w:hint="eastAsia" w:ascii="仿宋_GB2312" w:eastAsia="仿宋_GB2312" w:hAnsiTheme="minorEastAsia" w:cstheme="minorEastAsia"/>
          <w:bCs/>
          <w:color w:val="000000"/>
          <w:sz w:val="28"/>
          <w:szCs w:val="28"/>
        </w:rPr>
        <w:t>机制等。</w:t>
      </w:r>
    </w:p>
    <w:p>
      <w:pPr>
        <w:spacing w:line="544" w:lineRule="exact"/>
        <w:jc w:val="center"/>
        <w:rPr>
          <w:rFonts w:hint="eastAsia" w:ascii="黑体" w:hAnsi="黑体" w:eastAsia="黑体" w:cstheme="minorEastAsia"/>
          <w:color w:val="000000"/>
          <w:sz w:val="28"/>
          <w:szCs w:val="28"/>
        </w:rPr>
      </w:pPr>
      <w:r>
        <w:rPr>
          <w:rFonts w:hint="eastAsia" w:ascii="黑体" w:hAnsi="黑体" w:eastAsia="黑体" w:cstheme="minorEastAsia"/>
          <w:color w:val="000000"/>
          <w:sz w:val="28"/>
          <w:szCs w:val="28"/>
        </w:rPr>
        <w:t>《指导意见》出台的背景和意义</w:t>
      </w:r>
    </w:p>
    <w:p>
      <w:pPr>
        <w:spacing w:line="544" w:lineRule="exact"/>
        <w:ind w:firstLine="560" w:firstLineChars="200"/>
        <w:jc w:val="left"/>
        <w:rPr>
          <w:rFonts w:hint="eastAsia" w:ascii="仿宋_GB2312" w:eastAsia="仿宋_GB2312" w:hAnsiTheme="minorEastAsia" w:cstheme="minorEastAsia"/>
          <w:bCs/>
          <w:color w:val="000000"/>
          <w:sz w:val="28"/>
          <w:szCs w:val="28"/>
        </w:rPr>
      </w:pPr>
      <w:r>
        <w:rPr>
          <w:rFonts w:hint="eastAsia" w:ascii="仿宋_GB2312" w:eastAsia="仿宋_GB2312" w:hAnsiTheme="minorEastAsia" w:cstheme="minorEastAsia"/>
          <w:bCs/>
          <w:color w:val="000000"/>
          <w:sz w:val="28"/>
          <w:szCs w:val="28"/>
        </w:rPr>
        <w:t>党的十八届三中全会提出“建立健全社会征信体系，褒扬诚信、惩戒失信”，党的十八届四中全会提出“加强社会诚信建设，建立健全公民和法人组织守法信用记录，完善守法诚信褒奖机制和违法失信行为惩戒机制”。国务院2014年6月发布的《社会信用体系建设规划纲要（2014-2020年）》，将构建守信激励和失信惩戒机制作为社会信用体系建设的三大基础性措施之一。国家发展改革委和最高人民法院等44部门于2016年1月联合签署了《关于对失信被执行人实施联合惩戒的合作备忘录》，这是一份对“失信被执行人”实施联合惩戒的合作备忘录，是针对“老赖”祭出的杀手锏。</w:t>
      </w:r>
    </w:p>
    <w:p>
      <w:pPr>
        <w:spacing w:line="544" w:lineRule="exact"/>
        <w:ind w:firstLine="560" w:firstLineChars="200"/>
        <w:jc w:val="left"/>
        <w:rPr>
          <w:rFonts w:hint="eastAsia" w:ascii="仿宋_GB2312" w:eastAsia="仿宋_GB2312" w:hAnsiTheme="minorEastAsia" w:cstheme="minorEastAsia"/>
          <w:bCs/>
          <w:color w:val="000000"/>
          <w:sz w:val="28"/>
          <w:szCs w:val="28"/>
        </w:rPr>
      </w:pPr>
      <w:r>
        <w:rPr>
          <w:rFonts w:hint="eastAsia" w:ascii="仿宋_GB2312" w:eastAsia="仿宋_GB2312" w:hAnsiTheme="minorEastAsia" w:cstheme="minorEastAsia"/>
          <w:bCs/>
          <w:color w:val="000000"/>
          <w:sz w:val="28"/>
          <w:szCs w:val="28"/>
        </w:rPr>
        <w:t>“国以诚立心，人以诚立身”。信用是市场经济的基石，加强社会诚信建设是完善社会主义市场经济体制的基础性工程，也是推动政府职能转变、简政放权、更好做到“放”“管”结合的必要条件。《指导意见》的发布是贯彻落实党中央、国务院推进社会诚信建设决策部署的重要举措，是构建以诚信为核心的多维监管体系、加大各领域惩戒力度的保障。</w:t>
      </w:r>
    </w:p>
    <w:p>
      <w:pPr>
        <w:spacing w:line="544" w:lineRule="exact"/>
        <w:jc w:val="center"/>
        <w:rPr>
          <w:rFonts w:hint="eastAsia" w:ascii="黑体" w:hAnsi="黑体" w:eastAsia="黑体" w:cstheme="minorEastAsia"/>
          <w:color w:val="000000"/>
          <w:sz w:val="28"/>
          <w:szCs w:val="28"/>
        </w:rPr>
      </w:pPr>
      <w:r>
        <w:rPr>
          <w:rFonts w:hint="eastAsia" w:ascii="黑体" w:hAnsi="黑体" w:eastAsia="黑体" w:cstheme="minorEastAsia"/>
          <w:color w:val="000000"/>
          <w:sz w:val="28"/>
          <w:szCs w:val="28"/>
        </w:rPr>
        <w:t>数字解读：守信联合激励和失信联合惩戒</w:t>
      </w:r>
    </w:p>
    <w:p>
      <w:pPr>
        <w:spacing w:line="544" w:lineRule="exact"/>
        <w:ind w:firstLine="560" w:firstLineChars="200"/>
        <w:jc w:val="left"/>
        <w:rPr>
          <w:rFonts w:hint="eastAsia" w:ascii="仿宋_GB2312" w:eastAsia="仿宋_GB2312" w:hAnsiTheme="minorEastAsia" w:cstheme="minorEastAsia"/>
          <w:bCs/>
          <w:color w:val="000000"/>
          <w:sz w:val="28"/>
          <w:szCs w:val="28"/>
        </w:rPr>
      </w:pPr>
      <w:r>
        <w:rPr>
          <w:rFonts w:hint="eastAsia" w:ascii="仿宋_GB2312" w:eastAsia="仿宋_GB2312" w:hAnsiTheme="minorEastAsia" w:cstheme="minorEastAsia"/>
          <w:bCs/>
          <w:color w:val="000000"/>
          <w:sz w:val="28"/>
          <w:szCs w:val="28"/>
        </w:rPr>
        <w:t>据《中国法院信息化第三方评估报告》显示,截至2016年2月29日，全国法院已公布失信被执行人302万人，失信信息查询4011万人次。</w:t>
      </w:r>
    </w:p>
    <w:p>
      <w:pPr>
        <w:spacing w:line="544" w:lineRule="exact"/>
        <w:ind w:firstLine="562" w:firstLineChars="200"/>
        <w:jc w:val="center"/>
        <w:rPr>
          <w:rFonts w:hint="eastAsia" w:ascii="仿宋_GB2312" w:eastAsia="仿宋_GB2312" w:hAnsiTheme="minorEastAsia" w:cstheme="minorEastAsia"/>
          <w:b/>
          <w:color w:val="000000"/>
          <w:sz w:val="28"/>
          <w:szCs w:val="28"/>
        </w:rPr>
      </w:pPr>
      <w:r>
        <w:rPr>
          <w:rFonts w:hint="eastAsia" w:ascii="仿宋_GB2312" w:eastAsia="仿宋_GB2312" w:hAnsiTheme="minorEastAsia" w:cstheme="minorEastAsia"/>
          <w:b/>
          <w:color w:val="000000"/>
          <w:sz w:val="28"/>
          <w:szCs w:val="28"/>
        </w:rPr>
        <w:t>“300多万”老赖怎么办？</w:t>
      </w:r>
    </w:p>
    <w:p>
      <w:pPr>
        <w:spacing w:line="544" w:lineRule="exact"/>
        <w:ind w:firstLine="562" w:firstLineChars="200"/>
        <w:jc w:val="left"/>
        <w:rPr>
          <w:rFonts w:hint="eastAsia" w:ascii="仿宋_GB2312" w:eastAsia="仿宋_GB2312" w:hAnsiTheme="minorEastAsia" w:cstheme="minorEastAsia"/>
          <w:b/>
          <w:color w:val="000000"/>
          <w:sz w:val="28"/>
          <w:szCs w:val="28"/>
        </w:rPr>
      </w:pPr>
      <w:r>
        <w:rPr>
          <w:rFonts w:hint="eastAsia" w:ascii="仿宋_GB2312" w:eastAsia="仿宋_GB2312" w:hAnsiTheme="minorEastAsia" w:cstheme="minorEastAsia"/>
          <w:b/>
          <w:color w:val="000000"/>
          <w:sz w:val="28"/>
          <w:szCs w:val="28"/>
        </w:rPr>
        <w:t>联合惩戒——让老赖步履为艰</w:t>
      </w:r>
    </w:p>
    <w:p>
      <w:pPr>
        <w:spacing w:line="544" w:lineRule="exact"/>
        <w:ind w:firstLine="560" w:firstLineChars="200"/>
        <w:jc w:val="left"/>
        <w:rPr>
          <w:rFonts w:hint="eastAsia" w:ascii="仿宋_GB2312" w:eastAsia="仿宋_GB2312" w:hAnsiTheme="minorEastAsia" w:cstheme="minorEastAsia"/>
          <w:b/>
          <w:color w:val="000000"/>
          <w:sz w:val="28"/>
          <w:szCs w:val="28"/>
        </w:rPr>
      </w:pPr>
      <w:r>
        <w:rPr>
          <w:rFonts w:hint="eastAsia" w:ascii="仿宋_GB2312" w:eastAsia="仿宋_GB2312" w:hAnsiTheme="minorEastAsia" w:cstheme="minorEastAsia"/>
          <w:bCs/>
          <w:color w:val="000000"/>
          <w:sz w:val="28"/>
          <w:szCs w:val="28"/>
        </w:rPr>
        <w:t>何谓“老赖”？用老百姓的话讲就是欠债不还钱的“无赖”。“欠债还钱”就是中国民间最朴素最直白的信用规则。怎么对付老赖呢？一句话：</w:t>
      </w:r>
      <w:r>
        <w:rPr>
          <w:rFonts w:hint="eastAsia" w:ascii="仿宋_GB2312" w:eastAsia="仿宋_GB2312" w:hAnsiTheme="minorEastAsia" w:cstheme="minorEastAsia"/>
          <w:b/>
          <w:color w:val="000000"/>
          <w:sz w:val="28"/>
          <w:szCs w:val="28"/>
        </w:rPr>
        <w:t>“一处失信，处处受限，联合惩戒，让老赖寸步难行。”</w:t>
      </w:r>
    </w:p>
    <w:p>
      <w:pPr>
        <w:spacing w:line="544" w:lineRule="exact"/>
        <w:jc w:val="left"/>
        <w:rPr>
          <w:rFonts w:hint="eastAsia" w:ascii="仿宋_GB2312" w:eastAsia="仿宋_GB2312" w:hAnsiTheme="minorEastAsia" w:cstheme="minorEastAsia"/>
          <w:bCs/>
          <w:color w:val="000000"/>
          <w:sz w:val="28"/>
          <w:szCs w:val="28"/>
        </w:rPr>
      </w:pPr>
      <w:r>
        <w:rPr>
          <w:rFonts w:hint="eastAsia" w:ascii="仿宋_GB2312" w:eastAsia="仿宋_GB2312" w:hAnsiTheme="minorEastAsia" w:cstheme="minorEastAsia"/>
          <w:bCs/>
          <w:color w:val="000000"/>
          <w:sz w:val="28"/>
          <w:szCs w:val="28"/>
        </w:rPr>
        <w:t>全国法院已对失信被执行人实施限制出境、乘坐飞机、贷款置业等联合信用惩戒，民航限制购票388万余人次，铁路限制购票 78 万人次，联合信用惩戒的部门和行业已由初期的中航信、中铁总公司等8家扩展到人民银行征信中心等19个部门，惩戒的范围从现实的社会活动扩展到网络虚拟空间。</w:t>
      </w:r>
    </w:p>
    <w:p>
      <w:pPr>
        <w:spacing w:line="544" w:lineRule="exact"/>
        <w:ind w:firstLine="420" w:firstLineChars="200"/>
        <w:jc w:val="center"/>
        <w:rPr>
          <w:rFonts w:hint="eastAsia" w:ascii="黑体" w:hAnsi="黑体" w:eastAsia="黑体"/>
          <w:bCs/>
          <w:sz w:val="28"/>
          <w:szCs w:val="28"/>
        </w:rPr>
      </w:pPr>
      <w:r>
        <w:rPr>
          <w:rFonts w:hint="eastAsia" w:ascii="黑体" w:hAnsi="黑体" w:eastAsia="黑体"/>
        </w:rPr>
        <w:drawing>
          <wp:anchor distT="0" distB="0" distL="114300" distR="114300" simplePos="0" relativeHeight="251663360" behindDoc="0" locked="0" layoutInCell="1" allowOverlap="1">
            <wp:simplePos x="0" y="0"/>
            <wp:positionH relativeFrom="column">
              <wp:posOffset>187960</wp:posOffset>
            </wp:positionH>
            <wp:positionV relativeFrom="paragraph">
              <wp:posOffset>182245</wp:posOffset>
            </wp:positionV>
            <wp:extent cx="4907915" cy="2181860"/>
            <wp:effectExtent l="0" t="0" r="6985" b="889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cstate="print"/>
                    <a:stretch>
                      <a:fillRect/>
                    </a:stretch>
                  </pic:blipFill>
                  <pic:spPr>
                    <a:xfrm>
                      <a:off x="0" y="0"/>
                      <a:ext cx="4907915" cy="2181860"/>
                    </a:xfrm>
                    <a:prstGeom prst="rect">
                      <a:avLst/>
                    </a:prstGeom>
                    <a:noFill/>
                    <a:ln w="9525">
                      <a:noFill/>
                      <a:miter/>
                    </a:ln>
                  </pic:spPr>
                </pic:pic>
              </a:graphicData>
            </a:graphic>
          </wp:anchor>
        </w:drawing>
      </w:r>
      <w:r>
        <w:rPr>
          <w:rFonts w:hint="eastAsia" w:ascii="黑体" w:hAnsi="黑体" w:eastAsia="黑体"/>
          <w:bCs/>
          <w:sz w:val="28"/>
          <w:szCs w:val="28"/>
        </w:rPr>
        <w:t>“4大”重点联合惩戒领域</w:t>
      </w:r>
    </w:p>
    <w:p>
      <w:pPr>
        <w:spacing w:line="544" w:lineRule="exact"/>
        <w:ind w:firstLine="560" w:firstLineChars="200"/>
        <w:jc w:val="left"/>
        <w:rPr>
          <w:rFonts w:hint="eastAsia" w:ascii="仿宋_GB2312" w:eastAsia="仿宋_GB2312"/>
          <w:sz w:val="28"/>
          <w:szCs w:val="28"/>
        </w:rPr>
      </w:pPr>
      <w:r>
        <w:rPr>
          <w:rFonts w:hint="eastAsia" w:ascii="仿宋_GB2312" w:eastAsia="仿宋_GB2312"/>
          <w:sz w:val="28"/>
          <w:szCs w:val="28"/>
        </w:rPr>
        <w:t>根据对相关领域失信行为的评价，《指导意见》指出失信联合惩戒的4大重点领域</w:t>
      </w:r>
      <w:r>
        <w:rPr>
          <w:rFonts w:hint="eastAsia" w:ascii="仿宋_GB2312" w:eastAsia="仿宋_GB2312"/>
          <w:sz w:val="28"/>
          <w:szCs w:val="28"/>
          <w:lang w:eastAsia="zh-CN"/>
        </w:rPr>
        <w:t>：</w:t>
      </w:r>
    </w:p>
    <w:p>
      <w:pPr>
        <w:spacing w:line="544" w:lineRule="exact"/>
        <w:ind w:firstLine="560" w:firstLineChars="200"/>
        <w:jc w:val="left"/>
        <w:rPr>
          <w:rFonts w:hint="eastAsia" w:ascii="仿宋_GB2312" w:eastAsia="仿宋_GB2312"/>
          <w:sz w:val="28"/>
          <w:szCs w:val="28"/>
        </w:rPr>
      </w:pPr>
    </w:p>
    <w:p>
      <w:pPr>
        <w:spacing w:line="544" w:lineRule="exact"/>
        <w:ind w:firstLine="560" w:firstLineChars="200"/>
        <w:jc w:val="left"/>
        <w:rPr>
          <w:rFonts w:hint="eastAsia" w:ascii="仿宋_GB2312" w:eastAsia="仿宋_GB2312" w:hAnsiTheme="minorEastAsia" w:cstheme="minorEastAsia"/>
          <w:bCs/>
          <w:color w:val="000000"/>
          <w:sz w:val="28"/>
          <w:szCs w:val="28"/>
        </w:rPr>
      </w:pPr>
      <w:r>
        <w:rPr>
          <w:rFonts w:hint="eastAsia" w:ascii="仿宋_GB2312" w:eastAsia="仿宋_GB2312" w:hAnsiTheme="minorEastAsia" w:cstheme="minorEastAsia"/>
          <w:bCs/>
          <w:color w:val="000000"/>
          <w:sz w:val="28"/>
          <w:szCs w:val="28"/>
        </w:rPr>
        <w:drawing>
          <wp:anchor distT="0" distB="0" distL="114300" distR="114300" simplePos="0" relativeHeight="251664384" behindDoc="0" locked="0" layoutInCell="1" allowOverlap="1">
            <wp:simplePos x="0" y="0"/>
            <wp:positionH relativeFrom="column">
              <wp:posOffset>538480</wp:posOffset>
            </wp:positionH>
            <wp:positionV relativeFrom="paragraph">
              <wp:posOffset>186055</wp:posOffset>
            </wp:positionV>
            <wp:extent cx="4037330" cy="3028315"/>
            <wp:effectExtent l="0" t="0" r="1270" b="635"/>
            <wp:wrapSquare wrapText="bothSides"/>
            <wp:docPr id="2" name="图片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
                    <pic:cNvPicPr>
                      <a:picLocks noChangeAspect="1"/>
                    </pic:cNvPicPr>
                  </pic:nvPicPr>
                  <pic:blipFill>
                    <a:blip r:embed="rId5" cstate="print"/>
                    <a:stretch>
                      <a:fillRect/>
                    </a:stretch>
                  </pic:blipFill>
                  <pic:spPr>
                    <a:xfrm>
                      <a:off x="0" y="0"/>
                      <a:ext cx="4037330" cy="3028315"/>
                    </a:xfrm>
                    <a:prstGeom prst="rect">
                      <a:avLst/>
                    </a:prstGeom>
                  </pic:spPr>
                </pic:pic>
              </a:graphicData>
            </a:graphic>
          </wp:anchor>
        </w:drawing>
      </w:r>
    </w:p>
    <w:p>
      <w:pPr>
        <w:spacing w:line="544" w:lineRule="exact"/>
        <w:ind w:firstLine="560" w:firstLineChars="200"/>
        <w:jc w:val="left"/>
        <w:rPr>
          <w:rFonts w:hint="eastAsia" w:ascii="仿宋_GB2312" w:eastAsia="仿宋_GB2312" w:hAnsiTheme="minorEastAsia" w:cstheme="minorEastAsia"/>
          <w:bCs/>
          <w:color w:val="000000"/>
          <w:sz w:val="28"/>
          <w:szCs w:val="28"/>
        </w:rPr>
      </w:pPr>
    </w:p>
    <w:p>
      <w:pPr>
        <w:spacing w:line="544" w:lineRule="exact"/>
        <w:ind w:firstLine="560" w:firstLineChars="200"/>
        <w:jc w:val="left"/>
        <w:rPr>
          <w:rFonts w:hint="eastAsia" w:ascii="仿宋_GB2312" w:eastAsia="仿宋_GB2312" w:hAnsiTheme="minorEastAsia" w:cstheme="minorEastAsia"/>
          <w:bCs/>
          <w:color w:val="000000"/>
          <w:sz w:val="28"/>
          <w:szCs w:val="28"/>
        </w:rPr>
      </w:pPr>
    </w:p>
    <w:p>
      <w:pPr>
        <w:spacing w:line="544" w:lineRule="exact"/>
        <w:ind w:firstLine="560" w:firstLineChars="200"/>
        <w:jc w:val="left"/>
        <w:rPr>
          <w:rFonts w:hint="eastAsia" w:ascii="仿宋_GB2312" w:eastAsia="仿宋_GB2312" w:hAnsiTheme="minorEastAsia" w:cstheme="minorEastAsia"/>
          <w:bCs/>
          <w:color w:val="000000"/>
          <w:sz w:val="28"/>
          <w:szCs w:val="28"/>
        </w:rPr>
      </w:pPr>
    </w:p>
    <w:p>
      <w:pPr>
        <w:spacing w:line="544" w:lineRule="exact"/>
        <w:ind w:firstLine="560" w:firstLineChars="200"/>
        <w:jc w:val="left"/>
        <w:rPr>
          <w:rFonts w:hint="eastAsia" w:ascii="仿宋_GB2312" w:eastAsia="仿宋_GB2312" w:hAnsiTheme="minorEastAsia" w:cstheme="minorEastAsia"/>
          <w:bCs/>
          <w:color w:val="000000"/>
          <w:sz w:val="28"/>
          <w:szCs w:val="28"/>
        </w:rPr>
      </w:pPr>
    </w:p>
    <w:p>
      <w:pPr>
        <w:spacing w:line="544" w:lineRule="exact"/>
        <w:ind w:firstLine="560" w:firstLineChars="200"/>
        <w:jc w:val="left"/>
        <w:rPr>
          <w:rFonts w:hint="eastAsia" w:ascii="仿宋_GB2312" w:eastAsia="仿宋_GB2312" w:hAnsiTheme="minorEastAsia" w:cstheme="minorEastAsia"/>
          <w:bCs/>
          <w:color w:val="000000"/>
          <w:sz w:val="28"/>
          <w:szCs w:val="28"/>
        </w:rPr>
      </w:pPr>
    </w:p>
    <w:p>
      <w:pPr>
        <w:spacing w:line="544" w:lineRule="exact"/>
        <w:ind w:firstLine="560" w:firstLineChars="200"/>
        <w:jc w:val="left"/>
        <w:rPr>
          <w:rFonts w:hint="eastAsia" w:ascii="仿宋_GB2312" w:eastAsia="仿宋_GB2312" w:hAnsiTheme="minorEastAsia" w:cstheme="minorEastAsia"/>
          <w:bCs/>
          <w:color w:val="000000"/>
          <w:sz w:val="28"/>
          <w:szCs w:val="28"/>
        </w:rPr>
      </w:pPr>
    </w:p>
    <w:p>
      <w:pPr>
        <w:spacing w:line="544" w:lineRule="exact"/>
        <w:ind w:firstLine="560" w:firstLineChars="200"/>
        <w:jc w:val="left"/>
        <w:rPr>
          <w:rFonts w:hint="eastAsia" w:ascii="仿宋_GB2312" w:eastAsia="仿宋_GB2312" w:hAnsiTheme="minorEastAsia" w:cstheme="minorEastAsia"/>
          <w:bCs/>
          <w:color w:val="000000"/>
          <w:sz w:val="28"/>
          <w:szCs w:val="28"/>
        </w:rPr>
      </w:pPr>
    </w:p>
    <w:p>
      <w:pPr>
        <w:spacing w:line="544" w:lineRule="exact"/>
        <w:ind w:firstLine="560" w:firstLineChars="200"/>
        <w:jc w:val="left"/>
        <w:rPr>
          <w:rFonts w:hint="eastAsia" w:ascii="仿宋_GB2312" w:eastAsia="仿宋_GB2312" w:hAnsiTheme="minorEastAsia" w:cstheme="minorEastAsia"/>
          <w:bCs/>
          <w:color w:val="000000"/>
          <w:sz w:val="28"/>
          <w:szCs w:val="28"/>
        </w:rPr>
      </w:pPr>
    </w:p>
    <w:p>
      <w:pPr>
        <w:spacing w:line="544" w:lineRule="exact"/>
        <w:ind w:firstLine="560" w:firstLineChars="200"/>
        <w:jc w:val="left"/>
        <w:rPr>
          <w:rFonts w:hint="eastAsia" w:ascii="仿宋_GB2312" w:eastAsia="仿宋_GB2312" w:hAnsiTheme="minorEastAsia" w:cstheme="minorEastAsia"/>
          <w:bCs/>
          <w:color w:val="000000"/>
          <w:sz w:val="28"/>
          <w:szCs w:val="28"/>
        </w:rPr>
      </w:pPr>
    </w:p>
    <w:p>
      <w:pPr>
        <w:spacing w:line="544" w:lineRule="exact"/>
        <w:ind w:firstLine="560" w:firstLineChars="200"/>
        <w:jc w:val="left"/>
        <w:rPr>
          <w:rFonts w:hint="eastAsia" w:ascii="仿宋_GB2312" w:eastAsia="仿宋_GB2312" w:hAnsiTheme="minorEastAsia" w:cstheme="minorEastAsia"/>
          <w:bCs/>
          <w:color w:val="000000"/>
          <w:sz w:val="28"/>
          <w:szCs w:val="28"/>
        </w:rPr>
      </w:pPr>
      <w:r>
        <w:rPr>
          <w:rFonts w:hint="eastAsia" w:ascii="仿宋_GB2312" w:eastAsia="仿宋_GB2312" w:hAnsiTheme="minorEastAsia" w:cstheme="minorEastAsia"/>
          <w:bCs/>
          <w:color w:val="000000"/>
          <w:sz w:val="28"/>
          <w:szCs w:val="28"/>
        </w:rPr>
        <w:t>我省聚焦重点领域，全面加强信用信息交换共享和应用推广。</w:t>
      </w:r>
      <w:r>
        <w:rPr>
          <w:rFonts w:hint="eastAsia" w:ascii="仿宋_GB2312" w:eastAsia="仿宋_GB2312" w:hAnsiTheme="minorEastAsia" w:cstheme="minorEastAsia"/>
          <w:bCs/>
          <w:color w:val="000000"/>
          <w:sz w:val="28"/>
          <w:szCs w:val="28"/>
          <w:lang w:eastAsia="zh-CN"/>
        </w:rPr>
        <w:t>省</w:t>
      </w:r>
      <w:r>
        <w:rPr>
          <w:rFonts w:hint="eastAsia" w:ascii="仿宋_GB2312" w:eastAsia="仿宋_GB2312" w:hAnsiTheme="minorEastAsia" w:cstheme="minorEastAsia"/>
          <w:bCs/>
          <w:color w:val="000000"/>
          <w:sz w:val="28"/>
          <w:szCs w:val="28"/>
        </w:rPr>
        <w:t>地税</w:t>
      </w:r>
      <w:r>
        <w:rPr>
          <w:rFonts w:hint="eastAsia" w:ascii="仿宋_GB2312" w:eastAsia="仿宋_GB2312" w:hAnsiTheme="minorEastAsia" w:cstheme="minorEastAsia"/>
          <w:bCs/>
          <w:color w:val="000000"/>
          <w:sz w:val="28"/>
          <w:szCs w:val="28"/>
          <w:lang w:eastAsia="zh-CN"/>
        </w:rPr>
        <w:t>局、省</w:t>
      </w:r>
      <w:r>
        <w:rPr>
          <w:rFonts w:hint="eastAsia" w:ascii="仿宋_GB2312" w:eastAsia="仿宋_GB2312" w:hAnsiTheme="minorEastAsia" w:cstheme="minorEastAsia"/>
          <w:bCs/>
          <w:color w:val="000000"/>
          <w:sz w:val="28"/>
          <w:szCs w:val="28"/>
        </w:rPr>
        <w:t>国税</w:t>
      </w:r>
      <w:r>
        <w:rPr>
          <w:rFonts w:hint="eastAsia" w:ascii="仿宋_GB2312" w:eastAsia="仿宋_GB2312" w:hAnsiTheme="minorEastAsia" w:cstheme="minorEastAsia"/>
          <w:bCs/>
          <w:color w:val="000000"/>
          <w:sz w:val="28"/>
          <w:szCs w:val="28"/>
          <w:lang w:eastAsia="zh-CN"/>
        </w:rPr>
        <w:t>局</w:t>
      </w:r>
      <w:r>
        <w:rPr>
          <w:rFonts w:hint="eastAsia" w:ascii="仿宋_GB2312" w:eastAsia="仿宋_GB2312" w:hAnsiTheme="minorEastAsia" w:cstheme="minorEastAsia"/>
          <w:bCs/>
          <w:color w:val="000000"/>
          <w:sz w:val="28"/>
          <w:szCs w:val="28"/>
        </w:rPr>
        <w:t>、</w:t>
      </w:r>
      <w:r>
        <w:rPr>
          <w:rFonts w:hint="eastAsia" w:ascii="仿宋_GB2312" w:eastAsia="仿宋_GB2312" w:hAnsiTheme="minorEastAsia" w:cstheme="minorEastAsia"/>
          <w:bCs/>
          <w:color w:val="000000"/>
          <w:sz w:val="28"/>
          <w:szCs w:val="28"/>
          <w:lang w:eastAsia="zh-CN"/>
        </w:rPr>
        <w:t>省</w:t>
      </w:r>
      <w:r>
        <w:rPr>
          <w:rFonts w:hint="eastAsia" w:ascii="仿宋_GB2312" w:eastAsia="仿宋_GB2312" w:hAnsiTheme="minorEastAsia" w:cstheme="minorEastAsia"/>
          <w:bCs/>
          <w:color w:val="000000"/>
          <w:sz w:val="28"/>
          <w:szCs w:val="28"/>
        </w:rPr>
        <w:t>政府金融办、人行</w:t>
      </w:r>
      <w:r>
        <w:rPr>
          <w:rFonts w:hint="eastAsia" w:ascii="仿宋_GB2312" w:eastAsia="仿宋_GB2312" w:hAnsiTheme="minorEastAsia" w:cstheme="minorEastAsia"/>
          <w:bCs/>
          <w:color w:val="000000"/>
          <w:sz w:val="28"/>
          <w:szCs w:val="28"/>
          <w:lang w:eastAsia="zh-CN"/>
        </w:rPr>
        <w:t>成都分行</w:t>
      </w:r>
      <w:r>
        <w:rPr>
          <w:rFonts w:hint="eastAsia" w:ascii="仿宋_GB2312" w:eastAsia="仿宋_GB2312" w:hAnsiTheme="minorEastAsia" w:cstheme="minorEastAsia"/>
          <w:bCs/>
          <w:color w:val="000000"/>
          <w:sz w:val="28"/>
          <w:szCs w:val="28"/>
        </w:rPr>
        <w:t>、</w:t>
      </w:r>
      <w:r>
        <w:rPr>
          <w:rFonts w:hint="eastAsia" w:ascii="仿宋_GB2312" w:eastAsia="仿宋_GB2312" w:hAnsiTheme="minorEastAsia" w:cstheme="minorEastAsia"/>
          <w:bCs/>
          <w:color w:val="000000"/>
          <w:sz w:val="28"/>
          <w:szCs w:val="28"/>
          <w:lang w:eastAsia="zh-CN"/>
        </w:rPr>
        <w:t>四川</w:t>
      </w:r>
      <w:r>
        <w:rPr>
          <w:rFonts w:hint="eastAsia" w:ascii="仿宋_GB2312" w:eastAsia="仿宋_GB2312" w:hAnsiTheme="minorEastAsia" w:cstheme="minorEastAsia"/>
          <w:bCs/>
          <w:color w:val="000000"/>
          <w:sz w:val="28"/>
          <w:szCs w:val="28"/>
        </w:rPr>
        <w:t>银监</w:t>
      </w:r>
      <w:r>
        <w:rPr>
          <w:rFonts w:hint="eastAsia" w:ascii="仿宋_GB2312" w:eastAsia="仿宋_GB2312" w:hAnsiTheme="minorEastAsia" w:cstheme="minorEastAsia"/>
          <w:bCs/>
          <w:color w:val="000000"/>
          <w:sz w:val="28"/>
          <w:szCs w:val="28"/>
          <w:lang w:eastAsia="zh-CN"/>
        </w:rPr>
        <w:t>局等部门（单位）</w:t>
      </w:r>
      <w:r>
        <w:rPr>
          <w:rFonts w:hint="eastAsia" w:ascii="仿宋_GB2312" w:eastAsia="仿宋_GB2312" w:hAnsiTheme="minorEastAsia" w:cstheme="minorEastAsia"/>
          <w:bCs/>
          <w:color w:val="000000"/>
          <w:sz w:val="28"/>
          <w:szCs w:val="28"/>
        </w:rPr>
        <w:t>广泛开展合作，在推动“银税互动”助力中小微企业发展方面已取得较好成效，以纳税信用信息为基础开展“银税互动”工作，在达州市试点了“蜀信·税金贷”无抵押信用贷款金融服务。我省食药监部门借鉴新加坡等国食品安全监管经验，探索建设食品企业积分制度，给食品企业特别是高危食品生产企业套上“紧箍咒”，采取有效措施鼓励和激励积分高的食品企业。</w:t>
      </w:r>
    </w:p>
    <w:p>
      <w:pPr>
        <w:spacing w:line="544" w:lineRule="exact"/>
        <w:ind w:firstLine="560" w:firstLineChars="200"/>
        <w:jc w:val="center"/>
        <w:rPr>
          <w:rFonts w:hint="eastAsia" w:ascii="黑体" w:hAnsi="黑体" w:eastAsia="黑体" w:cstheme="minorEastAsia"/>
          <w:color w:val="000000"/>
          <w:sz w:val="28"/>
          <w:szCs w:val="28"/>
        </w:rPr>
      </w:pPr>
      <w:r>
        <w:rPr>
          <w:rFonts w:hint="eastAsia" w:ascii="黑体" w:hAnsi="黑体" w:eastAsia="黑体" w:cstheme="minorEastAsia"/>
          <w:color w:val="000000"/>
          <w:sz w:val="28"/>
          <w:szCs w:val="28"/>
        </w:rPr>
        <w:t>“9项”措施构建协同机制</w:t>
      </w:r>
    </w:p>
    <w:p>
      <w:pPr>
        <w:spacing w:line="544" w:lineRule="exact"/>
        <w:ind w:firstLine="560" w:firstLineChars="200"/>
        <w:jc w:val="left"/>
        <w:rPr>
          <w:rFonts w:hint="eastAsia" w:ascii="仿宋_GB2312" w:eastAsia="仿宋_GB2312" w:hAnsiTheme="minorEastAsia" w:cstheme="minorEastAsia"/>
          <w:bCs/>
          <w:color w:val="000000"/>
          <w:sz w:val="28"/>
          <w:szCs w:val="28"/>
        </w:rPr>
      </w:pPr>
      <w:r>
        <w:rPr>
          <w:rFonts w:hint="eastAsia" w:ascii="仿宋_GB2312" w:eastAsia="仿宋_GB2312" w:hAnsiTheme="minorEastAsia" w:cstheme="minorEastAsia"/>
          <w:bCs/>
          <w:color w:val="000000"/>
          <w:sz w:val="28"/>
          <w:szCs w:val="28"/>
        </w:rPr>
        <w:t>通过建立触发反馈机制、实施部省协同和跨区域联动、建立健全信用信息公示机制、建立健全信用信息归集共享和使用机制、规范信用红黑名单制度、建立</w:t>
      </w:r>
      <w:r>
        <w:rPr>
          <w:rFonts w:hint="eastAsia" w:ascii="仿宋_GB2312" w:eastAsia="仿宋_GB2312" w:hAnsiTheme="minorEastAsia" w:cstheme="minorEastAsia"/>
          <w:bCs/>
          <w:color w:val="000000"/>
          <w:sz w:val="28"/>
          <w:szCs w:val="28"/>
          <w:lang w:eastAsia="zh-CN"/>
        </w:rPr>
        <w:t>激励和惩戒措施</w:t>
      </w:r>
      <w:r>
        <w:rPr>
          <w:rFonts w:hint="eastAsia" w:ascii="仿宋_GB2312" w:eastAsia="仿宋_GB2312" w:hAnsiTheme="minorEastAsia" w:cstheme="minorEastAsia"/>
          <w:bCs/>
          <w:color w:val="000000"/>
          <w:sz w:val="28"/>
          <w:szCs w:val="28"/>
        </w:rPr>
        <w:t>清单制度、建立健全信用修复机制、建立健全信用主体权益保护机制、建立跟踪问效机制等九项措施共同构建守信联合激励和失信联合惩戒的协同机制。</w:t>
      </w:r>
    </w:p>
    <w:p>
      <w:pPr>
        <w:spacing w:line="544" w:lineRule="exact"/>
        <w:ind w:firstLine="560" w:firstLineChars="200"/>
        <w:jc w:val="left"/>
        <w:rPr>
          <w:rFonts w:hint="eastAsia" w:ascii="仿宋_GB2312" w:eastAsia="仿宋_GB2312" w:hAnsiTheme="minorEastAsia" w:cstheme="minorEastAsia"/>
          <w:bCs/>
          <w:color w:val="000000"/>
          <w:sz w:val="28"/>
          <w:szCs w:val="28"/>
        </w:rPr>
      </w:pPr>
      <w:r>
        <w:rPr>
          <w:rFonts w:hint="eastAsia" w:ascii="仿宋_GB2312" w:eastAsia="仿宋_GB2312" w:hAnsiTheme="minorEastAsia" w:cstheme="minorEastAsia"/>
          <w:bCs/>
          <w:color w:val="000000"/>
          <w:sz w:val="28"/>
          <w:szCs w:val="28"/>
        </w:rPr>
        <w:t>我省将在招标投标、政府采购、投资补助、贷款融资等方面进行联合惩戒。目前我省已建立投资项目单位统一代码、异常信用记录和“黑名单”三大制度。投资项目单位出现3次以上一般异常信用记录，或1次重大异常信用记录且未按规定整改的，在线审批监管平台要将项目单位纳入“黑名单”并向社会公布。</w:t>
      </w:r>
    </w:p>
    <w:p>
      <w:pPr>
        <w:spacing w:line="544" w:lineRule="exact"/>
        <w:ind w:firstLine="560" w:firstLineChars="200"/>
        <w:jc w:val="center"/>
        <w:rPr>
          <w:rFonts w:hint="eastAsia" w:ascii="黑体" w:hAnsi="黑体" w:eastAsia="黑体" w:cstheme="minorEastAsia"/>
          <w:color w:val="000000"/>
          <w:sz w:val="28"/>
          <w:szCs w:val="28"/>
        </w:rPr>
      </w:pPr>
      <w:r>
        <w:rPr>
          <w:rFonts w:hint="eastAsia" w:ascii="黑体" w:hAnsi="黑体" w:eastAsia="黑体" w:cstheme="minorEastAsia"/>
          <w:color w:val="000000"/>
          <w:sz w:val="28"/>
          <w:szCs w:val="28"/>
        </w:rPr>
        <w:t>“N种”方式弘扬和激励诚信行为</w:t>
      </w:r>
    </w:p>
    <w:p>
      <w:pPr>
        <w:spacing w:line="544" w:lineRule="exact"/>
        <w:jc w:val="left"/>
        <w:rPr>
          <w:rFonts w:hint="eastAsia" w:ascii="仿宋_GB2312" w:eastAsia="仿宋_GB2312" w:hAnsiTheme="minorEastAsia" w:cstheme="minorEastAsia"/>
          <w:bCs/>
          <w:color w:val="000000"/>
          <w:sz w:val="28"/>
          <w:szCs w:val="28"/>
          <w:highlight w:val="yellow"/>
        </w:rPr>
      </w:pPr>
      <w:r>
        <w:rPr>
          <w:rFonts w:hint="eastAsia" w:ascii="仿宋_GB2312" w:eastAsia="仿宋_GB2312" w:hAnsiTheme="minorEastAsia" w:cstheme="minorEastAsia"/>
          <w:bCs/>
          <w:color w:val="000000"/>
          <w:sz w:val="28"/>
          <w:szCs w:val="28"/>
        </w:rPr>
        <w:t xml:space="preserve">    人无忠信，不可立于世。《指导意见》指出在“联合惩戒”的同时，也要做好“守信激励”，开展“诚信光荣”等活动，加强诚信教育和诚信文化建设。多渠道选树诚信典例，大力宣扬诚信企业、诚信模范的事迹，加强职业道德建设，弘扬社会主义核心价值观。</w:t>
      </w:r>
    </w:p>
    <w:p>
      <w:pPr>
        <w:spacing w:line="544" w:lineRule="exact"/>
        <w:ind w:firstLine="560" w:firstLineChars="200"/>
        <w:jc w:val="left"/>
        <w:rPr>
          <w:rFonts w:hint="eastAsia" w:ascii="仿宋_GB2312" w:eastAsia="仿宋_GB2312" w:hAnsiTheme="minorEastAsia" w:cstheme="minorEastAsia"/>
          <w:bCs/>
          <w:color w:val="000000"/>
          <w:sz w:val="28"/>
          <w:szCs w:val="28"/>
        </w:rPr>
      </w:pPr>
      <w:r>
        <w:rPr>
          <w:rFonts w:hint="eastAsia" w:ascii="仿宋_GB2312" w:eastAsia="仿宋_GB2312" w:hAnsiTheme="minorEastAsia" w:cstheme="minorEastAsia"/>
          <w:bCs/>
          <w:color w:val="000000"/>
          <w:sz w:val="28"/>
          <w:szCs w:val="28"/>
        </w:rPr>
        <w:t>我省住建、财政、司法、商检、知识产权、保监等部门按照企业信用状况，对守信的企业给予“绿色通道”“容缺办理”等一定的优惠政策，依法及时办理企业相应诉求。我省广泛开展“诚信活动周”</w:t>
      </w:r>
      <w:r>
        <w:rPr>
          <w:rFonts w:hint="eastAsia" w:ascii="仿宋_GB2312" w:eastAsia="仿宋_GB2312" w:hAnsiTheme="minorEastAsia" w:cstheme="minorEastAsia"/>
          <w:bCs/>
          <w:color w:val="000000"/>
          <w:sz w:val="28"/>
          <w:szCs w:val="28"/>
          <w:lang w:eastAsia="zh-CN"/>
        </w:rPr>
        <w:t>、</w:t>
      </w:r>
      <w:r>
        <w:rPr>
          <w:rFonts w:hint="eastAsia" w:ascii="仿宋_GB2312" w:eastAsia="仿宋_GB2312" w:hAnsiTheme="minorEastAsia" w:cstheme="minorEastAsia"/>
          <w:bCs/>
          <w:color w:val="000000"/>
          <w:sz w:val="28"/>
          <w:szCs w:val="28"/>
        </w:rPr>
        <w:t>“质量月”</w:t>
      </w:r>
      <w:r>
        <w:rPr>
          <w:rFonts w:hint="eastAsia" w:ascii="仿宋_GB2312" w:eastAsia="仿宋_GB2312" w:hAnsiTheme="minorEastAsia" w:cstheme="minorEastAsia"/>
          <w:bCs/>
          <w:color w:val="000000"/>
          <w:sz w:val="28"/>
          <w:szCs w:val="28"/>
          <w:lang w:eastAsia="zh-CN"/>
        </w:rPr>
        <w:t>、</w:t>
      </w:r>
      <w:r>
        <w:rPr>
          <w:rFonts w:hint="eastAsia" w:ascii="仿宋_GB2312" w:eastAsia="仿宋_GB2312" w:hAnsiTheme="minorEastAsia" w:cstheme="minorEastAsia"/>
          <w:bCs/>
          <w:color w:val="000000"/>
          <w:sz w:val="28"/>
          <w:szCs w:val="28"/>
        </w:rPr>
        <w:t>“安全生产月”</w:t>
      </w:r>
      <w:r>
        <w:rPr>
          <w:rFonts w:hint="eastAsia" w:ascii="仿宋_GB2312" w:eastAsia="仿宋_GB2312" w:hAnsiTheme="minorEastAsia" w:cstheme="minorEastAsia"/>
          <w:bCs/>
          <w:color w:val="000000"/>
          <w:sz w:val="28"/>
          <w:szCs w:val="28"/>
          <w:lang w:eastAsia="zh-CN"/>
        </w:rPr>
        <w:t>、</w:t>
      </w:r>
      <w:r>
        <w:rPr>
          <w:rFonts w:hint="eastAsia" w:ascii="仿宋_GB2312" w:eastAsia="仿宋_GB2312" w:hAnsiTheme="minorEastAsia" w:cstheme="minorEastAsia"/>
          <w:bCs/>
          <w:color w:val="000000"/>
          <w:sz w:val="28"/>
          <w:szCs w:val="28"/>
        </w:rPr>
        <w:t>“诚信兴商宣传月”</w:t>
      </w:r>
      <w:r>
        <w:rPr>
          <w:rFonts w:hint="eastAsia" w:ascii="仿宋_GB2312" w:eastAsia="仿宋_GB2312" w:hAnsiTheme="minorEastAsia" w:cstheme="minorEastAsia"/>
          <w:bCs/>
          <w:color w:val="000000"/>
          <w:sz w:val="28"/>
          <w:szCs w:val="28"/>
          <w:lang w:eastAsia="zh-CN"/>
        </w:rPr>
        <w:t>、</w:t>
      </w:r>
      <w:r>
        <w:rPr>
          <w:rFonts w:hint="eastAsia" w:ascii="仿宋_GB2312" w:eastAsia="仿宋_GB2312" w:hAnsiTheme="minorEastAsia" w:cstheme="minorEastAsia"/>
          <w:bCs/>
          <w:color w:val="000000"/>
          <w:sz w:val="28"/>
          <w:szCs w:val="28"/>
        </w:rPr>
        <w:t>“3·5”学雷锋活动日</w:t>
      </w:r>
      <w:r>
        <w:rPr>
          <w:rFonts w:hint="eastAsia" w:ascii="仿宋_GB2312" w:eastAsia="仿宋_GB2312" w:hAnsiTheme="minorEastAsia" w:cstheme="minorEastAsia"/>
          <w:bCs/>
          <w:color w:val="000000"/>
          <w:sz w:val="28"/>
          <w:szCs w:val="28"/>
          <w:lang w:eastAsia="zh-CN"/>
        </w:rPr>
        <w:t>、</w:t>
      </w:r>
      <w:r>
        <w:rPr>
          <w:rFonts w:hint="eastAsia" w:ascii="仿宋_GB2312" w:eastAsia="仿宋_GB2312" w:hAnsiTheme="minorEastAsia" w:cstheme="minorEastAsia"/>
          <w:bCs/>
          <w:color w:val="000000"/>
          <w:sz w:val="28"/>
          <w:szCs w:val="28"/>
        </w:rPr>
        <w:t>“6·14”信用记录关爱日</w:t>
      </w:r>
      <w:r>
        <w:rPr>
          <w:rFonts w:hint="eastAsia" w:ascii="仿宋_GB2312" w:eastAsia="仿宋_GB2312" w:hAnsiTheme="minorEastAsia" w:cstheme="minorEastAsia"/>
          <w:bCs/>
          <w:color w:val="000000"/>
          <w:sz w:val="28"/>
          <w:szCs w:val="28"/>
          <w:lang w:eastAsia="zh-CN"/>
        </w:rPr>
        <w:t>、</w:t>
      </w:r>
      <w:r>
        <w:rPr>
          <w:rFonts w:hint="eastAsia" w:ascii="仿宋_GB2312" w:eastAsia="仿宋_GB2312" w:hAnsiTheme="minorEastAsia" w:cstheme="minorEastAsia"/>
          <w:bCs/>
          <w:color w:val="000000"/>
          <w:sz w:val="28"/>
          <w:szCs w:val="28"/>
        </w:rPr>
        <w:t>“9·20”公民道德宣传日</w:t>
      </w:r>
      <w:r>
        <w:rPr>
          <w:rFonts w:hint="eastAsia" w:ascii="仿宋_GB2312" w:eastAsia="仿宋_GB2312" w:hAnsiTheme="minorEastAsia" w:cstheme="minorEastAsia"/>
          <w:bCs/>
          <w:color w:val="000000"/>
          <w:sz w:val="28"/>
          <w:szCs w:val="28"/>
          <w:lang w:eastAsia="zh-CN"/>
        </w:rPr>
        <w:t>、</w:t>
      </w:r>
      <w:r>
        <w:rPr>
          <w:rFonts w:hint="eastAsia" w:ascii="仿宋_GB2312" w:eastAsia="仿宋_GB2312" w:hAnsiTheme="minorEastAsia" w:cstheme="minorEastAsia"/>
          <w:bCs/>
          <w:color w:val="000000"/>
          <w:sz w:val="28"/>
          <w:szCs w:val="28"/>
        </w:rPr>
        <w:t>“12·4”全国法制宣传日</w:t>
      </w:r>
      <w:r>
        <w:rPr>
          <w:rFonts w:hint="eastAsia" w:ascii="仿宋_GB2312" w:eastAsia="仿宋_GB2312" w:hAnsiTheme="minorEastAsia" w:cstheme="minorEastAsia"/>
          <w:bCs/>
          <w:color w:val="000000"/>
          <w:sz w:val="28"/>
          <w:szCs w:val="28"/>
          <w:lang w:eastAsia="zh-CN"/>
        </w:rPr>
        <w:t>、</w:t>
      </w:r>
      <w:r>
        <w:rPr>
          <w:rFonts w:hint="eastAsia" w:ascii="仿宋_GB2312" w:eastAsia="仿宋_GB2312" w:hAnsiTheme="minorEastAsia" w:cstheme="minorEastAsia"/>
          <w:bCs/>
          <w:color w:val="000000"/>
          <w:sz w:val="28"/>
          <w:szCs w:val="28"/>
        </w:rPr>
        <w:t>“守合同重信用”</w:t>
      </w:r>
      <w:r>
        <w:rPr>
          <w:rFonts w:hint="eastAsia" w:ascii="仿宋_GB2312" w:eastAsia="仿宋_GB2312" w:hAnsiTheme="minorEastAsia" w:cstheme="minorEastAsia"/>
          <w:bCs/>
          <w:color w:val="000000"/>
          <w:sz w:val="28"/>
          <w:szCs w:val="28"/>
          <w:lang w:eastAsia="zh-CN"/>
        </w:rPr>
        <w:t>、</w:t>
      </w:r>
      <w:r>
        <w:rPr>
          <w:rFonts w:hint="eastAsia" w:ascii="仿宋_GB2312" w:eastAsia="仿宋_GB2312" w:hAnsiTheme="minorEastAsia" w:cstheme="minorEastAsia"/>
          <w:bCs/>
          <w:color w:val="000000"/>
          <w:sz w:val="28"/>
          <w:szCs w:val="28"/>
        </w:rPr>
        <w:t>“消费者信得过”</w:t>
      </w:r>
      <w:r>
        <w:rPr>
          <w:rFonts w:hint="eastAsia" w:ascii="仿宋_GB2312" w:eastAsia="仿宋_GB2312" w:hAnsiTheme="minorEastAsia" w:cstheme="minorEastAsia"/>
          <w:bCs/>
          <w:color w:val="000000"/>
          <w:sz w:val="28"/>
          <w:szCs w:val="28"/>
          <w:lang w:eastAsia="zh-CN"/>
        </w:rPr>
        <w:t>、</w:t>
      </w:r>
      <w:r>
        <w:rPr>
          <w:rFonts w:hint="eastAsia" w:ascii="仿宋_GB2312" w:eastAsia="仿宋_GB2312" w:hAnsiTheme="minorEastAsia" w:cstheme="minorEastAsia"/>
          <w:bCs/>
          <w:color w:val="000000"/>
          <w:sz w:val="28"/>
          <w:szCs w:val="28"/>
        </w:rPr>
        <w:t>“依法诚信纳税</w:t>
      </w:r>
      <w:bookmarkStart w:id="0" w:name="_GoBack"/>
      <w:bookmarkEnd w:id="0"/>
      <w:r>
        <w:rPr>
          <w:rFonts w:hint="eastAsia" w:ascii="仿宋_GB2312" w:eastAsia="仿宋_GB2312" w:hAnsiTheme="minorEastAsia" w:cstheme="minorEastAsia"/>
          <w:bCs/>
          <w:color w:val="000000"/>
          <w:sz w:val="28"/>
          <w:szCs w:val="28"/>
        </w:rPr>
        <w:t>”和“诚信讲堂”等诚信主题教育实践活动，推动诚信理念入脑入心。积极组织各级各类媒体，推出相关专题报道80余次，刊发相关文章1000余篇，刊播相关报道700余条，对诚信价值准则进行广泛解读和阐释，对各地各部门推进诚信建设的新举措新成效进行全面报道，在省级各部门网站、政务微博等媒体和渠道开辟专栏，进行信用宣传教育。</w:t>
      </w:r>
    </w:p>
    <w:p>
      <w:pPr>
        <w:spacing w:line="544" w:lineRule="exact"/>
        <w:ind w:firstLine="560" w:firstLineChars="200"/>
        <w:jc w:val="left"/>
        <w:rPr>
          <w:rFonts w:hint="eastAsia" w:ascii="仿宋_GB2312" w:eastAsia="仿宋_GB2312" w:hAnsiTheme="minorEastAsia" w:cstheme="minorEastAsia"/>
          <w:bCs/>
          <w:color w:val="000000"/>
          <w:sz w:val="28"/>
          <w:szCs w:val="28"/>
        </w:rPr>
      </w:pPr>
      <w:r>
        <w:rPr>
          <w:rFonts w:hint="eastAsia" w:ascii="仿宋_GB2312" w:eastAsia="仿宋_GB2312" w:hAnsiTheme="minorEastAsia" w:cstheme="minorEastAsia"/>
          <w:bCs/>
          <w:color w:val="000000"/>
          <w:sz w:val="28"/>
          <w:szCs w:val="28"/>
        </w:rPr>
        <w:t>《指导意见》指出实施信用惩戒需要完善相关法律法规，建立健全标准规范，同时还需要建设信用信息的公开共享平台。在《指导意见》的引导下，营造“守信光荣、失信可耻”的社会氛围，建立健全“守信者处处受益，失信者寸步难行”的联合激励和惩戒机制，倒逼</w:t>
      </w:r>
      <w:r>
        <w:rPr>
          <w:rFonts w:hint="eastAsia" w:ascii="仿宋_GB2312" w:eastAsia="仿宋_GB2312" w:hAnsiTheme="minorEastAsia" w:cstheme="minorEastAsia"/>
          <w:bCs/>
          <w:color w:val="000000"/>
          <w:sz w:val="28"/>
          <w:szCs w:val="28"/>
          <w:lang w:eastAsia="zh-CN"/>
        </w:rPr>
        <w:t>市场主体</w:t>
      </w:r>
      <w:r>
        <w:rPr>
          <w:rFonts w:hint="eastAsia" w:ascii="仿宋_GB2312" w:eastAsia="仿宋_GB2312" w:hAnsiTheme="minorEastAsia" w:cstheme="minorEastAsia"/>
          <w:bCs/>
          <w:color w:val="000000"/>
          <w:sz w:val="28"/>
          <w:szCs w:val="28"/>
        </w:rPr>
        <w:t>不敢失信、不愿失信和不能失信，加快推进社会信用体系建设。</w:t>
      </w:r>
    </w:p>
    <w:p>
      <w:pPr>
        <w:spacing w:line="544" w:lineRule="exact"/>
        <w:ind w:firstLine="640" w:firstLineChars="200"/>
        <w:rPr>
          <w:rFonts w:hint="eastAsia" w:ascii="仿宋_GB2312" w:hAnsi="仿宋" w:eastAsia="仿宋_GB2312"/>
          <w:bCs/>
          <w:color w:val="000000"/>
          <w:sz w:val="32"/>
          <w:szCs w:val="32"/>
        </w:rPr>
      </w:pPr>
    </w:p>
    <w:p>
      <w:pPr>
        <w:spacing w:line="544" w:lineRule="exact"/>
        <w:ind w:firstLine="640" w:firstLineChars="200"/>
        <w:rPr>
          <w:rFonts w:hint="eastAsia" w:ascii="仿宋_GB2312" w:hAnsi="仿宋" w:eastAsia="仿宋_GB2312"/>
          <w:bCs/>
          <w:color w:val="000000"/>
          <w:sz w:val="32"/>
          <w:szCs w:val="32"/>
        </w:rPr>
      </w:pPr>
    </w:p>
    <w:p>
      <w:pPr>
        <w:spacing w:line="544" w:lineRule="exact"/>
        <w:ind w:firstLine="640" w:firstLineChars="200"/>
        <w:rPr>
          <w:rFonts w:hint="eastAsia" w:ascii="仿宋_GB2312" w:hAnsi="仿宋" w:eastAsia="仿宋_GB2312"/>
          <w:bCs/>
          <w:color w:val="000000"/>
          <w:sz w:val="32"/>
          <w:szCs w:val="32"/>
        </w:rPr>
      </w:pPr>
    </w:p>
    <w:p>
      <w:pPr>
        <w:spacing w:line="544" w:lineRule="exact"/>
        <w:ind w:firstLine="640" w:firstLineChars="200"/>
        <w:rPr>
          <w:rFonts w:hint="eastAsia" w:ascii="仿宋_GB2312" w:hAnsi="仿宋" w:eastAsia="仿宋_GB2312"/>
          <w:bCs/>
          <w:color w:val="000000"/>
          <w:sz w:val="32"/>
          <w:szCs w:val="32"/>
        </w:rPr>
      </w:pPr>
    </w:p>
    <w:p>
      <w:pPr>
        <w:spacing w:line="544" w:lineRule="exact"/>
        <w:ind w:firstLine="640" w:firstLineChars="200"/>
        <w:rPr>
          <w:rFonts w:hint="eastAsia" w:ascii="仿宋_GB2312" w:hAnsi="仿宋" w:eastAsia="仿宋_GB2312"/>
          <w:bCs/>
          <w:color w:val="000000"/>
          <w:sz w:val="32"/>
          <w:szCs w:val="32"/>
        </w:rPr>
      </w:pPr>
    </w:p>
    <w:p>
      <w:pPr>
        <w:spacing w:line="544" w:lineRule="exact"/>
        <w:ind w:firstLine="640" w:firstLineChars="200"/>
        <w:rPr>
          <w:rFonts w:hint="eastAsia" w:ascii="仿宋_GB2312" w:hAnsi="仿宋" w:eastAsia="仿宋_GB2312"/>
          <w:bCs/>
          <w:color w:val="000000"/>
          <w:sz w:val="32"/>
          <w:szCs w:val="32"/>
        </w:rPr>
      </w:pPr>
    </w:p>
    <w:p>
      <w:pPr>
        <w:spacing w:line="544" w:lineRule="exact"/>
        <w:ind w:firstLine="640" w:firstLineChars="200"/>
        <w:rPr>
          <w:rFonts w:hint="eastAsia" w:ascii="仿宋_GB2312" w:hAnsi="仿宋" w:eastAsia="仿宋_GB2312"/>
          <w:bCs/>
          <w:color w:val="000000"/>
          <w:sz w:val="32"/>
          <w:szCs w:val="32"/>
        </w:rPr>
      </w:pPr>
    </w:p>
    <w:p>
      <w:pPr>
        <w:spacing w:line="544" w:lineRule="exact"/>
        <w:ind w:firstLine="640" w:firstLineChars="200"/>
        <w:rPr>
          <w:rFonts w:hint="eastAsia" w:ascii="仿宋_GB2312" w:hAnsi="仿宋" w:eastAsia="仿宋_GB2312"/>
          <w:bCs/>
          <w:color w:val="000000"/>
          <w:sz w:val="32"/>
          <w:szCs w:val="32"/>
        </w:rPr>
      </w:pPr>
    </w:p>
    <w:p>
      <w:pPr>
        <w:spacing w:line="544" w:lineRule="exact"/>
        <w:ind w:firstLine="640" w:firstLineChars="200"/>
        <w:rPr>
          <w:rFonts w:hint="eastAsia" w:ascii="仿宋_GB2312" w:hAnsi="仿宋" w:eastAsia="仿宋_GB2312"/>
          <w:bCs/>
          <w:color w:val="000000"/>
          <w:sz w:val="32"/>
          <w:szCs w:val="32"/>
        </w:rPr>
      </w:pPr>
    </w:p>
    <w:p>
      <w:pPr>
        <w:rPr>
          <w:rFonts w:hint="eastAsia"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172A27"/>
    <w:rsid w:val="00067EDD"/>
    <w:rsid w:val="00172A27"/>
    <w:rsid w:val="004B4BF0"/>
    <w:rsid w:val="0096712A"/>
    <w:rsid w:val="00F07F39"/>
    <w:rsid w:val="025B5673"/>
    <w:rsid w:val="02BD7F0B"/>
    <w:rsid w:val="03C5687E"/>
    <w:rsid w:val="041617C1"/>
    <w:rsid w:val="05233EFD"/>
    <w:rsid w:val="05330914"/>
    <w:rsid w:val="064707DC"/>
    <w:rsid w:val="08C40B70"/>
    <w:rsid w:val="09B329F7"/>
    <w:rsid w:val="0A1B49A5"/>
    <w:rsid w:val="0A6C7C27"/>
    <w:rsid w:val="0AF21185"/>
    <w:rsid w:val="0E160A2D"/>
    <w:rsid w:val="0E2F3B55"/>
    <w:rsid w:val="0E367C5D"/>
    <w:rsid w:val="0E98447E"/>
    <w:rsid w:val="1197736A"/>
    <w:rsid w:val="11A46680"/>
    <w:rsid w:val="11EB6DF4"/>
    <w:rsid w:val="126B2BC5"/>
    <w:rsid w:val="12745A53"/>
    <w:rsid w:val="13170AE0"/>
    <w:rsid w:val="13911E91"/>
    <w:rsid w:val="13CC1508"/>
    <w:rsid w:val="18496DE3"/>
    <w:rsid w:val="19C608D9"/>
    <w:rsid w:val="1A951093"/>
    <w:rsid w:val="1C5E7298"/>
    <w:rsid w:val="1DF32B4B"/>
    <w:rsid w:val="1E0850D6"/>
    <w:rsid w:val="1E1259E5"/>
    <w:rsid w:val="1F00786C"/>
    <w:rsid w:val="2009229D"/>
    <w:rsid w:val="22EE0D5B"/>
    <w:rsid w:val="23E77005"/>
    <w:rsid w:val="265E3985"/>
    <w:rsid w:val="2775024B"/>
    <w:rsid w:val="2ACC37C5"/>
    <w:rsid w:val="2BFC773A"/>
    <w:rsid w:val="2F326EFC"/>
    <w:rsid w:val="338F1D24"/>
    <w:rsid w:val="366416ED"/>
    <w:rsid w:val="36E94025"/>
    <w:rsid w:val="374C2A45"/>
    <w:rsid w:val="37720D27"/>
    <w:rsid w:val="37B620F4"/>
    <w:rsid w:val="38134A0C"/>
    <w:rsid w:val="38E97CC3"/>
    <w:rsid w:val="3ABD23EC"/>
    <w:rsid w:val="3AF90F4C"/>
    <w:rsid w:val="3B4B482A"/>
    <w:rsid w:val="3D995B6C"/>
    <w:rsid w:val="3F0874F8"/>
    <w:rsid w:val="4142391F"/>
    <w:rsid w:val="435232FF"/>
    <w:rsid w:val="44B40D48"/>
    <w:rsid w:val="44E05090"/>
    <w:rsid w:val="468A3DC6"/>
    <w:rsid w:val="46DE3850"/>
    <w:rsid w:val="47D903CC"/>
    <w:rsid w:val="4EE07773"/>
    <w:rsid w:val="52811E68"/>
    <w:rsid w:val="52EA3E16"/>
    <w:rsid w:val="569A74C6"/>
    <w:rsid w:val="57FC7666"/>
    <w:rsid w:val="58B7361D"/>
    <w:rsid w:val="5BB94D75"/>
    <w:rsid w:val="5E1E0AF5"/>
    <w:rsid w:val="5FCF62BD"/>
    <w:rsid w:val="61B451D9"/>
    <w:rsid w:val="61B81661"/>
    <w:rsid w:val="632366B5"/>
    <w:rsid w:val="633F4960"/>
    <w:rsid w:val="6349526F"/>
    <w:rsid w:val="64D50279"/>
    <w:rsid w:val="650520CD"/>
    <w:rsid w:val="6601418E"/>
    <w:rsid w:val="69A37E45"/>
    <w:rsid w:val="69FA636D"/>
    <w:rsid w:val="6A7C1DBF"/>
    <w:rsid w:val="6C4F6842"/>
    <w:rsid w:val="6D2E4BAB"/>
    <w:rsid w:val="6E5D0B20"/>
    <w:rsid w:val="6E9A0D58"/>
    <w:rsid w:val="6F12734A"/>
    <w:rsid w:val="6F635E50"/>
    <w:rsid w:val="703603A6"/>
    <w:rsid w:val="705D0266"/>
    <w:rsid w:val="7251779C"/>
    <w:rsid w:val="73247774"/>
    <w:rsid w:val="760F2B8A"/>
    <w:rsid w:val="77997C43"/>
    <w:rsid w:val="79196E3A"/>
    <w:rsid w:val="79F53325"/>
    <w:rsid w:val="7B255C16"/>
    <w:rsid w:val="7BF00B62"/>
    <w:rsid w:val="7D1022BE"/>
    <w:rsid w:val="7EC42C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character" w:customStyle="1" w:styleId="11">
    <w:name w:val="页眉 Char"/>
    <w:basedOn w:val="7"/>
    <w:link w:val="4"/>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 w:type="character" w:customStyle="1" w:styleId="13">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335</Words>
  <Characters>1912</Characters>
  <Lines>15</Lines>
  <Paragraphs>4</Paragraphs>
  <ScaleCrop>false</ScaleCrop>
  <LinksUpToDate>false</LinksUpToDate>
  <CharactersWithSpaces>2243</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2016-07-04T03:21:00Z</cp:lastPrinted>
  <dcterms:modified xsi:type="dcterms:W3CDTF">2016-07-04T07:09:35Z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